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72CA" w14:textId="162992A0" w:rsidR="006420B5" w:rsidRPr="00D14D68" w:rsidRDefault="005C30A7" w:rsidP="005C30A7">
      <w:pPr>
        <w:spacing w:after="120" w:line="360" w:lineRule="auto"/>
        <w:jc w:val="center"/>
      </w:pPr>
      <w:r w:rsidRPr="00D14D68">
        <w:t>FOREWORD</w:t>
      </w:r>
    </w:p>
    <w:p w14:paraId="632FAA30" w14:textId="60712DDE" w:rsidR="00CF7C31" w:rsidRPr="00D14D68" w:rsidRDefault="00CF7C31" w:rsidP="005C30A7">
      <w:pPr>
        <w:spacing w:after="120" w:line="360" w:lineRule="auto"/>
      </w:pPr>
      <w:r w:rsidRPr="00D14D68">
        <w:t xml:space="preserve">When Charles </w:t>
      </w:r>
      <w:r w:rsidR="0045173C" w:rsidRPr="00D14D68">
        <w:t xml:space="preserve">E. </w:t>
      </w:r>
      <w:r w:rsidR="00870E5B" w:rsidRPr="00D14D68">
        <w:t>M</w:t>
      </w:r>
      <w:r w:rsidRPr="00D14D68">
        <w:t>urgia (hereafter C</w:t>
      </w:r>
      <w:r w:rsidR="0045173C" w:rsidRPr="00D14D68">
        <w:t>E</w:t>
      </w:r>
      <w:r w:rsidRPr="00D14D68">
        <w:t xml:space="preserve">M) died in February 2013, the </w:t>
      </w:r>
      <w:r w:rsidR="00A138F0" w:rsidRPr="00D14D68">
        <w:t>files</w:t>
      </w:r>
      <w:r w:rsidRPr="00D14D68">
        <w:t xml:space="preserve"> </w:t>
      </w:r>
      <w:r w:rsidR="00870E5B" w:rsidRPr="00D14D68">
        <w:t xml:space="preserve">that </w:t>
      </w:r>
      <w:r w:rsidRPr="00D14D68">
        <w:t>he</w:t>
      </w:r>
      <w:r w:rsidR="00125DBA" w:rsidRPr="00D14D68">
        <w:t xml:space="preserve"> had gathered while</w:t>
      </w:r>
      <w:r w:rsidR="00870E5B" w:rsidRPr="00D14D68">
        <w:t xml:space="preserve"> preparing his edition of Servius’</w:t>
      </w:r>
      <w:r w:rsidR="00125DBA" w:rsidRPr="00D14D68">
        <w:t xml:space="preserve"> commentary</w:t>
      </w:r>
      <w:r w:rsidR="00870E5B" w:rsidRPr="00D14D68">
        <w:t xml:space="preserve"> on </w:t>
      </w:r>
      <w:r w:rsidR="00870E5B" w:rsidRPr="00D14D68">
        <w:rPr>
          <w:i/>
        </w:rPr>
        <w:t xml:space="preserve">Aeneid </w:t>
      </w:r>
      <w:r w:rsidR="00870E5B" w:rsidRPr="00D14D68">
        <w:t>9-12</w:t>
      </w:r>
      <w:r w:rsidR="00375C7B" w:rsidRPr="00D14D68">
        <w:t xml:space="preserve"> ran to many thousands of pages.</w:t>
      </w:r>
      <w:r w:rsidR="00870E5B" w:rsidRPr="00D14D68">
        <w:t xml:space="preserve"> </w:t>
      </w:r>
      <w:r w:rsidR="00375C7B" w:rsidRPr="00D14D68">
        <w:t>Meticulously reviewed and sifted by</w:t>
      </w:r>
      <w:r w:rsidR="00870E5B" w:rsidRPr="00D14D68">
        <w:t xml:space="preserve"> Donald Mastronarde</w:t>
      </w:r>
      <w:r w:rsidR="00125DBA" w:rsidRPr="00D14D68">
        <w:t xml:space="preserve">, </w:t>
      </w:r>
      <w:r w:rsidR="00870E5B" w:rsidRPr="00D14D68">
        <w:t>as CEM’s sch</w:t>
      </w:r>
      <w:r w:rsidR="00375C7B" w:rsidRPr="00D14D68">
        <w:t>olarly executor, t</w:t>
      </w:r>
      <w:r w:rsidR="00682E5D" w:rsidRPr="00D14D68">
        <w:t xml:space="preserve">hese materials included </w:t>
      </w:r>
      <w:r w:rsidRPr="00D14D68">
        <w:t xml:space="preserve">essentially complete and publishable drafts of the Latin text and—in line with the format of </w:t>
      </w:r>
      <w:r w:rsidR="00375C7B" w:rsidRPr="00D14D68">
        <w:t xml:space="preserve">previous </w:t>
      </w:r>
      <w:r w:rsidR="00125DBA" w:rsidRPr="00D14D68">
        <w:t>volumes of the ‘</w:t>
      </w:r>
      <w:r w:rsidR="00825BAA" w:rsidRPr="00D14D68">
        <w:t xml:space="preserve">APA / </w:t>
      </w:r>
      <w:r w:rsidRPr="00D14D68">
        <w:t>Harvard Servius</w:t>
      </w:r>
      <w:r w:rsidR="00125DBA" w:rsidRPr="00D14D68">
        <w:t>’</w:t>
      </w:r>
      <w:r w:rsidRPr="00D14D68">
        <w:t xml:space="preserve">— both an upper and </w:t>
      </w:r>
      <w:r w:rsidR="00825BAA" w:rsidRPr="00D14D68">
        <w:t xml:space="preserve">a </w:t>
      </w:r>
      <w:r w:rsidRPr="00D14D68">
        <w:t>lower critical apparatus.</w:t>
      </w:r>
      <w:r w:rsidR="00375C7B" w:rsidRPr="00D14D68">
        <w:rPr>
          <w:rStyle w:val="FootnoteReference"/>
        </w:rPr>
        <w:footnoteReference w:id="1"/>
      </w:r>
      <w:r w:rsidRPr="00D14D68">
        <w:t xml:space="preserve"> </w:t>
      </w:r>
      <w:r w:rsidR="00AF68BF" w:rsidRPr="00D14D68">
        <w:t xml:space="preserve">These drafts embodied the </w:t>
      </w:r>
      <w:r w:rsidR="00C3075A" w:rsidRPr="00D14D68">
        <w:t xml:space="preserve">judgments </w:t>
      </w:r>
      <w:r w:rsidR="00B14888" w:rsidRPr="00D14D68">
        <w:t>that</w:t>
      </w:r>
      <w:r w:rsidR="00C3075A" w:rsidRPr="00D14D68">
        <w:t xml:space="preserve"> CEM had </w:t>
      </w:r>
      <w:r w:rsidR="009F3DF5" w:rsidRPr="00D14D68">
        <w:t>formed</w:t>
      </w:r>
      <w:r w:rsidR="00C3075A" w:rsidRPr="00D14D68">
        <w:t xml:space="preserve"> over</w:t>
      </w:r>
      <w:r w:rsidR="0081038D" w:rsidRPr="00D14D68">
        <w:t xml:space="preserve"> the course of four decades</w:t>
      </w:r>
      <w:r w:rsidR="00125DBA" w:rsidRPr="00D14D68">
        <w:t xml:space="preserve">, </w:t>
      </w:r>
      <w:r w:rsidR="000B7341" w:rsidRPr="00D14D68">
        <w:t xml:space="preserve">and </w:t>
      </w:r>
      <w:r w:rsidR="00AF68BF" w:rsidRPr="00D14D68">
        <w:t xml:space="preserve">I have made no </w:t>
      </w:r>
      <w:r w:rsidR="00C3075A" w:rsidRPr="00D14D68">
        <w:t xml:space="preserve">substantive </w:t>
      </w:r>
      <w:r w:rsidR="00AF68BF" w:rsidRPr="00D14D68">
        <w:t>changes</w:t>
      </w:r>
      <w:r w:rsidR="00C3075A" w:rsidRPr="00D14D68">
        <w:t>.</w:t>
      </w:r>
      <w:r w:rsidR="0081038D" w:rsidRPr="00D14D68">
        <w:rPr>
          <w:rStyle w:val="FootnoteReference"/>
        </w:rPr>
        <w:footnoteReference w:id="2"/>
      </w:r>
      <w:r w:rsidR="00C3075A" w:rsidRPr="00D14D68">
        <w:t xml:space="preserve"> T</w:t>
      </w:r>
      <w:r w:rsidR="00362021" w:rsidRPr="00D14D68">
        <w:t>he core of this</w:t>
      </w:r>
      <w:r w:rsidRPr="00D14D68">
        <w:t xml:space="preserve"> edition is thus entirely </w:t>
      </w:r>
      <w:r w:rsidR="0045173C" w:rsidRPr="00D14D68">
        <w:t>CEM</w:t>
      </w:r>
      <w:r w:rsidRPr="00D14D68">
        <w:t>’s own</w:t>
      </w:r>
      <w:r w:rsidR="00A95393" w:rsidRPr="00D14D68">
        <w:t>, as is the editorial ‘</w:t>
      </w:r>
      <w:r w:rsidR="00A95393" w:rsidRPr="00D14D68">
        <w:rPr>
          <w:i/>
        </w:rPr>
        <w:t>ego</w:t>
      </w:r>
      <w:r w:rsidR="00951AB4" w:rsidRPr="00D14D68">
        <w:t>’</w:t>
      </w:r>
      <w:r w:rsidR="0045173C" w:rsidRPr="00D14D68">
        <w:t xml:space="preserve"> that </w:t>
      </w:r>
      <w:r w:rsidR="00E16460" w:rsidRPr="00D14D68">
        <w:t>speaks throughout</w:t>
      </w:r>
      <w:r w:rsidR="0045173C" w:rsidRPr="00D14D68">
        <w:t xml:space="preserve"> the critical apparatus</w:t>
      </w:r>
      <w:r w:rsidRPr="00D14D68">
        <w:t>.</w:t>
      </w:r>
    </w:p>
    <w:p w14:paraId="36A0E87A" w14:textId="30CDE107" w:rsidR="00CF7C31" w:rsidRPr="00D14D68" w:rsidRDefault="00CF7C31" w:rsidP="005C30A7">
      <w:pPr>
        <w:spacing w:after="120" w:line="360" w:lineRule="auto"/>
      </w:pPr>
      <w:r w:rsidRPr="00D14D68">
        <w:t xml:space="preserve">There were, however, two </w:t>
      </w:r>
      <w:r w:rsidR="00A95393" w:rsidRPr="00D14D68">
        <w:t>crucial</w:t>
      </w:r>
      <w:r w:rsidRPr="00D14D68">
        <w:t xml:space="preserve"> parts of the project that were only partially drafted, and </w:t>
      </w:r>
      <w:r w:rsidR="009F3DF5" w:rsidRPr="00D14D68">
        <w:t>several</w:t>
      </w:r>
      <w:r w:rsidRPr="00D14D68">
        <w:t xml:space="preserve"> peripheral pieces that were not drafted at all: my work since June 2015 has aimed to provide what was lacking. I can describe here w</w:t>
      </w:r>
      <w:r w:rsidR="00951AB4" w:rsidRPr="00D14D68">
        <w:t>hat those parts and pieces were.</w:t>
      </w:r>
    </w:p>
    <w:p w14:paraId="56035F85" w14:textId="77777777" w:rsidR="00CF7C31" w:rsidRPr="00D14D68" w:rsidRDefault="00CF7C31" w:rsidP="005C30A7">
      <w:pPr>
        <w:spacing w:line="360" w:lineRule="auto"/>
      </w:pPr>
      <w:r w:rsidRPr="00D14D68">
        <w:rPr>
          <w:b/>
        </w:rPr>
        <w:t>Testimonial apparatus</w:t>
      </w:r>
    </w:p>
    <w:p w14:paraId="5A744AEE" w14:textId="594A1C49" w:rsidR="00CF7C31" w:rsidRPr="00D14D68" w:rsidRDefault="00CF7C31" w:rsidP="005C30A7">
      <w:p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 xml:space="preserve">Bearing in mind the second part of Eduard Fraenkel’s famous review of </w:t>
      </w:r>
      <w:r w:rsidR="00362021" w:rsidRPr="00D14D68">
        <w:t xml:space="preserve">Rand et al. 1946 </w:t>
      </w:r>
      <w:r w:rsidRPr="00D14D68">
        <w:t>(</w:t>
      </w:r>
      <w:r w:rsidR="00C3075A" w:rsidRPr="00D14D68">
        <w:t xml:space="preserve">Fraenkel </w:t>
      </w:r>
      <w:r w:rsidR="00951AB4" w:rsidRPr="00D14D68">
        <w:t>1949</w:t>
      </w:r>
      <w:r w:rsidR="00970FEC" w:rsidRPr="00D14D68">
        <w:t>)</w:t>
      </w:r>
      <w:r w:rsidR="008405DA" w:rsidRPr="00D14D68">
        <w:t>,</w:t>
      </w:r>
      <w:r w:rsidR="00970FEC" w:rsidRPr="00D14D68">
        <w:t xml:space="preserve"> </w:t>
      </w:r>
      <w:r w:rsidR="0045173C" w:rsidRPr="00D14D68">
        <w:t>CEM</w:t>
      </w:r>
      <w:r w:rsidR="00970FEC" w:rsidRPr="00D14D68">
        <w:t xml:space="preserve"> and</w:t>
      </w:r>
      <w:r w:rsidRPr="00D14D68">
        <w:t xml:space="preserve"> at l</w:t>
      </w:r>
      <w:r w:rsidR="00970FEC" w:rsidRPr="00D14D68">
        <w:t>east eleven graduate assistants</w:t>
      </w:r>
      <w:r w:rsidRPr="00D14D68">
        <w:t xml:space="preserve"> </w:t>
      </w:r>
      <w:r w:rsidR="00A138F0" w:rsidRPr="00D14D68">
        <w:t xml:space="preserve">had gathered the data for an extensive </w:t>
      </w:r>
      <w:r w:rsidR="00A138F0" w:rsidRPr="00D14D68">
        <w:rPr>
          <w:i/>
        </w:rPr>
        <w:t>apparatus fontium et testium</w:t>
      </w:r>
      <w:r w:rsidR="00A138F0" w:rsidRPr="00D14D68">
        <w:t xml:space="preserve"> </w:t>
      </w:r>
      <w:r w:rsidR="00970FEC" w:rsidRPr="00D14D68">
        <w:t>intended to</w:t>
      </w:r>
      <w:r w:rsidR="00A138F0" w:rsidRPr="00D14D68">
        <w:t xml:space="preserve"> stand between the text and the critical apparatus. These data resided on thousands of 5 x 8 cards but had not yet been fully winnowed and compiled in electronic files</w:t>
      </w:r>
      <w:r w:rsidR="00970FEC" w:rsidRPr="00D14D68">
        <w:t xml:space="preserve"> at the time of </w:t>
      </w:r>
      <w:r w:rsidR="0045173C" w:rsidRPr="00D14D68">
        <w:t>CEM</w:t>
      </w:r>
      <w:r w:rsidR="00970FEC" w:rsidRPr="00D14D68">
        <w:t>’s death</w:t>
      </w:r>
      <w:r w:rsidR="00A138F0" w:rsidRPr="00D14D68">
        <w:t>: while a draft existed for</w:t>
      </w:r>
      <w:r w:rsidR="009F3DF5" w:rsidRPr="00D14D68">
        <w:t xml:space="preserve"> all of</w:t>
      </w:r>
      <w:r w:rsidR="00A138F0" w:rsidRPr="00D14D68">
        <w:t xml:space="preserve"> </w:t>
      </w:r>
      <w:r w:rsidR="00A138F0" w:rsidRPr="00D14D68">
        <w:rPr>
          <w:i/>
        </w:rPr>
        <w:t>Aeneid</w:t>
      </w:r>
      <w:r w:rsidR="00A138F0" w:rsidRPr="00D14D68">
        <w:t xml:space="preserve"> 10, the drafts of the remaining books were only partial (</w:t>
      </w:r>
      <w:r w:rsidR="00951AB4" w:rsidRPr="00D14D68">
        <w:rPr>
          <w:i/>
        </w:rPr>
        <w:t>A</w:t>
      </w:r>
      <w:r w:rsidR="00A138F0" w:rsidRPr="00D14D68">
        <w:rPr>
          <w:i/>
        </w:rPr>
        <w:t xml:space="preserve">. </w:t>
      </w:r>
      <w:r w:rsidR="00A138F0" w:rsidRPr="00D14D68">
        <w:t>9.1-212, 11.1-243, 12.</w:t>
      </w:r>
      <w:r w:rsidR="00825BAA" w:rsidRPr="00D14D68">
        <w:t>1-</w:t>
      </w:r>
      <w:r w:rsidR="00A138F0" w:rsidRPr="00D14D68">
        <w:t xml:space="preserve">299), </w:t>
      </w:r>
      <w:r w:rsidR="00970FEC" w:rsidRPr="00D14D68">
        <w:t>and</w:t>
      </w:r>
      <w:r w:rsidR="00A138F0" w:rsidRPr="00D14D68">
        <w:t xml:space="preserve"> it was my </w:t>
      </w:r>
      <w:r w:rsidR="00951AB4" w:rsidRPr="00D14D68">
        <w:t>task</w:t>
      </w:r>
      <w:r w:rsidR="00A138F0" w:rsidRPr="00D14D68">
        <w:t xml:space="preserve"> to complete the </w:t>
      </w:r>
      <w:r w:rsidR="00970FEC" w:rsidRPr="00D14D68">
        <w:t>winnowing and compiling</w:t>
      </w:r>
      <w:r w:rsidR="00B55E20" w:rsidRPr="00D14D68">
        <w:t>. This</w:t>
      </w:r>
      <w:r w:rsidR="00970FEC" w:rsidRPr="00D14D68">
        <w:t xml:space="preserve"> </w:t>
      </w:r>
      <w:r w:rsidR="00951AB4" w:rsidRPr="00D14D68">
        <w:t>task</w:t>
      </w:r>
      <w:r w:rsidR="00970FEC" w:rsidRPr="00D14D68">
        <w:t xml:space="preserve"> </w:t>
      </w:r>
      <w:r w:rsidR="00B55E20" w:rsidRPr="00D14D68">
        <w:t xml:space="preserve">was </w:t>
      </w:r>
      <w:r w:rsidR="00970FEC" w:rsidRPr="00D14D68">
        <w:t>made more challenging</w:t>
      </w:r>
      <w:r w:rsidR="00AA5879" w:rsidRPr="00D14D68">
        <w:t xml:space="preserve"> </w:t>
      </w:r>
      <w:r w:rsidR="00970FEC" w:rsidRPr="00D14D68">
        <w:t xml:space="preserve">by the fact that at some point before the 5 x 8 cards were shipped to Princeton from Berkeley, the cards for </w:t>
      </w:r>
      <w:r w:rsidR="008567FD" w:rsidRPr="00D14D68">
        <w:rPr>
          <w:i/>
        </w:rPr>
        <w:t>A</w:t>
      </w:r>
      <w:r w:rsidR="00EF04A8" w:rsidRPr="00D14D68">
        <w:rPr>
          <w:i/>
        </w:rPr>
        <w:t>eneid</w:t>
      </w:r>
      <w:r w:rsidR="00970FEC" w:rsidRPr="00D14D68">
        <w:t xml:space="preserve"> 11. 244-416 and 652-915 and all the cards for </w:t>
      </w:r>
      <w:r w:rsidR="008567FD" w:rsidRPr="00D14D68">
        <w:rPr>
          <w:i/>
        </w:rPr>
        <w:t>A</w:t>
      </w:r>
      <w:r w:rsidR="00EF04A8" w:rsidRPr="00D14D68">
        <w:rPr>
          <w:i/>
        </w:rPr>
        <w:t>eneid</w:t>
      </w:r>
      <w:r w:rsidR="00970FEC" w:rsidRPr="00D14D68">
        <w:rPr>
          <w:i/>
        </w:rPr>
        <w:t xml:space="preserve"> </w:t>
      </w:r>
      <w:r w:rsidR="00AA5879" w:rsidRPr="00D14D68">
        <w:t>12 went missing</w:t>
      </w:r>
      <w:r w:rsidR="00970FEC" w:rsidRPr="00D14D68">
        <w:t xml:space="preserve">. I have done what I could to reconstitute the </w:t>
      </w:r>
      <w:r w:rsidR="00A95393" w:rsidRPr="00D14D68">
        <w:t>lost</w:t>
      </w:r>
      <w:r w:rsidR="00970FEC" w:rsidRPr="00D14D68">
        <w:t xml:space="preserve"> data and have also </w:t>
      </w:r>
      <w:r w:rsidR="00AA5879" w:rsidRPr="00D14D68">
        <w:t xml:space="preserve">refined and </w:t>
      </w:r>
      <w:r w:rsidR="00970FEC" w:rsidRPr="00D14D68">
        <w:t xml:space="preserve">supplemented the surviving data that </w:t>
      </w:r>
      <w:r w:rsidR="0045173C" w:rsidRPr="00D14D68">
        <w:t>CEM</w:t>
      </w:r>
      <w:r w:rsidR="00970FEC" w:rsidRPr="00D14D68">
        <w:t xml:space="preserve"> and his assistants had gathered</w:t>
      </w:r>
      <w:r w:rsidR="000449BD" w:rsidRPr="00D14D68">
        <w:t>.</w:t>
      </w:r>
    </w:p>
    <w:p w14:paraId="3A6B6F97" w14:textId="77777777" w:rsidR="000449BD" w:rsidRPr="00D14D68" w:rsidRDefault="000449BD" w:rsidP="005C30A7">
      <w:pPr>
        <w:tabs>
          <w:tab w:val="clear" w:pos="360"/>
          <w:tab w:val="clear" w:pos="720"/>
          <w:tab w:val="clear" w:pos="4680"/>
          <w:tab w:val="clear" w:pos="9360"/>
        </w:tabs>
        <w:spacing w:line="360" w:lineRule="auto"/>
      </w:pPr>
      <w:r w:rsidRPr="00D14D68">
        <w:rPr>
          <w:b/>
        </w:rPr>
        <w:t>Preface</w:t>
      </w:r>
    </w:p>
    <w:p w14:paraId="46A4D99C" w14:textId="6C17B755" w:rsidR="000449BD" w:rsidRPr="00D14D68" w:rsidRDefault="008567FD" w:rsidP="005C30A7">
      <w:p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>CEM’s partial draft of the preface addressed</w:t>
      </w:r>
      <w:r w:rsidR="00127F09" w:rsidRPr="00D14D68">
        <w:t xml:space="preserve"> </w:t>
      </w:r>
      <w:r w:rsidR="00E67F8F" w:rsidRPr="00D14D68">
        <w:t>several</w:t>
      </w:r>
      <w:r w:rsidR="000449BD" w:rsidRPr="00D14D68">
        <w:t xml:space="preserve"> </w:t>
      </w:r>
      <w:r w:rsidR="00127F09" w:rsidRPr="00D14D68">
        <w:t xml:space="preserve">important </w:t>
      </w:r>
      <w:r w:rsidR="000449BD" w:rsidRPr="00D14D68">
        <w:t>technical questions</w:t>
      </w:r>
      <w:r w:rsidR="00127F09" w:rsidRPr="00D14D68">
        <w:t>: the</w:t>
      </w:r>
      <w:r w:rsidRPr="00D14D68">
        <w:t xml:space="preserve"> edition’s relation to volumes 2 and 3</w:t>
      </w:r>
      <w:r w:rsidR="00127F09" w:rsidRPr="00D14D68">
        <w:t xml:space="preserve">, </w:t>
      </w:r>
      <w:r w:rsidRPr="00D14D68">
        <w:t>an explanation</w:t>
      </w:r>
      <w:r w:rsidR="00E67F8F" w:rsidRPr="00D14D68">
        <w:t xml:space="preserve"> of</w:t>
      </w:r>
      <w:r w:rsidR="00127F09" w:rsidRPr="00D14D68">
        <w:t xml:space="preserve"> the way it presents the two versions of the commentary</w:t>
      </w:r>
      <w:r w:rsidRPr="00D14D68">
        <w:t xml:space="preserve"> (the ‘vulgate’ Servius and Servius Auctus)</w:t>
      </w:r>
      <w:r w:rsidR="0082303D" w:rsidRPr="00D14D68">
        <w:t>,</w:t>
      </w:r>
      <w:r w:rsidR="00127F09" w:rsidRPr="00D14D68">
        <w:t xml:space="preserve"> and its deviation </w:t>
      </w:r>
      <w:r w:rsidR="0082303D" w:rsidRPr="00D14D68">
        <w:t xml:space="preserve">from the previous </w:t>
      </w:r>
      <w:r w:rsidR="0082303D" w:rsidRPr="00D14D68">
        <w:lastRenderedPageBreak/>
        <w:t xml:space="preserve">volumes </w:t>
      </w:r>
      <w:r w:rsidR="00127F09" w:rsidRPr="00D14D68">
        <w:t xml:space="preserve">in a small </w:t>
      </w:r>
      <w:r w:rsidR="0082303D" w:rsidRPr="00D14D68">
        <w:t xml:space="preserve">but important detail of layout </w:t>
      </w:r>
      <w:r w:rsidRPr="00D14D68">
        <w:t xml:space="preserve"> (pp. 000-00</w:t>
      </w:r>
      <w:r w:rsidR="00127F09" w:rsidRPr="00D14D68">
        <w:t>);</w:t>
      </w:r>
      <w:r w:rsidR="000449BD" w:rsidRPr="00D14D68">
        <w:t xml:space="preserve"> </w:t>
      </w:r>
      <w:r w:rsidR="0082303D" w:rsidRPr="00D14D68">
        <w:t xml:space="preserve">the way in which it </w:t>
      </w:r>
      <w:r w:rsidR="00B50F66" w:rsidRPr="00D14D68">
        <w:t>treats</w:t>
      </w:r>
      <w:r w:rsidR="0082303D" w:rsidRPr="00D14D68">
        <w:t xml:space="preserve"> matters of orthography, including the assimilatio</w:t>
      </w:r>
      <w:r w:rsidRPr="00D14D68">
        <w:t>n (or not) of prefixes (pp. 000-00</w:t>
      </w:r>
      <w:r w:rsidR="0082303D" w:rsidRPr="00D14D68">
        <w:t xml:space="preserve">); the constitution of the </w:t>
      </w:r>
      <w:r w:rsidR="0082303D" w:rsidRPr="00D14D68">
        <w:rPr>
          <w:i/>
        </w:rPr>
        <w:t>apparatus superior</w:t>
      </w:r>
      <w:r w:rsidR="0082303D" w:rsidRPr="00D14D68">
        <w:t xml:space="preserve">, which serves a purpose here different from that served by the upper apparatus in </w:t>
      </w:r>
      <w:r w:rsidRPr="00D14D68">
        <w:t xml:space="preserve">the previous </w:t>
      </w:r>
      <w:r w:rsidR="0082303D" w:rsidRPr="00D14D68">
        <w:t xml:space="preserve">volumes </w:t>
      </w:r>
      <w:r w:rsidRPr="00D14D68">
        <w:t>(pp. 000-00</w:t>
      </w:r>
      <w:r w:rsidR="0082303D" w:rsidRPr="00D14D68">
        <w:t xml:space="preserve">); and the constitution of the </w:t>
      </w:r>
      <w:r w:rsidR="0082303D" w:rsidRPr="00D14D68">
        <w:rPr>
          <w:i/>
        </w:rPr>
        <w:t>apparatus inferior</w:t>
      </w:r>
      <w:r w:rsidR="0082303D" w:rsidRPr="00D14D68">
        <w:t xml:space="preserve">, which in this edition serves as the true critical apparatus (pp. </w:t>
      </w:r>
      <w:r w:rsidR="006D3EE4" w:rsidRPr="00D14D68">
        <w:t>000-00</w:t>
      </w:r>
      <w:r w:rsidR="0082303D" w:rsidRPr="00D14D68">
        <w:t>). But it</w:t>
      </w:r>
      <w:r w:rsidR="000449BD" w:rsidRPr="00D14D68">
        <w:t xml:space="preserve"> </w:t>
      </w:r>
      <w:r w:rsidRPr="00D14D68">
        <w:t>did</w:t>
      </w:r>
      <w:r w:rsidR="000449BD" w:rsidRPr="00D14D68">
        <w:t xml:space="preserve"> not include either an overview of the textual tradition or description</w:t>
      </w:r>
      <w:r w:rsidR="0082303D" w:rsidRPr="00D14D68">
        <w:t>s</w:t>
      </w:r>
      <w:r w:rsidR="000449BD" w:rsidRPr="00D14D68">
        <w:t xml:space="preserve"> of the prin</w:t>
      </w:r>
      <w:r w:rsidR="005D36BD" w:rsidRPr="00D14D68">
        <w:t>cipal manuscripts, though cross-</w:t>
      </w:r>
      <w:r w:rsidR="00BD2BFD" w:rsidRPr="00D14D68">
        <w:t>ref</w:t>
      </w:r>
      <w:r w:rsidR="000449BD" w:rsidRPr="00D14D68">
        <w:t>erences in the draft show</w:t>
      </w:r>
      <w:r w:rsidR="005D36BD" w:rsidRPr="00D14D68">
        <w:t>ed</w:t>
      </w:r>
      <w:r w:rsidR="000449BD" w:rsidRPr="00D14D68">
        <w:t xml:space="preserve"> that </w:t>
      </w:r>
      <w:r w:rsidR="0045173C" w:rsidRPr="00D14D68">
        <w:t>CEM</w:t>
      </w:r>
      <w:r w:rsidR="0082303D" w:rsidRPr="00D14D68">
        <w:t xml:space="preserve"> </w:t>
      </w:r>
      <w:r w:rsidR="000449BD" w:rsidRPr="00D14D68">
        <w:t xml:space="preserve">intended to </w:t>
      </w:r>
      <w:r w:rsidR="00BD2BFD" w:rsidRPr="00D14D68">
        <w:t>provide</w:t>
      </w:r>
      <w:r w:rsidR="000449BD" w:rsidRPr="00D14D68">
        <w:t xml:space="preserve"> both</w:t>
      </w:r>
      <w:r w:rsidR="005D36BD" w:rsidRPr="00D14D68">
        <w:t>.</w:t>
      </w:r>
      <w:r w:rsidR="0082303D" w:rsidRPr="00D14D68">
        <w:t xml:space="preserve"> </w:t>
      </w:r>
      <w:r w:rsidR="00EA0D02" w:rsidRPr="00D14D68">
        <w:t xml:space="preserve">I have </w:t>
      </w:r>
      <w:r w:rsidR="00933970">
        <w:t>supplied</w:t>
      </w:r>
      <w:r w:rsidR="00EA0D02" w:rsidRPr="00D14D68">
        <w:t xml:space="preserve"> a concise summary of the tradition by adapting the article CEM wrote on the subject for </w:t>
      </w:r>
      <w:r w:rsidR="00EA0D02" w:rsidRPr="00D14D68">
        <w:rPr>
          <w:i/>
        </w:rPr>
        <w:t>The</w:t>
      </w:r>
      <w:r w:rsidR="00EA0D02" w:rsidRPr="00D14D68">
        <w:t xml:space="preserve"> </w:t>
      </w:r>
      <w:r w:rsidR="00EA0D02" w:rsidRPr="00D14D68">
        <w:rPr>
          <w:i/>
          <w:iCs/>
        </w:rPr>
        <w:t>Virgil Encyclopedia</w:t>
      </w:r>
      <w:r w:rsidR="00EA0D02" w:rsidRPr="00D14D68">
        <w:rPr>
          <w:rStyle w:val="FootnoteReference"/>
          <w:iCs/>
        </w:rPr>
        <w:footnoteReference w:id="3"/>
      </w:r>
      <w:r w:rsidR="00EA0D02" w:rsidRPr="00D14D68">
        <w:rPr>
          <w:iCs/>
        </w:rPr>
        <w:t xml:space="preserve"> and have </w:t>
      </w:r>
      <w:r w:rsidR="00BE3FAB" w:rsidRPr="00D14D68">
        <w:t>draw</w:t>
      </w:r>
      <w:r w:rsidR="00933970">
        <w:t>n</w:t>
      </w:r>
      <w:r w:rsidR="00BE3FAB" w:rsidRPr="00D14D68">
        <w:t xml:space="preserve"> on</w:t>
      </w:r>
      <w:r w:rsidR="000449BD" w:rsidRPr="00D14D68">
        <w:t xml:space="preserve"> </w:t>
      </w:r>
      <w:r w:rsidR="005D36BD" w:rsidRPr="00D14D68">
        <w:t>Murgia 1975</w:t>
      </w:r>
      <w:r w:rsidR="00902988" w:rsidRPr="00D14D68">
        <w:t xml:space="preserve"> and </w:t>
      </w:r>
      <w:r w:rsidR="00933970">
        <w:t>other</w:t>
      </w:r>
      <w:r w:rsidR="00902988" w:rsidRPr="00D14D68">
        <w:t xml:space="preserve"> studies</w:t>
      </w:r>
      <w:r w:rsidR="00933970">
        <w:t xml:space="preserve"> for the descriptions</w:t>
      </w:r>
      <w:r w:rsidR="00E47521" w:rsidRPr="00D14D68">
        <w:rPr>
          <w:iCs/>
        </w:rPr>
        <w:t>. R</w:t>
      </w:r>
      <w:r w:rsidR="00EA0D02" w:rsidRPr="00D14D68">
        <w:rPr>
          <w:iCs/>
        </w:rPr>
        <w:t xml:space="preserve">eaders should be aware, however, that a remark in CEM’s draft of the preface </w:t>
      </w:r>
      <w:r w:rsidR="00E47521" w:rsidRPr="00D14D68">
        <w:rPr>
          <w:iCs/>
        </w:rPr>
        <w:t>made it plain</w:t>
      </w:r>
      <w:r w:rsidR="00EA0D02" w:rsidRPr="00D14D68">
        <w:rPr>
          <w:iCs/>
        </w:rPr>
        <w:t xml:space="preserve"> that he intended to include in his descriptions details about scribal habits </w:t>
      </w:r>
      <w:r w:rsidR="00E47521" w:rsidRPr="00D14D68">
        <w:rPr>
          <w:iCs/>
        </w:rPr>
        <w:t xml:space="preserve">requiring a breadth and depth of knowledge that only he could have </w:t>
      </w:r>
      <w:r w:rsidR="003D4566" w:rsidRPr="00D14D68">
        <w:rPr>
          <w:iCs/>
        </w:rPr>
        <w:t>brought to bear</w:t>
      </w:r>
      <w:r w:rsidR="005D36BD" w:rsidRPr="00D14D68">
        <w:rPr>
          <w:iCs/>
        </w:rPr>
        <w:t>.</w:t>
      </w:r>
    </w:p>
    <w:p w14:paraId="3D3D02C6" w14:textId="77777777" w:rsidR="00BE3FAB" w:rsidRPr="00D14D68" w:rsidRDefault="00BE3FAB" w:rsidP="005C30A7">
      <w:pPr>
        <w:tabs>
          <w:tab w:val="clear" w:pos="360"/>
          <w:tab w:val="clear" w:pos="720"/>
          <w:tab w:val="clear" w:pos="4680"/>
          <w:tab w:val="clear" w:pos="9360"/>
        </w:tabs>
        <w:spacing w:line="360" w:lineRule="auto"/>
        <w:rPr>
          <w:b/>
        </w:rPr>
      </w:pPr>
      <w:r w:rsidRPr="00D14D68">
        <w:rPr>
          <w:b/>
        </w:rPr>
        <w:t>Peripheral pieces</w:t>
      </w:r>
    </w:p>
    <w:p w14:paraId="5CA074D9" w14:textId="50FF6E00" w:rsidR="00C83ACB" w:rsidRPr="00D14D68" w:rsidRDefault="00B50F66" w:rsidP="00C83ACB">
      <w:p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>Other</w:t>
      </w:r>
      <w:r w:rsidR="00BD2BFD" w:rsidRPr="00D14D68">
        <w:t xml:space="preserve"> finishing touches </w:t>
      </w:r>
      <w:r w:rsidR="00891A5F" w:rsidRPr="00D14D68">
        <w:t xml:space="preserve">I have </w:t>
      </w:r>
      <w:r w:rsidRPr="00D14D68">
        <w:t>supplied</w:t>
      </w:r>
      <w:r w:rsidR="00891A5F" w:rsidRPr="00D14D68">
        <w:t xml:space="preserve"> </w:t>
      </w:r>
      <w:r w:rsidR="00BD2BFD" w:rsidRPr="00D14D68">
        <w:t xml:space="preserve">include the following: </w:t>
      </w:r>
    </w:p>
    <w:p w14:paraId="17104E6D" w14:textId="48CFBCC1" w:rsidR="00C83ACB" w:rsidRPr="00D14D68" w:rsidRDefault="003D17AF" w:rsidP="00C83ACB">
      <w:pPr>
        <w:pStyle w:val="ListParagraph"/>
        <w:numPr>
          <w:ilvl w:val="0"/>
          <w:numId w:val="1"/>
        </w:num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>Appendix B, a</w:t>
      </w:r>
      <w:r w:rsidR="000608C4" w:rsidRPr="00D14D68">
        <w:t xml:space="preserve"> critique of the view of the textual tradition adopted by Giuseppe</w:t>
      </w:r>
      <w:r w:rsidR="00C83ACB" w:rsidRPr="00D14D68">
        <w:t xml:space="preserve"> Ramires in his editions of Servius on </w:t>
      </w:r>
      <w:r w:rsidR="00C83ACB" w:rsidRPr="00D14D68">
        <w:rPr>
          <w:i/>
        </w:rPr>
        <w:t xml:space="preserve">Aeneid </w:t>
      </w:r>
      <w:r w:rsidR="00C83ACB" w:rsidRPr="00D14D68">
        <w:t xml:space="preserve">7 and 9 (2003 and 1996, respectively), </w:t>
      </w:r>
      <w:r w:rsidR="00933970">
        <w:t>based on</w:t>
      </w:r>
      <w:r w:rsidR="00C83ACB" w:rsidRPr="00D14D68">
        <w:t xml:space="preserve"> an unpublished paper </w:t>
      </w:r>
      <w:r w:rsidR="000608C4" w:rsidRPr="00D14D68">
        <w:t>by</w:t>
      </w:r>
      <w:r w:rsidRPr="00D14D68">
        <w:t xml:space="preserve"> CEM</w:t>
      </w:r>
      <w:r w:rsidR="000608C4" w:rsidRPr="00D14D68">
        <w:t xml:space="preserve"> (see Appendix B n.1)</w:t>
      </w:r>
      <w:r w:rsidRPr="00D14D68">
        <w:t xml:space="preserve"> </w:t>
      </w:r>
      <w:r w:rsidR="00F02D6B" w:rsidRPr="00D14D68">
        <w:t>edited to suit the present context</w:t>
      </w:r>
      <w:r w:rsidR="00C83ACB" w:rsidRPr="00D14D68">
        <w:t>;</w:t>
      </w:r>
    </w:p>
    <w:p w14:paraId="6EBA090E" w14:textId="648912B3" w:rsidR="00BD2BFD" w:rsidRPr="00D14D68" w:rsidRDefault="00E82021" w:rsidP="005C30A7">
      <w:pPr>
        <w:pStyle w:val="ListParagraph"/>
        <w:numPr>
          <w:ilvl w:val="0"/>
          <w:numId w:val="1"/>
        </w:num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>a list of</w:t>
      </w:r>
      <w:r w:rsidR="00891A5F" w:rsidRPr="00D14D68">
        <w:t xml:space="preserve"> the </w:t>
      </w:r>
      <w:r w:rsidR="00BD2BFD" w:rsidRPr="00D14D68">
        <w:t>abbreviations</w:t>
      </w:r>
      <w:r w:rsidR="00933970">
        <w:t xml:space="preserve"> of scholarly resources</w:t>
      </w:r>
      <w:r w:rsidR="00BD2BFD" w:rsidRPr="00D14D68">
        <w:t xml:space="preserve"> (</w:t>
      </w:r>
      <w:r w:rsidR="00BD2BFD" w:rsidRPr="00D14D68">
        <w:rPr>
          <w:i/>
        </w:rPr>
        <w:t>CIL</w:t>
      </w:r>
      <w:r w:rsidR="00BD2BFD" w:rsidRPr="00D14D68">
        <w:t xml:space="preserve">, </w:t>
      </w:r>
      <w:r w:rsidR="00BD2BFD" w:rsidRPr="00D14D68">
        <w:rPr>
          <w:i/>
        </w:rPr>
        <w:t>TLL</w:t>
      </w:r>
      <w:r w:rsidR="00BD2BFD" w:rsidRPr="00D14D68">
        <w:t xml:space="preserve">, etc.) </w:t>
      </w:r>
      <w:r w:rsidR="00891A5F" w:rsidRPr="00D14D68">
        <w:t>used</w:t>
      </w:r>
      <w:r w:rsidR="00BD2BFD" w:rsidRPr="00D14D68">
        <w:t xml:space="preserve"> in the edition;</w:t>
      </w:r>
    </w:p>
    <w:p w14:paraId="1926B692" w14:textId="28625B48" w:rsidR="00BD2BFD" w:rsidRPr="00D14D68" w:rsidRDefault="00BD2BFD" w:rsidP="005C30A7">
      <w:pPr>
        <w:pStyle w:val="ListParagraph"/>
        <w:numPr>
          <w:ilvl w:val="0"/>
          <w:numId w:val="1"/>
        </w:num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 xml:space="preserve">a table of authors, works, and editions cited in </w:t>
      </w:r>
      <w:r w:rsidR="00E82021" w:rsidRPr="00D14D68">
        <w:t xml:space="preserve">the </w:t>
      </w:r>
      <w:r w:rsidRPr="00D14D68">
        <w:t>text and testimonial apparatus, so that interested readers can track the citations to their sources;</w:t>
      </w:r>
    </w:p>
    <w:p w14:paraId="17515589" w14:textId="18B58839" w:rsidR="00BD2BFD" w:rsidRPr="00D14D68" w:rsidRDefault="00BD2BFD" w:rsidP="005C30A7">
      <w:pPr>
        <w:pStyle w:val="ListParagraph"/>
        <w:numPr>
          <w:ilvl w:val="0"/>
          <w:numId w:val="1"/>
        </w:num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 xml:space="preserve">full bibliographical references for the </w:t>
      </w:r>
      <w:r w:rsidR="00891A5F" w:rsidRPr="00D14D68">
        <w:t xml:space="preserve">emendations cited in the critical apparatus, </w:t>
      </w:r>
      <w:r w:rsidR="00E51FA3" w:rsidRPr="00D14D68">
        <w:t>provided</w:t>
      </w:r>
      <w:r w:rsidR="00891A5F" w:rsidRPr="00D14D68">
        <w:t xml:space="preserve"> for the same reason;</w:t>
      </w:r>
    </w:p>
    <w:p w14:paraId="45B527AD" w14:textId="63074156" w:rsidR="00E82021" w:rsidRPr="00D14D68" w:rsidRDefault="00E82021" w:rsidP="005C30A7">
      <w:pPr>
        <w:pStyle w:val="ListParagraph"/>
        <w:numPr>
          <w:ilvl w:val="0"/>
          <w:numId w:val="1"/>
        </w:num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>an updating of many of the editions cited in the text, testimonial apparatus, and table of authors and works;</w:t>
      </w:r>
    </w:p>
    <w:p w14:paraId="78C89EAF" w14:textId="103AF4F4" w:rsidR="00BE3FAB" w:rsidRPr="00D14D68" w:rsidRDefault="00532AA0" w:rsidP="005C30A7">
      <w:pPr>
        <w:pStyle w:val="ListParagraph"/>
        <w:numPr>
          <w:ilvl w:val="0"/>
          <w:numId w:val="1"/>
        </w:num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 xml:space="preserve">a </w:t>
      </w:r>
      <w:r w:rsidR="00891A5F" w:rsidRPr="00D14D68">
        <w:t xml:space="preserve">list of </w:t>
      </w:r>
      <w:r w:rsidRPr="00D14D68">
        <w:t>previous</w:t>
      </w:r>
      <w:r w:rsidR="00891A5F" w:rsidRPr="00D14D68">
        <w:t xml:space="preserve"> editions of Servius cited in the critical apparatus and </w:t>
      </w:r>
      <w:r w:rsidR="00BE3FAB" w:rsidRPr="00D14D68">
        <w:t>a bibliography of the secondary literature cited</w:t>
      </w:r>
      <w:r w:rsidR="00AA5879" w:rsidRPr="00D14D68">
        <w:t xml:space="preserve"> throughout</w:t>
      </w:r>
      <w:r w:rsidR="00BE3FAB" w:rsidRPr="00D14D68">
        <w:t>;</w:t>
      </w:r>
    </w:p>
    <w:p w14:paraId="437CA8EB" w14:textId="4B6AD5FF" w:rsidR="00BE3FAB" w:rsidRPr="00D14D68" w:rsidRDefault="005907A2" w:rsidP="005C30A7">
      <w:pPr>
        <w:pStyle w:val="ListParagraph"/>
        <w:numPr>
          <w:ilvl w:val="0"/>
          <w:numId w:val="1"/>
        </w:num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</w:pPr>
      <w:r w:rsidRPr="00D14D68">
        <w:t xml:space="preserve">a table of </w:t>
      </w:r>
      <w:r w:rsidRPr="00D14D68">
        <w:rPr>
          <w:i/>
        </w:rPr>
        <w:t>sigla</w:t>
      </w:r>
      <w:r w:rsidR="00B50F66" w:rsidRPr="00D14D68">
        <w:t xml:space="preserve"> to precede the Latin text</w:t>
      </w:r>
      <w:r w:rsidR="00C83ACB" w:rsidRPr="00D14D68">
        <w:t>, with a list of abbreviations used in the critical apparatus.</w:t>
      </w:r>
    </w:p>
    <w:p w14:paraId="4304DE48" w14:textId="335DA806" w:rsidR="00891A5F" w:rsidRPr="00D14D68" w:rsidRDefault="00C83ACB" w:rsidP="00891A5F">
      <w:pPr>
        <w:tabs>
          <w:tab w:val="clear" w:pos="360"/>
          <w:tab w:val="clear" w:pos="720"/>
          <w:tab w:val="clear" w:pos="4680"/>
          <w:tab w:val="clear" w:pos="9360"/>
        </w:tabs>
        <w:spacing w:after="120" w:line="360" w:lineRule="auto"/>
        <w:jc w:val="center"/>
      </w:pPr>
      <w:r w:rsidRPr="00D14D68">
        <w:t xml:space="preserve">*  </w:t>
      </w:r>
      <w:r w:rsidR="00891A5F" w:rsidRPr="00D14D68">
        <w:t xml:space="preserve">   *     *</w:t>
      </w:r>
    </w:p>
    <w:p w14:paraId="488C1493" w14:textId="691F06D3" w:rsidR="00E51FA3" w:rsidRPr="00D14D68" w:rsidRDefault="00C006CD" w:rsidP="002C7318">
      <w:pPr>
        <w:tabs>
          <w:tab w:val="clear" w:pos="360"/>
          <w:tab w:val="clear" w:pos="720"/>
          <w:tab w:val="clear" w:pos="4680"/>
        </w:tabs>
        <w:spacing w:after="120" w:line="360" w:lineRule="auto"/>
      </w:pPr>
      <w:r w:rsidRPr="00D14D68">
        <w:t xml:space="preserve">Had </w:t>
      </w:r>
      <w:r w:rsidR="00F625E8" w:rsidRPr="00D14D68">
        <w:t>CEM</w:t>
      </w:r>
      <w:r w:rsidRPr="00D14D68">
        <w:t xml:space="preserve"> been able to complete this work, he would have </w:t>
      </w:r>
      <w:r w:rsidR="00532AA0" w:rsidRPr="00D14D68">
        <w:t>acknowledged</w:t>
      </w:r>
      <w:r w:rsidR="009E559A" w:rsidRPr="00D14D68">
        <w:t>, by name,</w:t>
      </w:r>
      <w:r w:rsidRPr="00D14D68">
        <w:t xml:space="preserve"> </w:t>
      </w:r>
      <w:r w:rsidR="00B50F66" w:rsidRPr="00D14D68">
        <w:t>many</w:t>
      </w:r>
      <w:r w:rsidRPr="00D14D68">
        <w:t xml:space="preserve"> schol</w:t>
      </w:r>
      <w:r w:rsidR="00B50F66" w:rsidRPr="00D14D68">
        <w:t xml:space="preserve">ars on whose </w:t>
      </w:r>
      <w:r w:rsidR="00532AA0" w:rsidRPr="00D14D68">
        <w:t>assistance</w:t>
      </w:r>
      <w:r w:rsidR="00B50F66" w:rsidRPr="00D14D68">
        <w:t xml:space="preserve"> he had relied</w:t>
      </w:r>
      <w:r w:rsidR="00E51FA3" w:rsidRPr="00D14D68">
        <w:t xml:space="preserve"> over the years</w:t>
      </w:r>
      <w:r w:rsidR="00B50F66" w:rsidRPr="00D14D68">
        <w:t xml:space="preserve">, and I regret that I </w:t>
      </w:r>
      <w:r w:rsidR="00E51FA3" w:rsidRPr="00D14D68">
        <w:t>am able to</w:t>
      </w:r>
      <w:r w:rsidR="00B50F66" w:rsidRPr="00D14D68">
        <w:t xml:space="preserve"> offer only </w:t>
      </w:r>
      <w:r w:rsidR="00532AA0" w:rsidRPr="00D14D68">
        <w:t>a general</w:t>
      </w:r>
      <w:r w:rsidR="00E51FA3" w:rsidRPr="00D14D68">
        <w:t xml:space="preserve"> and</w:t>
      </w:r>
      <w:r w:rsidR="00F625E8" w:rsidRPr="00D14D68">
        <w:t xml:space="preserve"> inadequate</w:t>
      </w:r>
      <w:r w:rsidR="00B50F66" w:rsidRPr="00D14D68">
        <w:t xml:space="preserve"> expression of gratitude in his stead. </w:t>
      </w:r>
      <w:r w:rsidR="00532AA0" w:rsidRPr="00D14D68">
        <w:t xml:space="preserve">Thanks, however, to Donald Mastronarde’s canvass of present and former students of Berkeley’s Department of Classics, </w:t>
      </w:r>
      <w:r w:rsidR="00B50F66" w:rsidRPr="00D14D68">
        <w:t xml:space="preserve">I </w:t>
      </w:r>
      <w:r w:rsidR="00E51FA3" w:rsidRPr="00D14D68">
        <w:t>can</w:t>
      </w:r>
      <w:r w:rsidR="00532AA0" w:rsidRPr="00D14D68">
        <w:t xml:space="preserve"> </w:t>
      </w:r>
      <w:r w:rsidR="00E51FA3" w:rsidRPr="00D14D68">
        <w:t>gladly</w:t>
      </w:r>
      <w:r w:rsidR="00B50F66" w:rsidRPr="00D14D68">
        <w:t xml:space="preserve"> </w:t>
      </w:r>
      <w:r w:rsidR="001F7673" w:rsidRPr="00D14D68">
        <w:t>acknowledge eleven of the graduate assistants who worked with CEM on the testimonial apparatus or</w:t>
      </w:r>
      <w:r w:rsidR="00BC3FB9" w:rsidRPr="00D14D68">
        <w:t>,</w:t>
      </w:r>
      <w:r w:rsidR="001F7673" w:rsidRPr="00D14D68">
        <w:t xml:space="preserve"> in a few cases</w:t>
      </w:r>
      <w:r w:rsidR="00BC3FB9" w:rsidRPr="00D14D68">
        <w:t>,</w:t>
      </w:r>
      <w:r w:rsidR="001F7673" w:rsidRPr="00D14D68">
        <w:t xml:space="preserve"> on collations</w:t>
      </w:r>
      <w:r w:rsidR="006A2568" w:rsidRPr="00D14D68">
        <w:t>: t</w:t>
      </w:r>
      <w:r w:rsidR="009E559A" w:rsidRPr="00D14D68">
        <w:t>hese are, alphabe</w:t>
      </w:r>
      <w:r w:rsidR="00F6272B" w:rsidRPr="00D14D68">
        <w:t>tically by surname (and with apologies</w:t>
      </w:r>
      <w:r w:rsidR="009E559A" w:rsidRPr="00D14D68">
        <w:t xml:space="preserve"> to </w:t>
      </w:r>
      <w:r w:rsidR="006A2568" w:rsidRPr="00D14D68">
        <w:t>anyone unintentionally omitted),</w:t>
      </w:r>
      <w:r w:rsidR="009E559A" w:rsidRPr="00D14D68">
        <w:t xml:space="preserve"> </w:t>
      </w:r>
      <w:r w:rsidR="00F6272B" w:rsidRPr="00D14D68">
        <w:t>Shadi Bartsch</w:t>
      </w:r>
      <w:r w:rsidR="00525D7A" w:rsidRPr="00D14D68">
        <w:t>-Zimmer</w:t>
      </w:r>
      <w:r w:rsidR="00F6272B" w:rsidRPr="00D14D68">
        <w:t xml:space="preserve">, </w:t>
      </w:r>
      <w:r w:rsidR="002C7318" w:rsidRPr="00D14D68">
        <w:t xml:space="preserve">Andrew Finch, Stefan Gruen, Karalee Strieby Harding, </w:t>
      </w:r>
      <w:r w:rsidR="00F6272B" w:rsidRPr="00D14D68">
        <w:t xml:space="preserve">Tom Hendrickson, Jared Hudson, </w:t>
      </w:r>
      <w:r w:rsidR="002C7318" w:rsidRPr="00D14D68">
        <w:t xml:space="preserve">Miriam Pelikan Pettinger, </w:t>
      </w:r>
      <w:r w:rsidR="00F6272B" w:rsidRPr="00D14D68">
        <w:t xml:space="preserve">Josephine Crawley Quinn, Dylan Sailor, Wilson Shearin, and </w:t>
      </w:r>
      <w:r w:rsidR="002C7318" w:rsidRPr="00D14D68">
        <w:t>Sarah Stroup</w:t>
      </w:r>
      <w:r w:rsidR="00C86358" w:rsidRPr="00D14D68">
        <w:t xml:space="preserve">; I can </w:t>
      </w:r>
      <w:r w:rsidR="00E51FA3" w:rsidRPr="00D14D68">
        <w:t>also express more</w:t>
      </w:r>
      <w:r w:rsidR="00F6272B" w:rsidRPr="00D14D68">
        <w:t xml:space="preserve"> personal thanks to Tom Hendrickson and Jared Hudson</w:t>
      </w:r>
      <w:r w:rsidR="00532AA0" w:rsidRPr="00D14D68">
        <w:t xml:space="preserve"> for answering </w:t>
      </w:r>
      <w:r w:rsidR="00F62432" w:rsidRPr="00D14D68">
        <w:t>my</w:t>
      </w:r>
      <w:r w:rsidR="00532AA0" w:rsidRPr="00D14D68">
        <w:t xml:space="preserve"> queries at</w:t>
      </w:r>
      <w:r w:rsidR="00F6272B" w:rsidRPr="00D14D68">
        <w:t xml:space="preserve"> </w:t>
      </w:r>
      <w:r w:rsidR="00B14888" w:rsidRPr="00D14D68">
        <w:t>an early stage</w:t>
      </w:r>
      <w:r w:rsidR="00F6272B" w:rsidRPr="00D14D68">
        <w:t xml:space="preserve"> of my work. </w:t>
      </w:r>
    </w:p>
    <w:p w14:paraId="466B7E81" w14:textId="753C1C6F" w:rsidR="002C7318" w:rsidRPr="00D14D68" w:rsidRDefault="00E530C7" w:rsidP="002C7318">
      <w:pPr>
        <w:tabs>
          <w:tab w:val="clear" w:pos="360"/>
          <w:tab w:val="clear" w:pos="720"/>
          <w:tab w:val="clear" w:pos="4680"/>
        </w:tabs>
        <w:spacing w:after="120" w:line="360" w:lineRule="auto"/>
      </w:pPr>
      <w:r w:rsidRPr="00D14D68">
        <w:t>All users of this edition should know that t</w:t>
      </w:r>
      <w:r w:rsidR="008412F6" w:rsidRPr="00D14D68">
        <w:t>he</w:t>
      </w:r>
      <w:r w:rsidR="00F6272B" w:rsidRPr="00D14D68">
        <w:t xml:space="preserve"> project would not have reached this point </w:t>
      </w:r>
      <w:r w:rsidR="00ED1856" w:rsidRPr="00D14D68">
        <w:t xml:space="preserve">if </w:t>
      </w:r>
      <w:r w:rsidR="00F6272B" w:rsidRPr="00D14D68">
        <w:t xml:space="preserve">Donald Mastronarde </w:t>
      </w:r>
      <w:r w:rsidR="00ED1856" w:rsidRPr="00D14D68">
        <w:t xml:space="preserve">had not </w:t>
      </w:r>
      <w:r w:rsidR="00F625E8" w:rsidRPr="00D14D68">
        <w:t xml:space="preserve">devoted </w:t>
      </w:r>
      <w:r w:rsidR="00ED1856" w:rsidRPr="00D14D68">
        <w:t xml:space="preserve">countless hours </w:t>
      </w:r>
      <w:r w:rsidR="00F625E8" w:rsidRPr="00D14D68">
        <w:t xml:space="preserve">to managing </w:t>
      </w:r>
      <w:r w:rsidR="008412F6" w:rsidRPr="00D14D68">
        <w:t>CEM’s</w:t>
      </w:r>
      <w:r w:rsidR="00F625E8" w:rsidRPr="00D14D68">
        <w:t xml:space="preserve"> S</w:t>
      </w:r>
      <w:r w:rsidR="008412F6" w:rsidRPr="00D14D68">
        <w:t xml:space="preserve">ervian </w:t>
      </w:r>
      <w:r w:rsidR="009E1B19" w:rsidRPr="00D14D68">
        <w:rPr>
          <w:i/>
        </w:rPr>
        <w:t>Nachlass</w:t>
      </w:r>
      <w:r w:rsidR="00F625E8" w:rsidRPr="00D14D68">
        <w:t xml:space="preserve">: for those efforts </w:t>
      </w:r>
      <w:r w:rsidRPr="00D14D68">
        <w:t xml:space="preserve">we all </w:t>
      </w:r>
      <w:r w:rsidR="00F625E8" w:rsidRPr="00D14D68">
        <w:t xml:space="preserve">owe him great thanks, as do I </w:t>
      </w:r>
      <w:r w:rsidRPr="00D14D68">
        <w:t xml:space="preserve">more </w:t>
      </w:r>
      <w:r w:rsidR="00B14888" w:rsidRPr="00D14D68">
        <w:t>particularly</w:t>
      </w:r>
      <w:r w:rsidRPr="00D14D68">
        <w:t xml:space="preserve"> </w:t>
      </w:r>
      <w:r w:rsidR="00F625E8" w:rsidRPr="00D14D68">
        <w:t xml:space="preserve">for the many questions he has answered and other forms of help he has provided over the past </w:t>
      </w:r>
      <w:r w:rsidR="00933970">
        <w:t>eigh</w:t>
      </w:r>
      <w:r w:rsidR="00D818CF" w:rsidRPr="00D14D68">
        <w:t>teen months</w:t>
      </w:r>
      <w:r w:rsidR="00F625E8" w:rsidRPr="00D14D68">
        <w:t>.</w:t>
      </w:r>
      <w:r w:rsidR="00C86358" w:rsidRPr="00D14D68">
        <w:t xml:space="preserve"> I </w:t>
      </w:r>
      <w:r w:rsidR="00904051" w:rsidRPr="00D14D68">
        <w:t>also</w:t>
      </w:r>
      <w:r w:rsidR="00C86358" w:rsidRPr="00D14D68">
        <w:t xml:space="preserve"> </w:t>
      </w:r>
      <w:r w:rsidR="00F938AE" w:rsidRPr="00D14D68">
        <w:t xml:space="preserve">gladly </w:t>
      </w:r>
      <w:r w:rsidR="00904051" w:rsidRPr="00D14D68">
        <w:t>thank</w:t>
      </w:r>
      <w:r w:rsidR="00C86358" w:rsidRPr="00D14D68">
        <w:t xml:space="preserve"> the Regents of t</w:t>
      </w:r>
      <w:r w:rsidR="009E1B19" w:rsidRPr="00D14D68">
        <w:t xml:space="preserve">he University of California, </w:t>
      </w:r>
      <w:r w:rsidR="00904051" w:rsidRPr="00D14D68">
        <w:t>as</w:t>
      </w:r>
      <w:r w:rsidR="009E1B19" w:rsidRPr="00D14D68">
        <w:t xml:space="preserve"> </w:t>
      </w:r>
      <w:r w:rsidR="00ED1856" w:rsidRPr="00D14D68">
        <w:t>owners of the copyright for</w:t>
      </w:r>
      <w:r w:rsidR="008412F6" w:rsidRPr="00D14D68">
        <w:t xml:space="preserve"> CEM’s papers under</w:t>
      </w:r>
      <w:r w:rsidR="00C86358" w:rsidRPr="00D14D68">
        <w:t xml:space="preserve"> </w:t>
      </w:r>
      <w:r w:rsidR="00D818CF" w:rsidRPr="00D14D68">
        <w:t xml:space="preserve">the </w:t>
      </w:r>
      <w:r w:rsidR="008412F6" w:rsidRPr="00D14D68">
        <w:t>terms of his</w:t>
      </w:r>
      <w:r w:rsidR="00D818CF" w:rsidRPr="00D14D68">
        <w:t xml:space="preserve"> will,</w:t>
      </w:r>
      <w:r w:rsidR="00ED1856" w:rsidRPr="00D14D68">
        <w:t xml:space="preserve"> who</w:t>
      </w:r>
      <w:r w:rsidR="00C86358" w:rsidRPr="00D14D68">
        <w:t xml:space="preserve"> </w:t>
      </w:r>
      <w:r w:rsidR="00ED1856" w:rsidRPr="00D14D68">
        <w:t>granted</w:t>
      </w:r>
      <w:r w:rsidR="00D818CF" w:rsidRPr="00D14D68">
        <w:t xml:space="preserve"> me joint ownership</w:t>
      </w:r>
      <w:r w:rsidR="00C86358" w:rsidRPr="00D14D68">
        <w:t xml:space="preserve"> so that I might do what was necessary to bring the edition to publication</w:t>
      </w:r>
      <w:r w:rsidR="00F938AE" w:rsidRPr="00D14D68">
        <w:t>, and Berkeley’s Department of Classics, chaired by Nelly Oliensis, for providing funds to help underwrite the cost of production</w:t>
      </w:r>
      <w:r w:rsidR="00C86358" w:rsidRPr="00D14D68">
        <w:t xml:space="preserve">. </w:t>
      </w:r>
      <w:r w:rsidRPr="00D14D68">
        <w:t xml:space="preserve">At Princeton </w:t>
      </w:r>
      <w:r w:rsidR="006A2568" w:rsidRPr="00D14D68">
        <w:t xml:space="preserve">Joseph Gauvreau </w:t>
      </w:r>
      <w:r w:rsidR="00F938AE" w:rsidRPr="00D14D68">
        <w:t>gave</w:t>
      </w:r>
      <w:r w:rsidR="006A2568" w:rsidRPr="00D14D68">
        <w:t xml:space="preserve"> invaluable assistance in compiling the table of authors, work</w:t>
      </w:r>
      <w:r w:rsidR="00B46CFB" w:rsidRPr="00D14D68">
        <w:t>s, and editions, as did Nancy Blaustein, department manager of Princeton’s Classics Department, in helping with several administrative issues tha</w:t>
      </w:r>
      <w:r w:rsidR="00180081" w:rsidRPr="00D14D68">
        <w:t>t arose</w:t>
      </w:r>
      <w:r w:rsidR="00F938AE" w:rsidRPr="00D14D68">
        <w:t>; and the Classics Department’s Magie Fund once again supported my work by providing a generous subvention grant</w:t>
      </w:r>
      <w:r w:rsidR="00180081" w:rsidRPr="00D14D68">
        <w:t xml:space="preserve">. Cynthia Damon came to the aid of </w:t>
      </w:r>
      <w:r w:rsidR="00B46CFB" w:rsidRPr="00D14D68">
        <w:t>the ‘APA / Harvard Servius</w:t>
      </w:r>
      <w:r w:rsidR="00180081" w:rsidRPr="00D14D68">
        <w:t>’ at a critical</w:t>
      </w:r>
      <w:r w:rsidR="009E1B19" w:rsidRPr="00D14D68">
        <w:t xml:space="preserve"> juncture over a decade ago, working to ensure the project’s</w:t>
      </w:r>
      <w:r w:rsidR="00180081" w:rsidRPr="00D14D68">
        <w:t xml:space="preserve"> continuity</w:t>
      </w:r>
      <w:r w:rsidR="00933970">
        <w:t xml:space="preserve">; more recently, </w:t>
      </w:r>
      <w:r w:rsidR="00905FF1">
        <w:t xml:space="preserve">as a referee, </w:t>
      </w:r>
      <w:r w:rsidR="00933970">
        <w:t xml:space="preserve">she </w:t>
      </w:r>
      <w:r w:rsidR="00905FF1">
        <w:t>suggested several important improvements in presentation</w:t>
      </w:r>
      <w:r w:rsidR="00904051" w:rsidRPr="00D14D68">
        <w:t xml:space="preserve"> </w:t>
      </w:r>
      <w:r w:rsidR="00905FF1">
        <w:t xml:space="preserve">and </w:t>
      </w:r>
      <w:r w:rsidR="00904051" w:rsidRPr="00D14D68">
        <w:t>provided help</w:t>
      </w:r>
      <w:r w:rsidR="009E1B19" w:rsidRPr="00D14D68">
        <w:t xml:space="preserve"> </w:t>
      </w:r>
      <w:r w:rsidR="001E19F2" w:rsidRPr="00D14D68">
        <w:t xml:space="preserve">by answering </w:t>
      </w:r>
      <w:r w:rsidR="00905FF1">
        <w:t>some</w:t>
      </w:r>
      <w:bookmarkStart w:id="0" w:name="_GoBack"/>
      <w:bookmarkEnd w:id="0"/>
      <w:r w:rsidR="00180081" w:rsidRPr="00D14D68">
        <w:t xml:space="preserve"> schola</w:t>
      </w:r>
      <w:r w:rsidR="009E5A7F" w:rsidRPr="00D14D68">
        <w:t>rly queries</w:t>
      </w:r>
      <w:r w:rsidR="00905FF1">
        <w:t>. F</w:t>
      </w:r>
      <w:r w:rsidR="00271AAA" w:rsidRPr="00D14D68">
        <w:t xml:space="preserve">or similar responses I am grateful </w:t>
      </w:r>
      <w:r w:rsidR="00904051" w:rsidRPr="00D14D68">
        <w:t xml:space="preserve">also </w:t>
      </w:r>
      <w:r w:rsidR="00271AAA" w:rsidRPr="00D14D68">
        <w:t xml:space="preserve">to David Armstrong, James Brusuelas, Michael Flower, Chris Pelling, John Ramsey, and Jim Zetzel. </w:t>
      </w:r>
      <w:r w:rsidR="006A2568" w:rsidRPr="00D14D68">
        <w:t xml:space="preserve"> </w:t>
      </w:r>
      <w:r w:rsidR="00D818CF" w:rsidRPr="00D14D68">
        <w:t xml:space="preserve">Finally, I </w:t>
      </w:r>
      <w:r w:rsidRPr="00D14D68">
        <w:t>warmly thank</w:t>
      </w:r>
      <w:r w:rsidR="00D818CF" w:rsidRPr="00D14D68">
        <w:t xml:space="preserve"> three </w:t>
      </w:r>
      <w:r w:rsidR="0047449F" w:rsidRPr="00D14D68">
        <w:t>individuals</w:t>
      </w:r>
      <w:r w:rsidR="00D818CF" w:rsidRPr="00D14D68">
        <w:t xml:space="preserve">, and the institutions they represent, for the </w:t>
      </w:r>
      <w:r w:rsidRPr="00D14D68">
        <w:t xml:space="preserve">advice, </w:t>
      </w:r>
      <w:r w:rsidR="00D818CF" w:rsidRPr="00D14D68">
        <w:t>encouragement, and support that has made publication possible, first in print and ultimately as an open-access online edition</w:t>
      </w:r>
      <w:r w:rsidR="0047449F" w:rsidRPr="00D14D68">
        <w:t>: Michael Gagarin, Vice President for Publications and Research of the Society for Classical Studies (formerly the American Philological Association); Samuel Huskey</w:t>
      </w:r>
      <w:r w:rsidR="001D1B31" w:rsidRPr="00D14D68">
        <w:t xml:space="preserve">, Director of the Digital Latin Library; and Stefan Vranka, Classics editor of Oxford University Press </w:t>
      </w:r>
      <w:r w:rsidR="009C7030" w:rsidRPr="00D14D68">
        <w:t>-</w:t>
      </w:r>
      <w:r w:rsidR="001D1B31" w:rsidRPr="00D14D68">
        <w:t xml:space="preserve"> USA.</w:t>
      </w:r>
    </w:p>
    <w:p w14:paraId="0DAEC476" w14:textId="068BA025" w:rsidR="005907A2" w:rsidRPr="00D14D68" w:rsidRDefault="00C006CD" w:rsidP="00C006CD">
      <w:pPr>
        <w:tabs>
          <w:tab w:val="clear" w:pos="360"/>
          <w:tab w:val="clear" w:pos="720"/>
          <w:tab w:val="clear" w:pos="4680"/>
        </w:tabs>
        <w:spacing w:line="360" w:lineRule="auto"/>
      </w:pPr>
      <w:r w:rsidRPr="00D14D68">
        <w:tab/>
      </w:r>
      <w:r w:rsidR="00891A5F" w:rsidRPr="00D14D68">
        <w:t>Robert A. Kaster</w:t>
      </w:r>
    </w:p>
    <w:p w14:paraId="04B39E11" w14:textId="4F9C20AB" w:rsidR="005907A2" w:rsidRPr="00D14D68" w:rsidRDefault="00891A5F" w:rsidP="005C30A7">
      <w:pPr>
        <w:tabs>
          <w:tab w:val="clear" w:pos="360"/>
          <w:tab w:val="clear" w:pos="720"/>
          <w:tab w:val="clear" w:pos="4680"/>
          <w:tab w:val="clear" w:pos="9360"/>
        </w:tabs>
        <w:spacing w:line="360" w:lineRule="auto"/>
        <w:rPr>
          <w:i/>
        </w:rPr>
      </w:pPr>
      <w:r w:rsidRPr="00D14D68">
        <w:rPr>
          <w:i/>
        </w:rPr>
        <w:t>Princeton, New Jersey</w:t>
      </w:r>
    </w:p>
    <w:p w14:paraId="79C39251" w14:textId="7BE0A7A4" w:rsidR="005907A2" w:rsidRPr="00D14D68" w:rsidRDefault="00D14D68" w:rsidP="005C30A7">
      <w:pPr>
        <w:tabs>
          <w:tab w:val="clear" w:pos="360"/>
          <w:tab w:val="clear" w:pos="720"/>
          <w:tab w:val="clear" w:pos="4680"/>
          <w:tab w:val="clear" w:pos="9360"/>
        </w:tabs>
        <w:spacing w:line="360" w:lineRule="auto"/>
        <w:rPr>
          <w:i/>
        </w:rPr>
      </w:pPr>
      <w:r>
        <w:rPr>
          <w:i/>
        </w:rPr>
        <w:t>20</w:t>
      </w:r>
      <w:r w:rsidR="008E6100" w:rsidRPr="00D14D68">
        <w:rPr>
          <w:i/>
        </w:rPr>
        <w:t xml:space="preserve"> </w:t>
      </w:r>
      <w:r>
        <w:rPr>
          <w:i/>
        </w:rPr>
        <w:t>December</w:t>
      </w:r>
      <w:r w:rsidR="005907A2" w:rsidRPr="00D14D68">
        <w:rPr>
          <w:i/>
        </w:rPr>
        <w:t xml:space="preserve"> 2016</w:t>
      </w:r>
    </w:p>
    <w:sectPr w:rsidR="005907A2" w:rsidRPr="00D14D68" w:rsidSect="00056CC9">
      <w:headerReference w:type="default" r:id="rId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586BF" w14:textId="77777777" w:rsidR="00933970" w:rsidRDefault="00933970" w:rsidP="00E309FE">
      <w:r>
        <w:separator/>
      </w:r>
    </w:p>
  </w:endnote>
  <w:endnote w:type="continuationSeparator" w:id="0">
    <w:p w14:paraId="23CF06F2" w14:textId="77777777" w:rsidR="00933970" w:rsidRDefault="00933970" w:rsidP="00E3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12AB4" w14:textId="77777777" w:rsidR="00933970" w:rsidRDefault="00933970" w:rsidP="00E309FE">
      <w:r>
        <w:separator/>
      </w:r>
    </w:p>
  </w:footnote>
  <w:footnote w:type="continuationSeparator" w:id="0">
    <w:p w14:paraId="1A261B8D" w14:textId="77777777" w:rsidR="00933970" w:rsidRDefault="00933970" w:rsidP="00E309FE">
      <w:r>
        <w:continuationSeparator/>
      </w:r>
    </w:p>
  </w:footnote>
  <w:footnote w:id="1">
    <w:p w14:paraId="06190C33" w14:textId="68B0FA02" w:rsidR="00933970" w:rsidRPr="00933970" w:rsidRDefault="00933970">
      <w:pPr>
        <w:pStyle w:val="FootnoteText"/>
        <w:rPr>
          <w:szCs w:val="20"/>
        </w:rPr>
      </w:pPr>
      <w:r w:rsidRPr="00933970">
        <w:rPr>
          <w:rStyle w:val="FootnoteReference"/>
          <w:szCs w:val="20"/>
        </w:rPr>
        <w:footnoteRef/>
      </w:r>
      <w:r w:rsidRPr="00933970">
        <w:rPr>
          <w:szCs w:val="20"/>
        </w:rPr>
        <w:t xml:space="preserve"> </w:t>
      </w:r>
      <w:r w:rsidRPr="00933970">
        <w:rPr>
          <w:szCs w:val="20"/>
        </w:rPr>
        <w:tab/>
        <w:t>Those previous volumes—Rand et al. 1946 (</w:t>
      </w:r>
      <w:r w:rsidRPr="00933970">
        <w:rPr>
          <w:i/>
          <w:szCs w:val="20"/>
        </w:rPr>
        <w:t xml:space="preserve">Aeneid </w:t>
      </w:r>
      <w:r w:rsidRPr="00933970">
        <w:rPr>
          <w:szCs w:val="20"/>
        </w:rPr>
        <w:t>1-2) and Smith et al. 1965 (</w:t>
      </w:r>
      <w:r w:rsidRPr="00933970">
        <w:rPr>
          <w:i/>
          <w:szCs w:val="20"/>
        </w:rPr>
        <w:t xml:space="preserve">Aeneid </w:t>
      </w:r>
      <w:r w:rsidRPr="00933970">
        <w:rPr>
          <w:szCs w:val="20"/>
        </w:rPr>
        <w:t xml:space="preserve">3-5)—were numbers 2 and 3 of what was conceived as a 5-volume set, of which CEM’s was to be the last. Volume 1, intended to include the commentaries on the </w:t>
      </w:r>
      <w:r w:rsidRPr="00933970">
        <w:rPr>
          <w:i/>
          <w:szCs w:val="20"/>
        </w:rPr>
        <w:t xml:space="preserve">Eclogues </w:t>
      </w:r>
      <w:r w:rsidRPr="00933970">
        <w:rPr>
          <w:szCs w:val="20"/>
        </w:rPr>
        <w:t xml:space="preserve">and </w:t>
      </w:r>
      <w:r w:rsidRPr="00933970">
        <w:rPr>
          <w:i/>
          <w:szCs w:val="20"/>
        </w:rPr>
        <w:t>Georgics</w:t>
      </w:r>
      <w:r w:rsidRPr="00933970">
        <w:rPr>
          <w:szCs w:val="20"/>
        </w:rPr>
        <w:t>, was abandoned after the death of its editor, G. P. Goold, in 2001; volume 4 (</w:t>
      </w:r>
      <w:r w:rsidRPr="00933970">
        <w:rPr>
          <w:i/>
          <w:szCs w:val="20"/>
        </w:rPr>
        <w:t>Aeneid</w:t>
      </w:r>
      <w:r w:rsidRPr="00933970">
        <w:rPr>
          <w:szCs w:val="20"/>
        </w:rPr>
        <w:t xml:space="preserve"> 6-8) was entrusted to an </w:t>
      </w:r>
      <w:r w:rsidRPr="00933970">
        <w:rPr>
          <w:rFonts w:eastAsia="Courier New" w:cs="Courier New"/>
          <w:szCs w:val="20"/>
        </w:rPr>
        <w:t>editorial team that now comprises E. Christian Kopff, Dirk Obbink, and James Brusuelas,</w:t>
      </w:r>
      <w:r w:rsidRPr="00933970">
        <w:rPr>
          <w:szCs w:val="20"/>
        </w:rPr>
        <w:t xml:space="preserve"> after its editor, P. K. Marshall, died, also in 2001</w:t>
      </w:r>
      <w:r w:rsidRPr="00933970">
        <w:rPr>
          <w:rFonts w:eastAsia="Courier New" w:cs="Courier New"/>
          <w:szCs w:val="20"/>
        </w:rPr>
        <w:t>.</w:t>
      </w:r>
    </w:p>
  </w:footnote>
  <w:footnote w:id="2">
    <w:p w14:paraId="1C064577" w14:textId="6E4C480A" w:rsidR="00933970" w:rsidRPr="00933970" w:rsidRDefault="00933970" w:rsidP="0081038D">
      <w:pPr>
        <w:pStyle w:val="FootnoteText"/>
        <w:rPr>
          <w:szCs w:val="20"/>
        </w:rPr>
      </w:pPr>
      <w:r w:rsidRPr="00933970">
        <w:rPr>
          <w:rStyle w:val="FootnoteReference"/>
          <w:szCs w:val="20"/>
        </w:rPr>
        <w:footnoteRef/>
      </w:r>
      <w:r w:rsidRPr="00933970">
        <w:rPr>
          <w:szCs w:val="20"/>
        </w:rPr>
        <w:t xml:space="preserve"> </w:t>
      </w:r>
      <w:r w:rsidRPr="00933970">
        <w:rPr>
          <w:szCs w:val="20"/>
        </w:rPr>
        <w:tab/>
        <w:t>I have, however, made minor adjustments in the format of citations for the sake of economy, for example replacing ‘Aen. XII 775’ with ‘A. 12.755’ in cross-references to Vergil’s text.</w:t>
      </w:r>
    </w:p>
  </w:footnote>
  <w:footnote w:id="3">
    <w:p w14:paraId="28B68BD0" w14:textId="4623576A" w:rsidR="00933970" w:rsidRPr="00933970" w:rsidRDefault="00933970" w:rsidP="00EA0D02">
      <w:pPr>
        <w:pStyle w:val="FootnoteText"/>
        <w:rPr>
          <w:szCs w:val="20"/>
        </w:rPr>
      </w:pPr>
      <w:r w:rsidRPr="00933970">
        <w:rPr>
          <w:rStyle w:val="FootnoteReference"/>
          <w:szCs w:val="20"/>
        </w:rPr>
        <w:footnoteRef/>
      </w:r>
      <w:r w:rsidRPr="00933970">
        <w:rPr>
          <w:szCs w:val="20"/>
        </w:rPr>
        <w:t xml:space="preserve"> </w:t>
      </w:r>
      <w:r w:rsidRPr="00933970">
        <w:rPr>
          <w:szCs w:val="20"/>
        </w:rPr>
        <w:tab/>
        <w:t xml:space="preserve">‘Servius, manuscripts of’. by Charles E. Murgia, in: </w:t>
      </w:r>
      <w:r w:rsidRPr="00933970">
        <w:rPr>
          <w:i/>
          <w:iCs/>
          <w:szCs w:val="20"/>
        </w:rPr>
        <w:t>The Virigil Encyclopedia</w:t>
      </w:r>
      <w:r w:rsidRPr="00933970">
        <w:rPr>
          <w:iCs/>
          <w:szCs w:val="20"/>
        </w:rPr>
        <w:t>, ed. J. Ziolkowski and R. F. Thomas, p</w:t>
      </w:r>
      <w:r w:rsidRPr="00933970">
        <w:rPr>
          <w:szCs w:val="20"/>
        </w:rPr>
        <w:t>p. 1154-57. Copyright © 2014 Wiley Blackwell. Reproduced with permission of Blackwell Publishing Ltd.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0FF1" w14:textId="4BD52D17" w:rsidR="00933970" w:rsidRDefault="00933970" w:rsidP="005519F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5FF1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5C00"/>
    <w:multiLevelType w:val="hybridMultilevel"/>
    <w:tmpl w:val="5A50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31"/>
    <w:rsid w:val="000449BD"/>
    <w:rsid w:val="00056CC9"/>
    <w:rsid w:val="000608C4"/>
    <w:rsid w:val="00070B03"/>
    <w:rsid w:val="000B7341"/>
    <w:rsid w:val="000C5D59"/>
    <w:rsid w:val="00125DBA"/>
    <w:rsid w:val="00127F09"/>
    <w:rsid w:val="001571D7"/>
    <w:rsid w:val="00161C6B"/>
    <w:rsid w:val="00172471"/>
    <w:rsid w:val="00180081"/>
    <w:rsid w:val="001C4D30"/>
    <w:rsid w:val="001D1B31"/>
    <w:rsid w:val="001E19F2"/>
    <w:rsid w:val="001F7673"/>
    <w:rsid w:val="0023788D"/>
    <w:rsid w:val="00237B0C"/>
    <w:rsid w:val="00271AAA"/>
    <w:rsid w:val="002B303A"/>
    <w:rsid w:val="002C7318"/>
    <w:rsid w:val="00320400"/>
    <w:rsid w:val="00323189"/>
    <w:rsid w:val="00362021"/>
    <w:rsid w:val="00375C7B"/>
    <w:rsid w:val="00383C63"/>
    <w:rsid w:val="003C0FEA"/>
    <w:rsid w:val="003D17AF"/>
    <w:rsid w:val="003D4566"/>
    <w:rsid w:val="004140FF"/>
    <w:rsid w:val="0045173C"/>
    <w:rsid w:val="0047449F"/>
    <w:rsid w:val="00525D7A"/>
    <w:rsid w:val="00532AA0"/>
    <w:rsid w:val="005519F1"/>
    <w:rsid w:val="00564305"/>
    <w:rsid w:val="005907A2"/>
    <w:rsid w:val="005919B2"/>
    <w:rsid w:val="005A613E"/>
    <w:rsid w:val="005C30A7"/>
    <w:rsid w:val="005D36BD"/>
    <w:rsid w:val="006420B5"/>
    <w:rsid w:val="00682E5D"/>
    <w:rsid w:val="00687581"/>
    <w:rsid w:val="006A2568"/>
    <w:rsid w:val="006C2938"/>
    <w:rsid w:val="006C4AD4"/>
    <w:rsid w:val="006D3EE4"/>
    <w:rsid w:val="006F6B8F"/>
    <w:rsid w:val="007F7C13"/>
    <w:rsid w:val="0081038D"/>
    <w:rsid w:val="008205C0"/>
    <w:rsid w:val="0082303D"/>
    <w:rsid w:val="00825BAA"/>
    <w:rsid w:val="008405DA"/>
    <w:rsid w:val="008412F6"/>
    <w:rsid w:val="008567FD"/>
    <w:rsid w:val="00870E5B"/>
    <w:rsid w:val="00891A5F"/>
    <w:rsid w:val="008E6100"/>
    <w:rsid w:val="00902988"/>
    <w:rsid w:val="00904051"/>
    <w:rsid w:val="00905058"/>
    <w:rsid w:val="00905FF1"/>
    <w:rsid w:val="00933970"/>
    <w:rsid w:val="00951AB4"/>
    <w:rsid w:val="00970FEC"/>
    <w:rsid w:val="009C7030"/>
    <w:rsid w:val="009D5495"/>
    <w:rsid w:val="009E1B19"/>
    <w:rsid w:val="009E559A"/>
    <w:rsid w:val="009E5A7F"/>
    <w:rsid w:val="009F3DF5"/>
    <w:rsid w:val="00A138F0"/>
    <w:rsid w:val="00A55286"/>
    <w:rsid w:val="00A95393"/>
    <w:rsid w:val="00AA5879"/>
    <w:rsid w:val="00AF68BF"/>
    <w:rsid w:val="00B14888"/>
    <w:rsid w:val="00B46CFB"/>
    <w:rsid w:val="00B50F66"/>
    <w:rsid w:val="00B55E20"/>
    <w:rsid w:val="00BC3FB9"/>
    <w:rsid w:val="00BD2BFD"/>
    <w:rsid w:val="00BE3FAB"/>
    <w:rsid w:val="00C006CD"/>
    <w:rsid w:val="00C3075A"/>
    <w:rsid w:val="00C83ACB"/>
    <w:rsid w:val="00C86358"/>
    <w:rsid w:val="00CB0598"/>
    <w:rsid w:val="00CF7C31"/>
    <w:rsid w:val="00D1330C"/>
    <w:rsid w:val="00D14D68"/>
    <w:rsid w:val="00D818CF"/>
    <w:rsid w:val="00D87323"/>
    <w:rsid w:val="00E16460"/>
    <w:rsid w:val="00E309FE"/>
    <w:rsid w:val="00E47521"/>
    <w:rsid w:val="00E51FA3"/>
    <w:rsid w:val="00E530C7"/>
    <w:rsid w:val="00E67F8F"/>
    <w:rsid w:val="00E82021"/>
    <w:rsid w:val="00EA0D02"/>
    <w:rsid w:val="00ED1856"/>
    <w:rsid w:val="00EF04A8"/>
    <w:rsid w:val="00F02D6B"/>
    <w:rsid w:val="00F62432"/>
    <w:rsid w:val="00F625E8"/>
    <w:rsid w:val="00F6272B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737F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paragraph" w:styleId="ListParagraph">
    <w:name w:val="List Paragraph"/>
    <w:basedOn w:val="Normal"/>
    <w:uiPriority w:val="34"/>
    <w:qFormat/>
    <w:rsid w:val="00BE3FAB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unhideWhenUsed/>
    <w:rsid w:val="00E309F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6CC9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C9"/>
    <w:rPr>
      <w:rFonts w:ascii="New Athena Unicode" w:hAnsi="New Athena Unicode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6CC9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C9"/>
    <w:rPr>
      <w:rFonts w:ascii="New Athena Unicode" w:hAnsi="New Athena Unicode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56C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paragraph" w:styleId="ListParagraph">
    <w:name w:val="List Paragraph"/>
    <w:basedOn w:val="Normal"/>
    <w:uiPriority w:val="34"/>
    <w:qFormat/>
    <w:rsid w:val="00BE3FAB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unhideWhenUsed/>
    <w:rsid w:val="00E309F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6CC9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C9"/>
    <w:rPr>
      <w:rFonts w:ascii="New Athena Unicode" w:hAnsi="New Athena Unicode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6CC9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C9"/>
    <w:rPr>
      <w:rFonts w:ascii="New Athena Unicode" w:hAnsi="New Athena Unicode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5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1120</Words>
  <Characters>6384</Characters>
  <Application>Microsoft Macintosh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12</cp:revision>
  <dcterms:created xsi:type="dcterms:W3CDTF">2016-09-14T17:41:00Z</dcterms:created>
  <dcterms:modified xsi:type="dcterms:W3CDTF">2016-12-21T15:42:00Z</dcterms:modified>
</cp:coreProperties>
</file>