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B2B50" w14:textId="77777777" w:rsidR="00EB171F" w:rsidRDefault="002E650E">
      <w:pPr>
        <w:pStyle w:val="GeneratedTitle"/>
      </w:pPr>
      <w:r>
        <w:rPr>
          <w:i/>
        </w:rPr>
        <w:t>Guidelines for Encoding Critical Editions for the Library of Digital Latin Texts</w:t>
      </w:r>
    </w:p>
    <w:p w14:paraId="2C8970F5" w14:textId="77777777" w:rsidR="00EB171F" w:rsidRDefault="002E650E">
      <w:pPr>
        <w:pStyle w:val="Heading1"/>
      </w:pPr>
      <w:bookmarkStart w:id="0" w:name="Acknowledgments"/>
      <w:r>
        <w:t>Acknowledgments</w:t>
      </w:r>
      <w:bookmarkEnd w:id="0"/>
    </w:p>
    <w:p w14:paraId="2FBF3920" w14:textId="77777777" w:rsidR="00EB171F" w:rsidRDefault="002E650E">
      <w:r>
        <w:t>The following guidelines are the product of a collaboration between Samuel J. Huskey (University of Oklahoma) and Hugh Cayless (Duke Collaboratory for Classical Computing), but many others deserve acknowledgment for their contributions.</w:t>
      </w:r>
    </w:p>
    <w:p w14:paraId="55FF5D76" w14:textId="7559DC40" w:rsidR="00EB171F" w:rsidRDefault="002E650E">
      <w:r>
        <w:t xml:space="preserve">Cynthia Damon (University of Pennsylvania) and Robert Kaster (Princeton University) read and commented on the guidelines from their perspectives as editors of critical texts. Their insights into the methods and practice of textual criticism, particularly with regard to terminology, have been invaluable. They also contributed pilot projects for use in evaluating and refining the encoding guidelines. </w:t>
      </w:r>
      <w:r w:rsidR="002E22A3">
        <w:t xml:space="preserve">In addition, </w:t>
      </w:r>
      <w:r>
        <w:t>Robert Kaster devoted considerable time to developing the typology of variant readings in the section "</w:t>
      </w:r>
      <w:hyperlink r:id="rId8">
        <w:r>
          <w:rPr>
            <w:rStyle w:val="Hyperlink"/>
          </w:rPr>
          <w:t>Tagging Readings for Analysis</w:t>
        </w:r>
      </w:hyperlink>
      <w:r>
        <w:t>." Since that typology is the basis for a significant feature of the Library of Digital Latin Texts, his efforts deserve special recognition here.</w:t>
      </w:r>
    </w:p>
    <w:p w14:paraId="40B153BB" w14:textId="77777777" w:rsidR="00EB171F" w:rsidRDefault="002E650E">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14:paraId="6DE5FAEE" w14:textId="77777777" w:rsidR="00EB171F" w:rsidRDefault="002E650E">
      <w:r>
        <w:t>Jeffrey C. Witt (Loyola University, Maryland) also contributed to the development of these guidelines by sharing the encoding guidelines for his own project, Lombard Press (</w:t>
      </w:r>
      <w:hyperlink r:id="rId9">
        <w:r>
          <w:rPr>
            <w:rStyle w:val="Hyperlink"/>
          </w:rPr>
          <w:t>http://lombardpress.org/</w:t>
        </w:r>
      </w:hyperlink>
      <w:r>
        <w:t>).</w:t>
      </w:r>
    </w:p>
    <w:p w14:paraId="2AD88009" w14:textId="77777777" w:rsidR="00EB171F" w:rsidRDefault="002E650E">
      <w:r>
        <w:t>Jim Ginther (St. Michael's College, University of Toronto), Patrick Cuba (St. Louis University), Joshua D. Sosin (Duke University), and Jeffrey C. Witt (Loyola University, Maryland) participated in technical meetings to discuss various aspects of this project.</w:t>
      </w:r>
    </w:p>
    <w:p w14:paraId="4EB4B19C" w14:textId="77777777" w:rsidR="00EB171F" w:rsidRDefault="002E650E">
      <w:r>
        <w:t>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14:paraId="050E8D6F" w14:textId="77777777" w:rsidR="00EB171F" w:rsidRDefault="002E650E">
      <w:r>
        <w:t xml:space="preserve">The </w:t>
      </w:r>
      <w:hyperlink r:id="rId10">
        <w:r>
          <w:rPr>
            <w:rStyle w:val="Hyperlink"/>
          </w:rPr>
          <w:t>Andrew W. Mellon Foundation</w:t>
        </w:r>
      </w:hyperlink>
      <w:r>
        <w:t xml:space="preserve"> provided funding for the development of these guidelines.</w:t>
      </w:r>
    </w:p>
    <w:p w14:paraId="1A54940C" w14:textId="77777777" w:rsidR="00EB171F" w:rsidRDefault="002E650E">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EpiDoc</w:t>
      </w:r>
      <w:r>
        <w:fldChar w:fldCharType="end"/>
      </w:r>
      <w:r>
        <w:t xml:space="preserve"> guidelines for XML text markup of ancient documents, to which they also owe much.</w:t>
      </w:r>
    </w:p>
    <w:p w14:paraId="39C05718" w14:textId="77777777" w:rsidR="00EB171F" w:rsidRDefault="002E650E">
      <w:pPr>
        <w:pStyle w:val="Heading1"/>
      </w:pPr>
      <w:bookmarkStart w:id="1" w:name="Getting-started"/>
      <w:r>
        <w:lastRenderedPageBreak/>
        <w:t>Getting Started</w:t>
      </w:r>
      <w:bookmarkEnd w:id="1"/>
    </w:p>
    <w:p w14:paraId="22D9F92E" w14:textId="77777777" w:rsidR="00EB171F" w:rsidRDefault="002E650E">
      <w:r>
        <w:t xml:space="preserve">These Guidelines describe how to create a critical edition for the Digital Latin Library's Library of Digital Latin Texts. The LDLT uses a customization of the standard established by the </w:t>
      </w:r>
      <w:r>
        <w:fldChar w:fldCharType="begin"/>
      </w:r>
      <w:r>
        <w:instrText>REF TEI \n \h</w:instrText>
      </w:r>
      <w:r>
        <w:fldChar w:fldCharType="separate"/>
      </w:r>
      <w:r>
        <w:t>Text Encoding Initiative (TEI)</w:t>
      </w:r>
      <w:r>
        <w:fldChar w:fldCharType="end"/>
      </w:r>
      <w:r>
        <w:t xml:space="preserve">. LDLT texts are in a format called XML, which uses tags wrapped in angle brackets to mark various aspects of the text. XML is a ‘plain text’ format, meaning writing programs like Microsoft Word are not suitable for editing it. We recommend you either purchase an XML editor, like </w:t>
      </w:r>
      <w:hyperlink r:id="rId11">
        <w:r>
          <w:rPr>
            <w:rStyle w:val="Hyperlink"/>
          </w:rPr>
          <w:t>oXygen</w:t>
        </w:r>
      </w:hyperlink>
      <w:r>
        <w:t xml:space="preserve">, or use a free text editor, ideally with XML support. </w:t>
      </w:r>
      <w:hyperlink r:id="rId12">
        <w:r>
          <w:rPr>
            <w:rStyle w:val="Hyperlink"/>
          </w:rPr>
          <w:t>Atom</w:t>
        </w:r>
      </w:hyperlink>
      <w:r>
        <w:t xml:space="preserve">, with the </w:t>
      </w:r>
      <w:hyperlink r:id="rId13">
        <w:r>
          <w:rPr>
            <w:rStyle w:val="Hyperlink"/>
          </w:rPr>
          <w:t>linter-autocomplete-jing</w:t>
        </w:r>
      </w:hyperlink>
      <w:r>
        <w:t xml:space="preserve"> plugin is one example. Oxygen comes with a lot of built-in TEI support, so it may give you a better experience. </w:t>
      </w:r>
    </w:p>
    <w:p w14:paraId="1F391BCD" w14:textId="77777777" w:rsidR="00EB171F" w:rsidRDefault="002E650E">
      <w:r>
        <w:t xml:space="preserve">There are some very basic rules to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certain locations, so no &lt;</w:t>
      </w:r>
      <w:r>
        <w:rPr>
          <w:rFonts w:ascii="Courier" w:hAnsi="Courier"/>
        </w:rPr>
        <w:t>div</w:t>
      </w:r>
      <w:r>
        <w:t>&gt;s (which mark a section of text, e.g. a chapter) inside a &lt;</w:t>
      </w:r>
      <w:r>
        <w:rPr>
          <w:rFonts w:ascii="Courier" w:hAnsi="Courier"/>
        </w:rPr>
        <w:t>p</w:t>
      </w:r>
      <w:r>
        <w:t xml:space="preserve">&gt;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r:id="rId14">
        <w:r>
          <w:rPr>
            <w:rStyle w:val="Hyperlink"/>
          </w:rPr>
          <w:t>template</w:t>
        </w:r>
      </w:hyperlink>
      <w:r>
        <w:t xml:space="preserve"> file to get you started with your edition. </w:t>
      </w:r>
    </w:p>
    <w:p w14:paraId="6CEC42E3" w14:textId="77777777" w:rsidR="00EB171F" w:rsidRDefault="002E650E">
      <w:pPr>
        <w:pStyle w:val="Heading1"/>
      </w:pPr>
      <w:bookmarkStart w:id="2" w:name="LDLT-edition-structure"/>
      <w:r>
        <w:t>Structure of an LDLT Edition</w:t>
      </w:r>
      <w:bookmarkEnd w:id="2"/>
    </w:p>
    <w:p w14:paraId="3ECF003E" w14:textId="77777777" w:rsidR="00EB171F" w:rsidRDefault="002E650E">
      <w:r>
        <w:t>This section describes the basic structure of the file containing an edition for the LDLT. The structure of an LDLT edition resembles the structure of a traditional printed critical edition.</w:t>
      </w:r>
    </w:p>
    <w:p w14:paraId="26491514" w14:textId="77777777" w:rsidR="00EB171F" w:rsidRDefault="002E650E">
      <w:r>
        <w:t>Parts of an LDLT Edition</w:t>
      </w:r>
    </w:p>
    <w:p w14:paraId="5CBA6FD7" w14:textId="77777777" w:rsidR="00EB171F" w:rsidRDefault="002E650E">
      <w:pPr>
        <w:pStyle w:val="ListContinue"/>
        <w:numPr>
          <w:ilvl w:val="0"/>
          <w:numId w:val="2"/>
        </w:numPr>
      </w:pPr>
      <w:r>
        <w:t>Publication Details</w:t>
      </w:r>
    </w:p>
    <w:p w14:paraId="77616132" w14:textId="77777777" w:rsidR="00EB171F" w:rsidRDefault="002E650E">
      <w:pPr>
        <w:pStyle w:val="ListContinue"/>
        <w:numPr>
          <w:ilvl w:val="0"/>
          <w:numId w:val="2"/>
        </w:numPr>
      </w:pPr>
      <w:r>
        <w:t>Front Matter (preface, description of manuscripts, bibliography, etc.)</w:t>
      </w:r>
    </w:p>
    <w:p w14:paraId="6DDAB00D" w14:textId="77777777" w:rsidR="00EB171F" w:rsidRDefault="002E650E">
      <w:pPr>
        <w:pStyle w:val="ListContinue"/>
        <w:numPr>
          <w:ilvl w:val="0"/>
          <w:numId w:val="2"/>
        </w:numPr>
      </w:pPr>
      <w:r>
        <w:t>Critical Text (including critical apparatus and other critical aids)</w:t>
      </w:r>
    </w:p>
    <w:p w14:paraId="79A0CA58" w14:textId="77777777" w:rsidR="00EB171F" w:rsidRDefault="002E650E">
      <w:pPr>
        <w:pStyle w:val="ListContinue"/>
        <w:numPr>
          <w:ilvl w:val="0"/>
          <w:numId w:val="2"/>
        </w:numPr>
      </w:pPr>
      <w:r>
        <w:t>Indices</w:t>
      </w:r>
    </w:p>
    <w:p w14:paraId="287F9A44" w14:textId="77777777" w:rsidR="00EB171F" w:rsidRDefault="002E650E">
      <w:r>
        <w:t>Since every text is unique, not every LDLT edition will have all of these sections. The nature of the text and the editor’s judgment will determine the contents of an edition. The purpose of this section is to define the parts of an LDLT edition and provide guidelines for representing them in XML.</w:t>
      </w:r>
    </w:p>
    <w:p w14:paraId="424DE5C4" w14:textId="77777777" w:rsidR="00EB171F" w:rsidRDefault="002E650E">
      <w:pPr>
        <w:pStyle w:val="Heading2"/>
      </w:pPr>
      <w:bookmarkStart w:id="3" w:name="general-structure"/>
      <w:r>
        <w:t>General Structure of an LDLT Edition</w:t>
      </w:r>
      <w:bookmarkEnd w:id="3"/>
    </w:p>
    <w:p w14:paraId="4174597C" w14:textId="77777777" w:rsidR="00EB171F" w:rsidRDefault="002E650E">
      <w:r>
        <w:t>The following is an example of the general overall structure of an XML file for an LDLT edition:</w:t>
      </w:r>
    </w:p>
    <w:p w14:paraId="2799B640" w14:textId="77777777" w:rsidR="00EB171F" w:rsidRDefault="002E650E">
      <w:pPr>
        <w:pStyle w:val="Special"/>
      </w:pPr>
      <w:r>
        <w:t>&lt;</w:t>
      </w:r>
      <w:r>
        <w:rPr>
          <w:b/>
        </w:rPr>
        <w:t>teiHeader</w:t>
      </w:r>
      <w:r>
        <w:t>&gt;</w:t>
      </w:r>
      <w:r>
        <w:br/>
        <w:t> &lt;</w:t>
      </w:r>
      <w:r>
        <w:rPr>
          <w:b/>
        </w:rPr>
        <w:t>fileDesc</w:t>
      </w:r>
      <w:r>
        <w:t>&gt;</w:t>
      </w:r>
      <w:r>
        <w:br/>
      </w:r>
      <w:r>
        <w:lastRenderedPageBreak/>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="textpart" </w:t>
      </w:r>
      <w:r>
        <w:rPr>
          <w:b/>
        </w:rPr>
        <w:t>xml:id</w:t>
      </w:r>
      <w:r>
        <w:t>="part1"&gt;                            &lt;</w:t>
      </w:r>
      <w:r>
        <w:rPr>
          <w:b/>
        </w:rPr>
        <w:t>head</w:t>
      </w:r>
      <w:r>
        <w:t>&gt;Title of First Part&lt;/</w:t>
      </w:r>
      <w:r>
        <w:rPr>
          <w:b/>
        </w:rPr>
        <w:t>head</w:t>
      </w:r>
      <w:r>
        <w:t>&gt;                            </w:t>
      </w:r>
      <w:r>
        <w:br/>
      </w:r>
      <w:r>
        <w:lastRenderedPageBreak/>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4EF184AC" w14:textId="77777777" w:rsidR="00EB171F" w:rsidRDefault="002E650E">
      <w:pPr>
        <w:pStyle w:val="Heading2"/>
      </w:pPr>
      <w:bookmarkStart w:id="4" w:name="publication-details"/>
      <w:r>
        <w:t>Publication Details</w:t>
      </w:r>
      <w:bookmarkEnd w:id="4"/>
    </w:p>
    <w:p w14:paraId="227BA901" w14:textId="77777777" w:rsidR="00EB171F" w:rsidRDefault="002E650E">
      <w:r>
        <w:t>A traditional critical edition in print has a title page announcing the title of the work, its author, the editor(s), and details of publication. In an LDLT edition, these details are presented as structured data within a TEI header (&lt;</w:t>
      </w:r>
      <w:r>
        <w:rPr>
          <w:rFonts w:ascii="Courier" w:hAnsi="Courier"/>
        </w:rPr>
        <w:t>teiHeader</w:t>
      </w:r>
      <w:r>
        <w:t>&gt;). For example:</w:t>
      </w:r>
    </w:p>
    <w:p w14:paraId="7D0F6220" w14:textId="77777777" w:rsidR="00EB171F" w:rsidRDefault="002E650E">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p>
    <w:p w14:paraId="523472DD" w14:textId="77777777" w:rsidR="00EB171F" w:rsidRDefault="002E650E">
      <w:r>
        <w:lastRenderedPageBreak/>
        <w:t>Since a critical edition is often based upon many sources (e.g., manuscripts, previous editions, commentaries, etc.), the &lt;</w:t>
      </w:r>
      <w:r>
        <w:rPr>
          <w:rFonts w:ascii="Courier" w:hAnsi="Courier"/>
        </w:rPr>
        <w:t>teiHeader</w:t>
      </w:r>
      <w:r>
        <w:t>&gt; for an LDLT edition does not hew strictly to the TEI guidelines for &lt;</w:t>
      </w:r>
      <w:r>
        <w:rPr>
          <w:rFonts w:ascii="Courier" w:hAnsi="Courier"/>
        </w:rPr>
        <w:t>sourceDesc</w:t>
      </w:r>
      <w:r>
        <w:t>&gt;. The sources for an LDLT edition are documented and described in the edition’s front matter.</w:t>
      </w:r>
    </w:p>
    <w:p w14:paraId="41277143" w14:textId="77777777" w:rsidR="00EB171F" w:rsidRDefault="002E650E">
      <w:r>
        <w:t>Just as an editor is not expected to create the title page and document the publication information, this section of an LDLT text is the responsibility of the DLL staff.</w:t>
      </w:r>
    </w:p>
    <w:p w14:paraId="2130DD2D" w14:textId="77777777" w:rsidR="00EB171F" w:rsidRDefault="002E650E">
      <w:pPr>
        <w:pStyle w:val="Heading2"/>
      </w:pPr>
      <w:bookmarkStart w:id="5" w:name="front-matter"/>
      <w:r>
        <w:t>Front Matter</w:t>
      </w:r>
      <w:bookmarkEnd w:id="5"/>
    </w:p>
    <w:p w14:paraId="6AA1C5E9" w14:textId="77777777" w:rsidR="00EB171F" w:rsidRDefault="002E650E">
      <w:r>
        <w:t>The &lt;</w:t>
      </w:r>
      <w:r>
        <w:rPr>
          <w:rFonts w:ascii="Courier" w:hAnsi="Courier"/>
        </w:rPr>
        <w:t>front</w:t>
      </w:r>
      <w:r>
        <w:t>&gt; contains divisions and subdivisions (using &lt;</w:t>
      </w:r>
      <w:r>
        <w:rPr>
          <w:rFonts w:ascii="Courier" w:hAnsi="Courier"/>
        </w:rPr>
        <w:t>div</w:t>
      </w:r>
      <w:r>
        <w:t>&gt;) corresponding to the preface, bibliography, and conspectus for the edition.</w:t>
      </w:r>
    </w:p>
    <w:p w14:paraId="5B326F2F" w14:textId="77777777" w:rsidR="00EB171F" w:rsidRDefault="002E650E">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 facilitate linking to the individual entries as they are mentioned in the preface.</w:t>
      </w:r>
    </w:p>
    <w:p w14:paraId="38E03B5C" w14:textId="77777777" w:rsidR="00EB171F" w:rsidRDefault="002E650E">
      <w:r>
        <w:t>The elements available in all TEI documents are available for use in the preface. For example, an editor might want to make a table comparing the readings of manuscript families. In that case, the editor would use &lt;</w:t>
      </w:r>
      <w:r>
        <w:rPr>
          <w:rFonts w:ascii="Courier" w:hAnsi="Courier"/>
        </w:rPr>
        <w:t>table</w:t>
      </w:r>
      <w:r>
        <w:t xml:space="preserve">&gt; and its related elements (see the TEI guidelines for </w:t>
      </w:r>
      <w:hyperlink r:id="rId15">
        <w:r>
          <w:rPr>
            <w:rStyle w:val="Hyperlink"/>
          </w:rPr>
          <w:t>&lt;table&gt;</w:t>
        </w:r>
      </w:hyperlink>
      <w:r>
        <w:t xml:space="preserve"> for more information).</w:t>
      </w:r>
    </w:p>
    <w:p w14:paraId="0D5217BC" w14:textId="77777777" w:rsidR="00EB171F" w:rsidRDefault="002E650E">
      <w:pPr>
        <w:pStyle w:val="Heading1"/>
      </w:pPr>
      <w:bookmarkStart w:id="6" w:name="bibliography"/>
      <w:r>
        <w:t>Bibliography</w:t>
      </w:r>
      <w:bookmarkEnd w:id="6"/>
    </w:p>
    <w:p w14:paraId="21653C93" w14:textId="77777777" w:rsidR="00EB171F" w:rsidRDefault="002E650E">
      <w:r>
        <w:t>The bibliography presents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and using resources, especially those available online.</w:t>
      </w:r>
    </w:p>
    <w:p w14:paraId="43D18C7F" w14:textId="77777777" w:rsidR="00EB171F" w:rsidRDefault="002E650E">
      <w:bookmarkStart w:id="7" w:name="zotero"/>
      <w:r>
        <w:t xml:space="preserve">The bibliography is all the more useful as a tool if it is created and made available via </w:t>
      </w:r>
      <w:hyperlink r:id="rId16">
        <w:r>
          <w:rPr>
            <w:rStyle w:val="Hyperlink"/>
          </w:rPr>
          <w:t>Zotero</w:t>
        </w:r>
      </w:hyperlink>
      <w:r>
        <w:t>, an open online resource for building and managing bibliographies. It is highly recommended, but not required, that all LDLT editions have a corresponding Zotero repository for their bibliography. Editors should consult with LDLT staff about setting up and sharing a Zotero repository.</w:t>
      </w:r>
      <w:bookmarkEnd w:id="7"/>
    </w:p>
    <w:p w14:paraId="5907CDB6" w14:textId="77777777" w:rsidR="00EB171F" w:rsidRDefault="002E650E">
      <w:pPr>
        <w:pStyle w:val="Heading2"/>
      </w:pPr>
      <w:bookmarkStart w:id="8" w:name="bibliography-structure"/>
      <w:r>
        <w:t>Structure of the Bibliography</w:t>
      </w:r>
      <w:bookmarkEnd w:id="8"/>
    </w:p>
    <w:p w14:paraId="1B6B9656" w14:textId="77777777" w:rsidR="00EB171F" w:rsidRDefault="002E650E">
      <w:r>
        <w:t xml:space="preserve">The bibliography should be organized according to the following structure: </w:t>
      </w:r>
    </w:p>
    <w:p w14:paraId="09732535" w14:textId="77777777" w:rsidR="00EB171F" w:rsidRDefault="002E650E">
      <w:pPr>
        <w:pStyle w:val="ListContinue"/>
        <w:numPr>
          <w:ilvl w:val="0"/>
          <w:numId w:val="2"/>
        </w:numPr>
      </w:pPr>
      <w:r>
        <w:t>Manuscripts (</w:t>
      </w:r>
      <w:r>
        <w:rPr>
          <w:i/>
        </w:rPr>
        <w:t>@xml:id</w:t>
      </w:r>
      <w:r>
        <w:t>="bibliography-manuscripts")</w:t>
      </w:r>
    </w:p>
    <w:p w14:paraId="21670C11" w14:textId="77777777" w:rsidR="00EB171F" w:rsidRDefault="002E650E">
      <w:pPr>
        <w:pStyle w:val="ListContinue"/>
        <w:numPr>
          <w:ilvl w:val="0"/>
          <w:numId w:val="2"/>
        </w:numPr>
      </w:pPr>
      <w:r>
        <w:t>Editions</w:t>
      </w:r>
    </w:p>
    <w:p w14:paraId="0946A94B" w14:textId="77777777" w:rsidR="00EB171F" w:rsidRDefault="002E650E">
      <w:pPr>
        <w:pStyle w:val="ListContinue2"/>
        <w:numPr>
          <w:ilvl w:val="1"/>
          <w:numId w:val="2"/>
        </w:numPr>
      </w:pPr>
      <w:r>
        <w:t>Early Editions (</w:t>
      </w:r>
      <w:r>
        <w:rPr>
          <w:i/>
        </w:rPr>
        <w:t>@xml:id</w:t>
      </w:r>
      <w:r>
        <w:t>="bibliography-editions-witnesses")</w:t>
      </w:r>
    </w:p>
    <w:p w14:paraId="76D94FCD" w14:textId="77777777" w:rsidR="00EB171F" w:rsidRDefault="002E650E">
      <w:pPr>
        <w:pStyle w:val="ListContinue2"/>
        <w:numPr>
          <w:ilvl w:val="1"/>
          <w:numId w:val="2"/>
        </w:numPr>
      </w:pPr>
      <w:r>
        <w:t>Modern Editions (</w:t>
      </w:r>
      <w:r>
        <w:rPr>
          <w:i/>
        </w:rPr>
        <w:t>@xml:id</w:t>
      </w:r>
      <w:r>
        <w:t>="bibliography-editions-sources")</w:t>
      </w:r>
    </w:p>
    <w:p w14:paraId="09D75619" w14:textId="77777777" w:rsidR="00EB171F" w:rsidRDefault="002E650E">
      <w:pPr>
        <w:pStyle w:val="ListContinue"/>
        <w:numPr>
          <w:ilvl w:val="0"/>
          <w:numId w:val="2"/>
        </w:numPr>
      </w:pPr>
      <w:r>
        <w:t>Secondary Sources (</w:t>
      </w:r>
      <w:r>
        <w:rPr>
          <w:i/>
        </w:rPr>
        <w:t>@xml:id</w:t>
      </w:r>
      <w:r>
        <w:t>="bibliography-secondary-sources")</w:t>
      </w:r>
    </w:p>
    <w:p w14:paraId="250EC2D8" w14:textId="77777777" w:rsidR="00EB171F" w:rsidRDefault="002E650E">
      <w:r>
        <w:lastRenderedPageBreak/>
        <w:t xml:space="preserve">Additionally, there should be a </w:t>
      </w:r>
      <w:r>
        <w:fldChar w:fldCharType="begin"/>
      </w:r>
      <w:r>
        <w:instrText>REF bibliography-list-of-scholars \n \h</w:instrText>
      </w:r>
      <w:r>
        <w:fldChar w:fldCharType="separate"/>
      </w:r>
      <w:r>
        <w:t>list of the names of individual scholars</w:t>
      </w:r>
      <w:r>
        <w:fldChar w:fldCharType="end"/>
      </w:r>
      <w:r>
        <w:t xml:space="preserve"> (</w:t>
      </w:r>
      <w:r>
        <w:rPr>
          <w:i/>
        </w:rPr>
        <w:t>@xml:id</w:t>
      </w:r>
      <w:r>
        <w:t>="bibliography-scholars") referred to by name in the apparatus, if they are not listed elsewhere in the bibliography (e.g., as the editor of an edition or author of an article). It is common, for example, to refer to a scholar whose unpublished notes appear in a commentary or who has corresponded with the editor. For ease of reference, these sources should be listed with information about where the information can be verified.</w:t>
      </w:r>
    </w:p>
    <w:p w14:paraId="42559011" w14:textId="77777777" w:rsidR="00EB171F" w:rsidRDefault="002E650E">
      <w:pPr>
        <w:pStyle w:val="Heading2"/>
      </w:pPr>
      <w:bookmarkStart w:id="9" w:name="bibliography-terminology"/>
      <w:r>
        <w:t>Terminology: Witness and Source</w:t>
      </w:r>
      <w:bookmarkEnd w:id="9"/>
    </w:p>
    <w:p w14:paraId="6784AD79" w14:textId="77777777" w:rsidR="00EB171F" w:rsidRDefault="002E650E">
      <w:r>
        <w:t>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14:paraId="67FFD7DE" w14:textId="77777777" w:rsidR="00EB171F" w:rsidRDefault="002E650E">
      <w:r>
        <w:t xml:space="preserve">This issue is raised here because the model for LDLT editions requires precision in the use of the terms “witness” and “source,” particularly with regard to the encoding of the critical apparatus,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 the latter in &lt;</w:t>
      </w:r>
      <w:r>
        <w:rPr>
          <w:rFonts w:ascii="Courier" w:hAnsi="Courier"/>
        </w:rPr>
        <w:t>listBibl</w:t>
      </w:r>
      <w:r>
        <w:t>&gt;.</w:t>
      </w:r>
    </w:p>
    <w:p w14:paraId="5D09427A" w14:textId="77777777" w:rsidR="00EB171F" w:rsidRDefault="002E650E">
      <w:r>
        <w:t xml:space="preserve">For the purposes of these guidelines, manuscripts and some incunabula retain their traditional distinction as witnesses, but that category has been enlarged to include manuscript hands, which may bear witness to alternative readings, glosses, marginalia, corrections, and conjectures. This is a departure from the </w:t>
      </w:r>
      <w:hyperlink r:id="rId17" w:anchor="msph2">
        <w:r>
          <w:rPr>
            <w:rStyle w:val="Hyperlink"/>
          </w:rPr>
          <w:t>TEI's guidelines on Manuscript Description</w:t>
        </w:r>
      </w:hyperlink>
      <w:r>
        <w:t>, which treat the manuscript itself as a witness, but consider hands as agents responsible for specific textual content. It is up to the editor to determine whether an incunabulum is a witness to a single manuscript.</w:t>
      </w:r>
    </w:p>
    <w:p w14:paraId="47483290" w14:textId="77777777" w:rsidR="00EB171F" w:rsidRDefault="002E650E">
      <w:r>
        <w:t>All other resources cited in an edition fall under the category of “source,” a capacious term that refers to any resource external to the current edition.</w:t>
      </w:r>
    </w:p>
    <w:p w14:paraId="37C89BE6" w14:textId="77777777" w:rsidR="00EB171F" w:rsidRDefault="002E650E">
      <w:pPr>
        <w:pStyle w:val="Heading2"/>
      </w:pPr>
      <w:bookmarkStart w:id="10" w:name="bibliography-sigla"/>
      <w:r>
        <w:t>Human- and Machine-Readable Sigla, Symbols, and Abbreviations</w:t>
      </w:r>
      <w:bookmarkEnd w:id="10"/>
    </w:p>
    <w:p w14:paraId="26119B60" w14:textId="77777777" w:rsidR="00EB171F" w:rsidRDefault="002E650E">
      <w:r>
        <w:t xml:space="preserve">Printed editions have long used a system of references for manuscripts and other materials in the bibliography. For 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14:paraId="0C827D08" w14:textId="77777777" w:rsidR="00EB171F" w:rsidRDefault="002E650E">
      <w:r>
        <w:lastRenderedPageBreak/>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14:paraId="05035681" w14:textId="77777777" w:rsidR="00EB171F" w:rsidRDefault="002E650E">
      <w: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i/>
        </w:rPr>
        <w:t>strict rules of the XML specification for @xml:id</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 xml:space="preserve">&gt;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14:paraId="6C1A47FC" w14:textId="77777777" w:rsidR="00EB171F" w:rsidRDefault="002E650E">
      <w:r>
        <w:t>Because the 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37"/>
        <w:gridCol w:w="2301"/>
        <w:gridCol w:w="2311"/>
      </w:tblGrid>
      <w:tr w:rsidR="00EB171F" w14:paraId="24473ED8" w14:textId="77777777">
        <w:trPr>
          <w:jc w:val="center"/>
        </w:trPr>
        <w:tc>
          <w:tcPr>
            <w:tcW w:w="0" w:type="auto"/>
          </w:tcPr>
          <w:p w14:paraId="4748866F" w14:textId="77777777" w:rsidR="00EB171F" w:rsidRDefault="002E650E">
            <w:pPr>
              <w:pStyle w:val="Tabletext9"/>
              <w:jc w:val="left"/>
            </w:pPr>
            <w:r>
              <w:rPr>
                <w:b/>
              </w:rPr>
              <w:t>Information</w:t>
            </w:r>
          </w:p>
        </w:tc>
        <w:tc>
          <w:tcPr>
            <w:tcW w:w="0" w:type="auto"/>
          </w:tcPr>
          <w:p w14:paraId="445A1BC7" w14:textId="77777777" w:rsidR="00EB171F" w:rsidRDefault="002E650E">
            <w:pPr>
              <w:pStyle w:val="Tabletext9"/>
              <w:jc w:val="left"/>
            </w:pPr>
            <w:r>
              <w:rPr>
                <w:b/>
              </w:rPr>
              <w:t xml:space="preserve">Example Value of </w:t>
            </w:r>
            <w:r>
              <w:rPr>
                <w:i/>
              </w:rPr>
              <w:t>@xml:id</w:t>
            </w:r>
          </w:p>
        </w:tc>
        <w:tc>
          <w:tcPr>
            <w:tcW w:w="0" w:type="auto"/>
          </w:tcPr>
          <w:p w14:paraId="4FE877C2" w14:textId="77777777" w:rsidR="00EB171F" w:rsidRDefault="002E650E">
            <w:pPr>
              <w:pStyle w:val="Tabletext9"/>
              <w:jc w:val="left"/>
            </w:pPr>
            <w:r>
              <w:rPr>
                <w:b/>
              </w:rPr>
              <w:t xml:space="preserve">Example Value of </w:t>
            </w:r>
            <w:r>
              <w:t>&lt;</w:t>
            </w:r>
            <w:r>
              <w:rPr>
                <w:rFonts w:ascii="Courier" w:hAnsi="Courier"/>
              </w:rPr>
              <w:t>abbr</w:t>
            </w:r>
            <w:r>
              <w:t>&gt;</w:t>
            </w:r>
          </w:p>
        </w:tc>
      </w:tr>
      <w:tr w:rsidR="00EB171F" w14:paraId="2B2528B1" w14:textId="77777777">
        <w:trPr>
          <w:jc w:val="center"/>
        </w:trPr>
        <w:tc>
          <w:tcPr>
            <w:tcW w:w="0" w:type="auto"/>
          </w:tcPr>
          <w:p w14:paraId="5C42B77D" w14:textId="77777777" w:rsidR="00EB171F" w:rsidRDefault="002E650E">
            <w:pPr>
              <w:pStyle w:val="Tabletext9"/>
              <w:jc w:val="left"/>
            </w:pPr>
            <w:r>
              <w:t>A single manuscript</w:t>
            </w:r>
          </w:p>
        </w:tc>
        <w:tc>
          <w:tcPr>
            <w:tcW w:w="0" w:type="auto"/>
          </w:tcPr>
          <w:p w14:paraId="06861A25" w14:textId="77777777" w:rsidR="00EB171F" w:rsidRDefault="002E650E">
            <w:pPr>
              <w:pStyle w:val="Tabletext9"/>
              <w:jc w:val="left"/>
            </w:pPr>
            <w:r>
              <w:t>V</w:t>
            </w:r>
          </w:p>
        </w:tc>
        <w:tc>
          <w:tcPr>
            <w:tcW w:w="0" w:type="auto"/>
          </w:tcPr>
          <w:p w14:paraId="61A5A7D9" w14:textId="77777777" w:rsidR="00EB171F" w:rsidRDefault="002E650E">
            <w:pPr>
              <w:pStyle w:val="Tabletext9"/>
              <w:jc w:val="left"/>
            </w:pPr>
            <w:r>
              <w:t>V</w:t>
            </w:r>
          </w:p>
        </w:tc>
      </w:tr>
      <w:tr w:rsidR="00EB171F" w14:paraId="2411B309" w14:textId="77777777">
        <w:trPr>
          <w:jc w:val="center"/>
        </w:trPr>
        <w:tc>
          <w:tcPr>
            <w:tcW w:w="0" w:type="auto"/>
          </w:tcPr>
          <w:p w14:paraId="4B96E79D" w14:textId="77777777" w:rsidR="00EB171F" w:rsidRDefault="002E650E">
            <w:pPr>
              <w:pStyle w:val="Tabletext9"/>
              <w:jc w:val="left"/>
            </w:pPr>
            <w:r>
              <w:t>Manuscript Hands</w:t>
            </w:r>
          </w:p>
        </w:tc>
        <w:tc>
          <w:tcPr>
            <w:tcW w:w="0" w:type="auto"/>
          </w:tcPr>
          <w:p w14:paraId="77405FA7" w14:textId="77777777" w:rsidR="00EB171F" w:rsidRDefault="002E650E">
            <w:pPr>
              <w:pStyle w:val="Tabletext9"/>
              <w:jc w:val="left"/>
            </w:pPr>
            <w:r>
              <w:t>Vh1, Vh2</w:t>
            </w:r>
          </w:p>
        </w:tc>
        <w:tc>
          <w:tcPr>
            <w:tcW w:w="0" w:type="auto"/>
          </w:tcPr>
          <w:p w14:paraId="7BA27FE7" w14:textId="77777777" w:rsidR="00EB171F" w:rsidRDefault="002E650E">
            <w:pPr>
              <w:pStyle w:val="Tabletext9"/>
              <w:jc w:val="left"/>
            </w:pPr>
            <w:r>
              <w:t>V</w:t>
            </w:r>
            <w:r>
              <w:rPr>
                <w:vertAlign w:val="superscript"/>
              </w:rPr>
              <w:t>1</w:t>
            </w:r>
            <w:r>
              <w:t>, V</w:t>
            </w:r>
            <w:r>
              <w:rPr>
                <w:vertAlign w:val="superscript"/>
              </w:rPr>
              <w:t>2</w:t>
            </w:r>
          </w:p>
        </w:tc>
      </w:tr>
      <w:tr w:rsidR="00EB171F" w14:paraId="781498E9" w14:textId="77777777">
        <w:trPr>
          <w:jc w:val="center"/>
        </w:trPr>
        <w:tc>
          <w:tcPr>
            <w:tcW w:w="0" w:type="auto"/>
          </w:tcPr>
          <w:p w14:paraId="560E2C52" w14:textId="77777777" w:rsidR="00EB171F" w:rsidRDefault="002E650E">
            <w:pPr>
              <w:pStyle w:val="Tabletext9"/>
              <w:jc w:val="left"/>
            </w:pPr>
            <w:r>
              <w:t>Multiple manuscripts from one collection</w:t>
            </w:r>
          </w:p>
        </w:tc>
        <w:tc>
          <w:tcPr>
            <w:tcW w:w="0" w:type="auto"/>
          </w:tcPr>
          <w:p w14:paraId="78C72DA3" w14:textId="77777777" w:rsidR="00EB171F" w:rsidRDefault="002E650E">
            <w:pPr>
              <w:pStyle w:val="Tabletext9"/>
              <w:jc w:val="left"/>
            </w:pPr>
            <w:r>
              <w:t>Vms1, Vms2</w:t>
            </w:r>
          </w:p>
        </w:tc>
        <w:tc>
          <w:tcPr>
            <w:tcW w:w="0" w:type="auto"/>
          </w:tcPr>
          <w:p w14:paraId="0C2EBCFB" w14:textId="77777777" w:rsidR="00EB171F" w:rsidRDefault="002E650E">
            <w:pPr>
              <w:pStyle w:val="Tabletext9"/>
              <w:jc w:val="left"/>
            </w:pPr>
            <w:r>
              <w:t>V</w:t>
            </w:r>
            <w:r>
              <w:rPr>
                <w:vertAlign w:val="subscript"/>
              </w:rPr>
              <w:t>1</w:t>
            </w:r>
            <w:r>
              <w:t>, V</w:t>
            </w:r>
            <w:r>
              <w:rPr>
                <w:vertAlign w:val="subscript"/>
              </w:rPr>
              <w:t>2</w:t>
            </w:r>
          </w:p>
        </w:tc>
      </w:tr>
      <w:tr w:rsidR="00EB171F" w14:paraId="6A66235E" w14:textId="77777777">
        <w:trPr>
          <w:jc w:val="center"/>
        </w:trPr>
        <w:tc>
          <w:tcPr>
            <w:tcW w:w="0" w:type="auto"/>
          </w:tcPr>
          <w:p w14:paraId="493B1788" w14:textId="77777777" w:rsidR="00EB171F" w:rsidRDefault="002E650E">
            <w:pPr>
              <w:pStyle w:val="Tabletext9"/>
              <w:jc w:val="left"/>
            </w:pPr>
            <w:r>
              <w:t>One of many indistinguishable hands</w:t>
            </w:r>
          </w:p>
        </w:tc>
        <w:tc>
          <w:tcPr>
            <w:tcW w:w="0" w:type="auto"/>
          </w:tcPr>
          <w:p w14:paraId="7B02A407" w14:textId="77777777" w:rsidR="00EB171F" w:rsidRDefault="002E650E">
            <w:pPr>
              <w:pStyle w:val="Tabletext9"/>
              <w:jc w:val="left"/>
            </w:pPr>
            <w:r>
              <w:t>Vrec</w:t>
            </w:r>
          </w:p>
        </w:tc>
        <w:tc>
          <w:tcPr>
            <w:tcW w:w="0" w:type="auto"/>
          </w:tcPr>
          <w:p w14:paraId="2F5BA8C4" w14:textId="77777777" w:rsidR="00EB171F" w:rsidRDefault="002E650E">
            <w:pPr>
              <w:pStyle w:val="Tabletext9"/>
              <w:jc w:val="left"/>
            </w:pPr>
            <w:r>
              <w:t>V</w:t>
            </w:r>
            <w:r>
              <w:rPr>
                <w:vertAlign w:val="superscript"/>
              </w:rPr>
              <w:t>rec</w:t>
            </w:r>
          </w:p>
        </w:tc>
      </w:tr>
      <w:tr w:rsidR="00EB171F" w14:paraId="10108F6E" w14:textId="77777777">
        <w:trPr>
          <w:jc w:val="center"/>
        </w:trPr>
        <w:tc>
          <w:tcPr>
            <w:tcW w:w="0" w:type="auto"/>
          </w:tcPr>
          <w:p w14:paraId="6B67C7E1" w14:textId="77777777" w:rsidR="00EB171F" w:rsidRDefault="002E650E">
            <w:pPr>
              <w:pStyle w:val="Tabletext9"/>
              <w:jc w:val="left"/>
            </w:pPr>
            <w:r>
              <w:t>Fragments of ancient copies</w:t>
            </w:r>
          </w:p>
        </w:tc>
        <w:tc>
          <w:tcPr>
            <w:tcW w:w="0" w:type="auto"/>
          </w:tcPr>
          <w:p w14:paraId="076BF0D0" w14:textId="77777777" w:rsidR="00EB171F" w:rsidRDefault="002E650E">
            <w:pPr>
              <w:pStyle w:val="Tabletext9"/>
              <w:jc w:val="left"/>
            </w:pPr>
            <w:r>
              <w:t>Π1, Π2</w:t>
            </w:r>
          </w:p>
        </w:tc>
        <w:tc>
          <w:tcPr>
            <w:tcW w:w="0" w:type="auto"/>
          </w:tcPr>
          <w:p w14:paraId="53020898" w14:textId="77777777" w:rsidR="00EB171F" w:rsidRDefault="002E650E">
            <w:pPr>
              <w:pStyle w:val="Tabletext9"/>
              <w:jc w:val="left"/>
            </w:pPr>
            <w:r>
              <w:t>Π</w:t>
            </w:r>
            <w:r>
              <w:rPr>
                <w:vertAlign w:val="superscript"/>
              </w:rPr>
              <w:t>1</w:t>
            </w:r>
            <w:r>
              <w:t>, Π</w:t>
            </w:r>
            <w:r>
              <w:rPr>
                <w:vertAlign w:val="superscript"/>
              </w:rPr>
              <w:t>2</w:t>
            </w:r>
          </w:p>
        </w:tc>
      </w:tr>
      <w:tr w:rsidR="00EB171F" w14:paraId="29C0BF4F" w14:textId="77777777">
        <w:trPr>
          <w:jc w:val="center"/>
        </w:trPr>
        <w:tc>
          <w:tcPr>
            <w:tcW w:w="0" w:type="auto"/>
          </w:tcPr>
          <w:p w14:paraId="665B2B20" w14:textId="77777777" w:rsidR="00EB171F" w:rsidRDefault="002E650E">
            <w:pPr>
              <w:pStyle w:val="Tabletext9"/>
              <w:jc w:val="left"/>
            </w:pPr>
            <w:r>
              <w:t>Consensus of manuscripts</w:t>
            </w:r>
          </w:p>
        </w:tc>
        <w:tc>
          <w:tcPr>
            <w:tcW w:w="0" w:type="auto"/>
          </w:tcPr>
          <w:p w14:paraId="5292655B" w14:textId="77777777" w:rsidR="00EB171F" w:rsidRDefault="002E650E">
            <w:pPr>
              <w:pStyle w:val="Tabletext9"/>
              <w:jc w:val="left"/>
            </w:pPr>
            <w:r>
              <w:t>ω</w:t>
            </w:r>
          </w:p>
        </w:tc>
        <w:tc>
          <w:tcPr>
            <w:tcW w:w="0" w:type="auto"/>
          </w:tcPr>
          <w:p w14:paraId="55474221" w14:textId="77777777" w:rsidR="00EB171F" w:rsidRDefault="002E650E">
            <w:pPr>
              <w:pStyle w:val="Tabletext9"/>
              <w:jc w:val="left"/>
            </w:pPr>
            <w:r>
              <w:t>ω</w:t>
            </w:r>
          </w:p>
        </w:tc>
      </w:tr>
      <w:tr w:rsidR="00EB171F" w14:paraId="0A24EBAD" w14:textId="77777777">
        <w:trPr>
          <w:jc w:val="center"/>
        </w:trPr>
        <w:tc>
          <w:tcPr>
            <w:tcW w:w="0" w:type="auto"/>
          </w:tcPr>
          <w:p w14:paraId="627812F0" w14:textId="77777777" w:rsidR="00EB171F" w:rsidRDefault="002E650E">
            <w:pPr>
              <w:pStyle w:val="Tabletext9"/>
              <w:jc w:val="left"/>
            </w:pPr>
            <w:r>
              <w:t>One or more late manuscripts</w:t>
            </w:r>
          </w:p>
        </w:tc>
        <w:tc>
          <w:tcPr>
            <w:tcW w:w="0" w:type="auto"/>
          </w:tcPr>
          <w:p w14:paraId="337B67D7" w14:textId="77777777" w:rsidR="00EB171F" w:rsidRDefault="002E650E">
            <w:pPr>
              <w:pStyle w:val="Tabletext9"/>
              <w:jc w:val="left"/>
            </w:pPr>
            <w:bookmarkStart w:id="11" w:name="stigma-siglum"/>
            <w:r>
              <w:t>Ϛ (see note below)</w:t>
            </w:r>
            <w:bookmarkEnd w:id="11"/>
          </w:p>
        </w:tc>
        <w:tc>
          <w:tcPr>
            <w:tcW w:w="0" w:type="auto"/>
          </w:tcPr>
          <w:p w14:paraId="204B771A" w14:textId="77777777" w:rsidR="00EB171F" w:rsidRDefault="002E650E">
            <w:pPr>
              <w:pStyle w:val="Tabletext9"/>
              <w:jc w:val="left"/>
            </w:pPr>
            <w:r>
              <w:t>ϛ</w:t>
            </w:r>
          </w:p>
        </w:tc>
      </w:tr>
      <w:tr w:rsidR="00EB171F" w14:paraId="0253F658" w14:textId="77777777">
        <w:trPr>
          <w:jc w:val="center"/>
        </w:trPr>
        <w:tc>
          <w:tcPr>
            <w:tcW w:w="0" w:type="auto"/>
          </w:tcPr>
          <w:p w14:paraId="45720D69" w14:textId="77777777" w:rsidR="00EB171F" w:rsidRDefault="002E650E">
            <w:pPr>
              <w:pStyle w:val="Tabletext9"/>
              <w:jc w:val="left"/>
            </w:pPr>
            <w:r>
              <w:t>Scholia</w:t>
            </w:r>
          </w:p>
        </w:tc>
        <w:tc>
          <w:tcPr>
            <w:tcW w:w="0" w:type="auto"/>
          </w:tcPr>
          <w:p w14:paraId="43794C83" w14:textId="77777777" w:rsidR="00EB171F" w:rsidRDefault="002E650E">
            <w:pPr>
              <w:pStyle w:val="Tabletext9"/>
              <w:jc w:val="left"/>
            </w:pPr>
            <w:r>
              <w:t>Σ</w:t>
            </w:r>
          </w:p>
        </w:tc>
        <w:tc>
          <w:tcPr>
            <w:tcW w:w="0" w:type="auto"/>
          </w:tcPr>
          <w:p w14:paraId="1F790F7D" w14:textId="77777777" w:rsidR="00EB171F" w:rsidRDefault="002E650E">
            <w:pPr>
              <w:pStyle w:val="Tabletext9"/>
              <w:jc w:val="left"/>
            </w:pPr>
            <w:r>
              <w:t>Σ</w:t>
            </w:r>
          </w:p>
        </w:tc>
      </w:tr>
      <w:tr w:rsidR="00EB171F" w14:paraId="518A320E" w14:textId="77777777">
        <w:trPr>
          <w:jc w:val="center"/>
        </w:trPr>
        <w:tc>
          <w:tcPr>
            <w:tcW w:w="0" w:type="auto"/>
          </w:tcPr>
          <w:p w14:paraId="6A1E4FD4" w14:textId="77777777" w:rsidR="00EB171F" w:rsidRDefault="002E650E">
            <w:pPr>
              <w:pStyle w:val="Tabletext9"/>
              <w:jc w:val="left"/>
            </w:pPr>
            <w:r>
              <w:t>Scholia in a certain manuscript</w:t>
            </w:r>
          </w:p>
        </w:tc>
        <w:tc>
          <w:tcPr>
            <w:tcW w:w="0" w:type="auto"/>
          </w:tcPr>
          <w:p w14:paraId="27E96B42" w14:textId="77777777" w:rsidR="00EB171F" w:rsidRDefault="002E650E">
            <w:pPr>
              <w:pStyle w:val="Tabletext9"/>
              <w:jc w:val="left"/>
            </w:pPr>
            <w:r>
              <w:t>Σa, Σb</w:t>
            </w:r>
          </w:p>
        </w:tc>
        <w:tc>
          <w:tcPr>
            <w:tcW w:w="0" w:type="auto"/>
          </w:tcPr>
          <w:p w14:paraId="40C49B64" w14:textId="77777777" w:rsidR="00EB171F" w:rsidRDefault="002E650E">
            <w:pPr>
              <w:pStyle w:val="Tabletext9"/>
              <w:jc w:val="left"/>
            </w:pPr>
            <w:r>
              <w:t>Σ</w:t>
            </w:r>
            <w:r>
              <w:rPr>
                <w:vertAlign w:val="superscript"/>
              </w:rPr>
              <w:t>a</w:t>
            </w:r>
            <w:r>
              <w:t>, Σ</w:t>
            </w:r>
            <w:r>
              <w:rPr>
                <w:vertAlign w:val="superscript"/>
              </w:rPr>
              <w:t>b</w:t>
            </w:r>
          </w:p>
        </w:tc>
      </w:tr>
      <w:tr w:rsidR="00EB171F" w14:paraId="7E01A745" w14:textId="77777777">
        <w:trPr>
          <w:jc w:val="center"/>
        </w:trPr>
        <w:tc>
          <w:tcPr>
            <w:tcW w:w="0" w:type="auto"/>
          </w:tcPr>
          <w:p w14:paraId="3DAF1E0D" w14:textId="77777777" w:rsidR="00EB171F" w:rsidRDefault="002E650E">
            <w:pPr>
              <w:pStyle w:val="Tabletext9"/>
              <w:jc w:val="left"/>
            </w:pPr>
            <w:r>
              <w:t>Multiple editions</w:t>
            </w:r>
          </w:p>
        </w:tc>
        <w:tc>
          <w:tcPr>
            <w:tcW w:w="0" w:type="auto"/>
          </w:tcPr>
          <w:p w14:paraId="02209FD5" w14:textId="77777777" w:rsidR="00EB171F" w:rsidRDefault="002E650E">
            <w:pPr>
              <w:pStyle w:val="Tabletext9"/>
              <w:jc w:val="left"/>
            </w:pPr>
            <w:r>
              <w:t>Schenkl1, Schenkl2</w:t>
            </w:r>
          </w:p>
        </w:tc>
        <w:tc>
          <w:tcPr>
            <w:tcW w:w="0" w:type="auto"/>
          </w:tcPr>
          <w:p w14:paraId="38A07051" w14:textId="77777777" w:rsidR="00EB171F" w:rsidRDefault="002E650E">
            <w:pPr>
              <w:pStyle w:val="Tabletext9"/>
              <w:jc w:val="left"/>
            </w:pPr>
            <w:r>
              <w:t>Schenkl</w:t>
            </w:r>
            <w:r>
              <w:rPr>
                <w:vertAlign w:val="superscript"/>
              </w:rPr>
              <w:t>1</w:t>
            </w:r>
            <w:r>
              <w:t>, Schenkl</w:t>
            </w:r>
            <w:r>
              <w:rPr>
                <w:vertAlign w:val="superscript"/>
              </w:rPr>
              <w:t>2</w:t>
            </w:r>
          </w:p>
        </w:tc>
      </w:tr>
      <w:tr w:rsidR="00EB171F" w14:paraId="277069D6" w14:textId="77777777">
        <w:trPr>
          <w:jc w:val="center"/>
        </w:trPr>
        <w:tc>
          <w:tcPr>
            <w:tcW w:w="0" w:type="auto"/>
          </w:tcPr>
          <w:p w14:paraId="207AFCBA" w14:textId="77777777" w:rsidR="00EB171F" w:rsidRDefault="002E650E">
            <w:pPr>
              <w:pStyle w:val="Tabletext9"/>
              <w:jc w:val="left"/>
            </w:pPr>
            <w:r>
              <w:t>Multiple books or articles by the same scholar</w:t>
            </w:r>
          </w:p>
        </w:tc>
        <w:tc>
          <w:tcPr>
            <w:tcW w:w="0" w:type="auto"/>
          </w:tcPr>
          <w:p w14:paraId="293E2C63" w14:textId="77777777" w:rsidR="00EB171F" w:rsidRDefault="002E650E">
            <w:pPr>
              <w:pStyle w:val="Tabletext9"/>
              <w:jc w:val="left"/>
            </w:pPr>
            <w:r>
              <w:t>Burm1731, Burm1759</w:t>
            </w:r>
          </w:p>
        </w:tc>
        <w:tc>
          <w:tcPr>
            <w:tcW w:w="0" w:type="auto"/>
          </w:tcPr>
          <w:p w14:paraId="51398A03" w14:textId="77777777" w:rsidR="00EB171F" w:rsidRDefault="002E650E">
            <w:pPr>
              <w:pStyle w:val="Tabletext9"/>
              <w:jc w:val="left"/>
            </w:pPr>
            <w:r>
              <w:t>Burm. 1731, Burm. 1759</w:t>
            </w:r>
          </w:p>
        </w:tc>
      </w:tr>
    </w:tbl>
    <w:p w14:paraId="1E98FAEE" w14:textId="77777777" w:rsidR="00EB171F" w:rsidRDefault="00EB171F"/>
    <w:p w14:paraId="6DDF3B2C" w14:textId="77777777" w:rsidR="00EB171F" w:rsidRDefault="002E650E">
      <w:pPr>
        <w:pStyle w:val="teiquote"/>
      </w:pPr>
      <w:bookmarkStart w:id="12" w:name="stigma-note"/>
      <w:r>
        <w:t xml:space="preserve">Note that the lower-case character "stigma" (ϛ) is, for whatever reason, an illegal value for </w:t>
      </w:r>
      <w:r>
        <w:rPr>
          <w:i/>
        </w:rPr>
        <w:t>@xml:id</w:t>
      </w:r>
      <w:r>
        <w:t>, so the upper-case character (Ϛ) must be used in its place.</w:t>
      </w:r>
      <w:bookmarkEnd w:id="12"/>
    </w:p>
    <w:p w14:paraId="27EE0876" w14:textId="77777777" w:rsidR="00EB171F" w:rsidRDefault="002E650E">
      <w:r>
        <w:lastRenderedPageBreak/>
        <w:t xml:space="preserve">In short, </w:t>
      </w:r>
      <w:r>
        <w:rPr>
          <w:b/>
        </w:rPr>
        <w:t xml:space="preserve">every entry, regardless of type, in the bibliography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 a print version of the edition, should one be required.</w:t>
      </w:r>
    </w:p>
    <w:p w14:paraId="71C76BE8" w14:textId="77777777" w:rsidR="00EB171F" w:rsidRDefault="002E650E">
      <w:pPr>
        <w:pStyle w:val="Heading3"/>
      </w:pPr>
      <w:bookmarkStart w:id="13" w:name="bibliography-sigla-catch-all"/>
      <w:r>
        <w:t>Catch-all References</w:t>
      </w:r>
      <w:bookmarkEnd w:id="13"/>
    </w:p>
    <w:p w14:paraId="0A83A9B5" w14:textId="77777777" w:rsidR="00EB171F" w:rsidRDefault="002E650E">
      <w:r>
        <w:t>Sometimes it is necessary to use a siglum to stand for the consensus of a particular group of manuscripts (e.g., ω or ϛ). Consensus sigla should be defined in the &lt;</w:t>
      </w:r>
      <w:r>
        <w:rPr>
          <w:rFonts w:ascii="Courier" w:hAnsi="Courier"/>
        </w:rPr>
        <w:t>listWit</w:t>
      </w:r>
      <w:r>
        <w:t>&gt; as described in the section "</w:t>
      </w:r>
      <w:r>
        <w:fldChar w:fldCharType="begin"/>
      </w:r>
      <w:r>
        <w:instrText>REF bibliography-manuscripts \n \h</w:instrText>
      </w:r>
      <w:r>
        <w:fldChar w:fldCharType="separate"/>
      </w:r>
      <w:r>
        <w:t>Manuscripts</w:t>
      </w:r>
      <w:r>
        <w:fldChar w:fldCharType="end"/>
      </w:r>
      <w:r>
        <w:t>.”</w:t>
      </w:r>
    </w:p>
    <w:p w14:paraId="78123322" w14:textId="77777777" w:rsidR="00EB171F" w:rsidRDefault="002E650E">
      <w:r>
        <w:t xml:space="preserve">“Catch-all” references can also be useful: </w:t>
      </w:r>
      <w:r>
        <w:rPr>
          <w:i/>
        </w:rPr>
        <w:t>codd.</w:t>
      </w:r>
      <w:r>
        <w:t xml:space="preserve"> or </w:t>
      </w:r>
      <w:r>
        <w:rPr>
          <w:i/>
        </w:rPr>
        <w:t>mss.</w:t>
      </w:r>
      <w:r>
        <w:t xml:space="preserve"> for “the manuscripts,”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6D4089E6" w14:textId="77777777" w:rsidR="00EB171F" w:rsidRDefault="002E650E">
      <w:r>
        <w:t xml:space="preserve">It is customary to define catch-all references in the </w:t>
      </w:r>
      <w:r>
        <w:rPr>
          <w:rStyle w:val="teiforeign"/>
          <w:lang w:val="uz-Cyrl-UZ"/>
        </w:rPr>
        <w:t>conspectus siglorum</w:t>
      </w:r>
      <w:r>
        <w:t xml:space="preserve"> or elsewhere in the preface. Since the conspectus will be generated automatically based on information provided in the bibliography, catch-all abbreviations and phrases must be defined in a simple list at the end of the bibliography, each with its own </w:t>
      </w:r>
      <w:r>
        <w:rPr>
          <w:i/>
        </w:rPr>
        <w:t>@xml:id</w:t>
      </w:r>
      <w:r>
        <w:t xml:space="preserve"> and &lt;</w:t>
      </w:r>
      <w:r>
        <w:rPr>
          <w:rFonts w:ascii="Courier" w:hAnsi="Courier"/>
        </w:rPr>
        <w:t>abbr</w:t>
      </w:r>
      <w:r>
        <w:t>&gt;:</w:t>
      </w:r>
    </w:p>
    <w:p w14:paraId="5FF721C8" w14:textId="77777777" w:rsidR="00EB171F" w:rsidRDefault="002E650E">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26D7DEC8" w14:textId="77777777" w:rsidR="00EB171F" w:rsidRDefault="002E650E">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428A726D" w14:textId="77777777" w:rsidR="00EB171F" w:rsidRDefault="002E650E">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54549C48" w14:textId="77777777" w:rsidR="00EB171F" w:rsidRDefault="002E650E">
      <w:r>
        <w:t>See the section "</w:t>
      </w:r>
      <w:r>
        <w:fldChar w:fldCharType="begin"/>
      </w:r>
      <w:r>
        <w:instrText>REF apparatus-criticus-catch-all-references \n \h</w:instrText>
      </w:r>
      <w:r>
        <w:fldChar w:fldCharType="separate"/>
      </w:r>
      <w:r>
        <w:t>Use of Catch-all References in the Critical Apparatus</w:t>
      </w:r>
      <w:r>
        <w:fldChar w:fldCharType="end"/>
      </w:r>
      <w:r>
        <w:t>" for guidelines on usage.</w:t>
      </w:r>
    </w:p>
    <w:p w14:paraId="4CFC6A72" w14:textId="77777777" w:rsidR="00EB171F" w:rsidRDefault="002E650E">
      <w:pPr>
        <w:pStyle w:val="Heading2"/>
      </w:pPr>
      <w:bookmarkStart w:id="14" w:name="bibliography-manuscripts"/>
      <w:r>
        <w:t>Manuscripts</w:t>
      </w:r>
      <w:bookmarkEnd w:id="14"/>
    </w:p>
    <w:p w14:paraId="0A8C6DA9" w14:textId="77777777" w:rsidR="00EB171F" w:rsidRDefault="002E650E">
      <w:r>
        <w:t xml:space="preserve">The description of manuscripts is a discipline unto itself, with long-established conventions for capturing all of the details about not only a manuscript’s contents, but also its dimensions, provenance, material, and other details. It is customary for critical editions to provide a brief prose description of the major manuscripts used for establishing the text, usually only enough to identify where the manuscript may be found for consultation, but sometimes including </w:t>
      </w:r>
      <w:r>
        <w:lastRenderedPageBreak/>
        <w:t>information about its provenance and other details relevant to the edition (e.g., manuscript hands).</w:t>
      </w:r>
    </w:p>
    <w:p w14:paraId="4857A27E" w14:textId="77777777" w:rsidR="00EB171F" w:rsidRDefault="002E650E">
      <w:r>
        <w:t>The prose format for describing manuscripts is a predictable and efficient way of conveying this information to human readers, but it is not useful for making the information available to machines for processing. That is why the TEI guidelines have an entire module (</w:t>
      </w:r>
      <w:hyperlink r:id="rId18">
        <w:r>
          <w:rPr>
            <w:rStyle w:val="Hyperlink"/>
          </w:rPr>
          <w:t>10 Manuscript Description</w:t>
        </w:r>
      </w:hyperlink>
      <w:r>
        <w:t>) for making manuscript descriptions available as structured data for machine-readability. This section is a customization of that module for LDLT editions.</w:t>
      </w:r>
    </w:p>
    <w:p w14:paraId="65019B28" w14:textId="77777777" w:rsidR="00EB171F" w:rsidRDefault="002E650E">
      <w:r>
        <w:t>This section establishes a minimum requirement for describing a manuscript in an LDLT edition so that the information can be processed and displayed as expected. It also includes instructions for encoding a finer degree of detail. Above all, the point is to make the information available to both human and machine readers. It is up to individual editors to use their best judgment regarding the amount of information that will be relevant to those seeking to understand the place of a manuscript in the tradition.</w:t>
      </w:r>
    </w:p>
    <w:p w14:paraId="09AA3024" w14:textId="77777777" w:rsidR="00EB171F" w:rsidRDefault="002E650E">
      <w:pPr>
        <w:pStyle w:val="Heading3"/>
      </w:pPr>
      <w:bookmarkStart w:id="15" w:name="bibliography-manuscript-description"/>
      <w:r>
        <w:t>Manuscript Description</w:t>
      </w:r>
      <w:bookmarkEnd w:id="15"/>
    </w:p>
    <w:p w14:paraId="61058A0D" w14:textId="77777777" w:rsidR="00EB171F" w:rsidRDefault="002E650E">
      <w:r>
        <w:t xml:space="preserve">The TEI’s </w:t>
      </w:r>
      <w:hyperlink r:id="rId19">
        <w:r>
          <w:rPr>
            <w:rStyle w:val="Hyperlink"/>
          </w:rPr>
          <w:t>module for manuscript description</w:t>
        </w:r>
      </w:hyperlink>
      <w:r>
        <w:t xml:space="preserve"> offers a model for presenting nearly every imaginable detail about a manuscript as structured data. Editors may wish to use more of the features of the module than are described here, but the LDLT viewer will display only the following:</w:t>
      </w:r>
    </w:p>
    <w:p w14:paraId="2C8DFEAC" w14:textId="77777777" w:rsidR="00EB171F" w:rsidRDefault="002E650E">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listWit</w:t>
      </w:r>
      <w:r>
        <w:t>&gt; elements may be used to distinguish families of manuscripts (see section "</w:t>
      </w:r>
      <w:hyperlink r:id="rId20">
        <w:r>
          <w:rPr>
            <w:rStyle w:val="Hyperlink"/>
          </w:rPr>
          <w:t>Manuscript Families</w:t>
        </w:r>
      </w:hyperlink>
      <w:r>
        <w:t>").</w:t>
      </w:r>
    </w:p>
    <w:p w14:paraId="5E6FE02E" w14:textId="77777777" w:rsidR="00EB171F" w:rsidRDefault="002E650E">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04F81A6F" w14:textId="77777777" w:rsidR="00EB171F" w:rsidRDefault="002E650E">
      <w:pPr>
        <w:pStyle w:val="ListContinue"/>
        <w:numPr>
          <w:ilvl w:val="0"/>
          <w:numId w:val="2"/>
        </w:numPr>
      </w:pPr>
      <w:r>
        <w:t>&lt;</w:t>
      </w:r>
      <w:r>
        <w:rPr>
          <w:rFonts w:ascii="Courier" w:hAnsi="Courier"/>
        </w:rPr>
        <w:t>abbr</w:t>
      </w:r>
      <w:r>
        <w:t>&gt; contains the human-readable siglum that should be displayed on screen or printed. Any superscript or subscript characters should be encoded using &lt;</w:t>
      </w:r>
      <w:r>
        <w:rPr>
          <w:rFonts w:ascii="Courier" w:hAnsi="Courier"/>
        </w:rPr>
        <w:t>hi</w:t>
      </w:r>
      <w:r>
        <w:t xml:space="preserve">&gt; with the appropriate value for </w:t>
      </w:r>
      <w:r>
        <w:rPr>
          <w:i/>
        </w:rPr>
        <w:t>@rend</w:t>
      </w:r>
      <w:r>
        <w:t>.</w:t>
      </w:r>
    </w:p>
    <w:p w14:paraId="3D1AC002" w14:textId="77777777" w:rsidR="00EB171F" w:rsidRDefault="002E650E">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4644E298" w14:textId="77777777" w:rsidR="00EB171F" w:rsidRDefault="002E650E">
      <w:pPr>
        <w:pStyle w:val="ListContinue2"/>
        <w:numPr>
          <w:ilvl w:val="1"/>
          <w:numId w:val="2"/>
        </w:numPr>
      </w:pPr>
      <w:r>
        <w:t>&lt;</w:t>
      </w:r>
      <w:r>
        <w:rPr>
          <w:rFonts w:ascii="Courier" w:hAnsi="Courier"/>
        </w:rPr>
        <w:t>msIdentifier</w:t>
      </w:r>
      <w:r>
        <w:t>&gt; (manuscript identifier) groups information about the location and inventory number of the manuscript.</w:t>
      </w:r>
    </w:p>
    <w:p w14:paraId="5BB5C133" w14:textId="77777777" w:rsidR="00EB171F" w:rsidRDefault="002E650E">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66C1B584" w14:textId="77777777" w:rsidR="00EB171F" w:rsidRDefault="002E650E">
      <w:pPr>
        <w:pStyle w:val="ListContinue2"/>
        <w:numPr>
          <w:ilvl w:val="1"/>
          <w:numId w:val="2"/>
        </w:numPr>
      </w:pPr>
      <w:r>
        <w:t>&lt;</w:t>
      </w:r>
      <w:r>
        <w:rPr>
          <w:rFonts w:ascii="Courier" w:hAnsi="Courier"/>
        </w:rPr>
        <w:t>repository</w:t>
      </w:r>
      <w:r>
        <w:t>&gt; contains the name of the library or other institution that houses the manuscript. Use the original name of the institution (e.g., Biblioteca Ambrosiana), not an English translation.</w:t>
      </w:r>
    </w:p>
    <w:p w14:paraId="305D69B0" w14:textId="77777777" w:rsidR="00EB171F" w:rsidRDefault="002E650E">
      <w:pPr>
        <w:pStyle w:val="ListContinue2"/>
        <w:numPr>
          <w:ilvl w:val="1"/>
          <w:numId w:val="2"/>
        </w:numPr>
      </w:pPr>
      <w:r>
        <w:t>&lt;</w:t>
      </w:r>
      <w:r>
        <w:rPr>
          <w:rFonts w:ascii="Courier" w:hAnsi="Courier"/>
        </w:rPr>
        <w:t>idno</w:t>
      </w:r>
      <w:r>
        <w:t>&gt; (identifier) contains the catalog or inventory information for the manuscript, including the name of the collection (e.g., Ottobonianus 1466). The point is to give enough information for a reader to be able to request more information about it.</w:t>
      </w:r>
    </w:p>
    <w:p w14:paraId="0AAC4B86" w14:textId="77777777" w:rsidR="00EB171F" w:rsidRDefault="002E650E">
      <w:pPr>
        <w:pStyle w:val="ListContinue2"/>
        <w:numPr>
          <w:ilvl w:val="1"/>
          <w:numId w:val="2"/>
        </w:numPr>
      </w:pPr>
      <w:r>
        <w:lastRenderedPageBreak/>
        <w:t>&lt;</w:t>
      </w:r>
      <w:r>
        <w:rPr>
          <w:rFonts w:ascii="Courier" w:hAnsi="Courier"/>
        </w:rPr>
        <w:t>altIdentifier</w:t>
      </w:r>
      <w:r>
        <w:t>&gt; (alternative identifier) contains other information (i.e., in addition to the &lt;</w:t>
      </w:r>
      <w:r>
        <w:rPr>
          <w:rFonts w:ascii="Courier" w:hAnsi="Courier"/>
        </w:rPr>
        <w:t>idno</w:t>
      </w:r>
      <w:r>
        <w:t>&gt;) used to identify the manuscript. For example, the manuscript may have been recataloged, but its old number is still used.</w:t>
      </w:r>
    </w:p>
    <w:p w14:paraId="0EDA0B34" w14:textId="77777777" w:rsidR="00EB171F" w:rsidRDefault="002E650E">
      <w:pPr>
        <w:pStyle w:val="ListContinue2"/>
        <w:numPr>
          <w:ilvl w:val="1"/>
          <w:numId w:val="2"/>
        </w:numPr>
      </w:pPr>
      <w:r>
        <w:t>&lt;</w:t>
      </w:r>
      <w:r>
        <w:rPr>
          <w:rFonts w:ascii="Courier" w:hAnsi="Courier"/>
        </w:rPr>
        <w:t>msContents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5DEC9438" w14:textId="77777777" w:rsidR="00EB171F" w:rsidRDefault="002E650E">
      <w:pPr>
        <w:pStyle w:val="ListContinue2"/>
        <w:numPr>
          <w:ilvl w:val="1"/>
          <w:numId w:val="2"/>
        </w:numPr>
      </w:pPr>
      <w:r>
        <w:t>&lt;</w:t>
      </w:r>
      <w:r>
        <w:rPr>
          <w:rFonts w:ascii="Courier" w:hAnsi="Courier"/>
        </w:rPr>
        <w:t>phsyDesc</w:t>
      </w:r>
      <w:r>
        <w:t>&gt; (physical description) groups information about the manuscript.</w:t>
      </w:r>
    </w:p>
    <w:p w14:paraId="57FF0960" w14:textId="77777777" w:rsidR="00EB171F" w:rsidRDefault="002E650E">
      <w:pPr>
        <w:pStyle w:val="ListContinue2"/>
        <w:numPr>
          <w:ilvl w:val="1"/>
          <w:numId w:val="2"/>
        </w:numPr>
      </w:pPr>
      <w:r>
        <w:t>&lt;</w:t>
      </w:r>
      <w:r>
        <w:rPr>
          <w:rFonts w:ascii="Courier" w:hAnsi="Courier"/>
        </w:rPr>
        <w:t>objectDesc</w:t>
      </w:r>
      <w:r>
        <w:t>&gt; (object description) contains a prose description (using &lt;</w:t>
      </w:r>
      <w:r>
        <w:rPr>
          <w:rFonts w:ascii="Courier" w:hAnsi="Courier"/>
        </w:rPr>
        <w:t>p</w:t>
      </w:r>
      <w:r>
        <w:t>&gt;) of the manuscript’s physical characteristics (e.g., material(s), size, pagination, lines per page, etc.). It is up to the editor to decide how to present this information, but it is recommended to adopt a pattern and use it consistently (e.g., “Parchment: 261 × 160 mm.: 116 leaves: 38 verses per page”). Note that the TEI module for manuscript description has tags for these details. Editors may use them, but they will not affect the display or functionality of the LDLT edition.</w:t>
      </w:r>
    </w:p>
    <w:p w14:paraId="6E178A54" w14:textId="77777777" w:rsidR="00EB171F" w:rsidRDefault="002E650E">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1822AC48" w14:textId="77777777" w:rsidR="00EB171F" w:rsidRDefault="002E650E">
      <w:pPr>
        <w:pStyle w:val="ListContinue2"/>
        <w:numPr>
          <w:ilvl w:val="1"/>
          <w:numId w:val="2"/>
        </w:numPr>
      </w:pPr>
      <w:r>
        <w:t>&lt;</w:t>
      </w:r>
      <w:r>
        <w:rPr>
          <w:rFonts w:ascii="Courier" w:hAnsi="Courier"/>
        </w:rPr>
        <w:t>handNote</w:t>
      </w:r>
      <w:r>
        <w:t>&gt; contains a prose description (using &lt;</w:t>
      </w:r>
      <w:r>
        <w:rPr>
          <w:rFonts w:ascii="Courier" w:hAnsi="Courier"/>
        </w:rPr>
        <w:t>p</w:t>
      </w:r>
      <w:r>
        <w:t>&gt;)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05381210" w14:textId="77777777" w:rsidR="00EB171F" w:rsidRDefault="002E650E">
      <w:pPr>
        <w:pStyle w:val="ListContinue2"/>
        <w:numPr>
          <w:ilvl w:val="1"/>
          <w:numId w:val="2"/>
        </w:numPr>
      </w:pPr>
      <w:r>
        <w:t>&lt;</w:t>
      </w:r>
      <w:r>
        <w:rPr>
          <w:rFonts w:ascii="Courier" w:hAnsi="Courier"/>
        </w:rPr>
        <w:t>history</w:t>
      </w:r>
      <w:r>
        <w:t>&gt; groups information about the date of the manuscript.</w:t>
      </w:r>
    </w:p>
    <w:p w14:paraId="5319A35D" w14:textId="77777777" w:rsidR="00EB171F" w:rsidRDefault="002E650E">
      <w:pPr>
        <w:pStyle w:val="ListContinue2"/>
        <w:numPr>
          <w:ilvl w:val="1"/>
          <w:numId w:val="2"/>
        </w:numPr>
      </w:pPr>
      <w:r>
        <w:t>&lt;</w:t>
      </w:r>
      <w:r>
        <w:rPr>
          <w:rFonts w:ascii="Courier" w:hAnsi="Courier"/>
        </w:rPr>
        <w:t>origin</w:t>
      </w:r>
      <w:r>
        <w:t>&gt; contains a prose description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199CFF6E" w14:textId="77777777" w:rsidR="00EB171F" w:rsidRDefault="002E650E">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36FFCDDE" w14:textId="77777777" w:rsidR="00EB171F" w:rsidRDefault="002E650E">
      <w:r>
        <w:t>The absolute minimum required for LDLT editions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0E898C40" w14:textId="77777777" w:rsidR="00EB171F" w:rsidRDefault="002E650E">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saec. XV&lt;/</w:t>
      </w:r>
      <w:r>
        <w:rPr>
          <w:b/>
        </w:rPr>
        <w:t>witness</w:t>
      </w:r>
      <w:r>
        <w:t>&gt;</w:t>
      </w:r>
      <w:r>
        <w:br/>
        <w:t>&lt;/</w:t>
      </w:r>
      <w:r>
        <w:rPr>
          <w:b/>
        </w:rPr>
        <w:t>listWit</w:t>
      </w:r>
      <w:r>
        <w:t>&gt;</w:t>
      </w:r>
    </w:p>
    <w:p w14:paraId="4DD63B7B" w14:textId="77777777" w:rsidR="00EB171F" w:rsidRDefault="002E650E">
      <w:r>
        <w:t>That example provides enough human- and machine-readable information to identify the manuscripts in the apparatus criticus, but it leaves much to be desired by anyone hoping to learn more about the manuscripts or locate them for private study.</w:t>
      </w:r>
    </w:p>
    <w:p w14:paraId="2EB4BB6C" w14:textId="77777777" w:rsidR="00EB171F" w:rsidRDefault="002E650E">
      <w:r>
        <w:t>The following example uses all of the elements listed above to provide rich human- and machine-readable information about the same manuscripts:</w:t>
      </w:r>
    </w:p>
    <w:p w14:paraId="6686DAA0" w14:textId="77777777" w:rsidR="00EB171F" w:rsidRDefault="002E650E">
      <w:pPr>
        <w:pStyle w:val="Special"/>
      </w:pPr>
      <w:r>
        <w:t>&lt;</w:t>
      </w:r>
      <w:r>
        <w:rPr>
          <w:b/>
        </w:rPr>
        <w:t>listWit</w:t>
      </w:r>
      <w:r>
        <w:t>&gt;</w:t>
      </w:r>
      <w:r>
        <w:br/>
        <w:t> &lt;</w:t>
      </w:r>
      <w:r>
        <w:rPr>
          <w:b/>
        </w:rPr>
        <w:t>witness</w:t>
      </w:r>
      <w:r>
        <w:t> </w:t>
      </w:r>
      <w:r>
        <w:rPr>
          <w:b/>
        </w:rPr>
        <w:t>xml:id</w:t>
      </w:r>
      <w:r>
        <w:t>="N"&gt;</w:t>
      </w:r>
      <w:r>
        <w:br/>
      </w:r>
      <w:r>
        <w:lastRenderedPageBreak/>
        <w:t>  &lt;</w:t>
      </w:r>
      <w:r>
        <w:rPr>
          <w:b/>
        </w:rPr>
        <w:t>abbr</w:t>
      </w:r>
      <w:r>
        <w:t> </w:t>
      </w:r>
      <w:r>
        <w:rPr>
          <w:b/>
        </w:rPr>
        <w:t>type</w:t>
      </w:r>
      <w:r>
        <w:t>="siglum"&gt;N&lt;/</w:t>
      </w:r>
      <w:r>
        <w:rPr>
          <w:b/>
        </w:rPr>
        <w:t>abbr</w:t>
      </w:r>
      <w:r>
        <w:t>&gt; = Codex</w:t>
      </w:r>
      <w:r>
        <w:br/>
        <w:t>   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t>    &lt;</w:t>
      </w:r>
      <w:r>
        <w:rPr>
          <w:b/>
        </w:rPr>
        <w:t>altIdentifier</w:t>
      </w:r>
      <w:r>
        <w:t>&gt;</w:t>
      </w:r>
      <w:r>
        <w:br/>
        <w:t>     &lt;</w:t>
      </w:r>
      <w:r>
        <w:rPr>
          <w:b/>
        </w:rPr>
        <w:t>idno</w:t>
      </w:r>
      <w:r>
        <w:t>&gt;380&lt;/</w:t>
      </w:r>
      <w:r>
        <w:rPr>
          <w:b/>
        </w:rPr>
        <w:t>idno</w:t>
      </w:r>
      <w:r>
        <w:t>&gt;</w:t>
      </w:r>
      <w:r>
        <w:br/>
        <w:t>    &lt;/</w:t>
      </w:r>
      <w:r>
        <w:rPr>
          <w:b/>
        </w:rPr>
        <w:t>altIdentifier</w:t>
      </w:r>
      <w:r>
        <w:t>&gt;</w:t>
      </w:r>
      <w:r>
        <w:br/>
        <w:t>   &lt;/</w:t>
      </w:r>
      <w:r>
        <w:rPr>
          <w:b/>
        </w:rPr>
        <w:t>msIdentifier</w:t>
      </w:r>
      <w:r>
        <w:t>&gt;</w:t>
      </w:r>
      <w:r>
        <w:br/>
        <w:t>   &lt;</w:t>
      </w:r>
      <w:r>
        <w:rPr>
          <w:b/>
        </w:rPr>
        <w:t>msContents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101ʳ–115ᵛ, the &lt;</w:t>
      </w:r>
      <w:r>
        <w:rPr>
          <w:b/>
        </w:rPr>
        <w:t>bibl</w:t>
      </w:r>
      <w:r>
        <w:t>&gt;</w:t>
      </w:r>
      <w:r>
        <w:br/>
        <w:t>      &lt;</w:t>
      </w:r>
      <w:r>
        <w:rPr>
          <w:b/>
        </w:rPr>
        <w:t>title</w:t>
      </w:r>
      <w:r>
        <w:t>&gt;Bucolica&lt;/</w:t>
      </w:r>
      <w:r>
        <w:rPr>
          <w:b/>
        </w:rPr>
        <w:t>title</w:t>
      </w:r>
      <w:r>
        <w:t>&gt;</w:t>
      </w:r>
      <w:r>
        <w:br/>
        <w:t>     &lt;/</w:t>
      </w:r>
      <w:r>
        <w:rPr>
          <w:b/>
        </w:rPr>
        <w:t>bibl</w:t>
      </w:r>
      <w:r>
        <w:t>&gt;</w:t>
      </w:r>
      <w:r>
        <w:b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belongs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="N3"&gt;</w:t>
      </w:r>
      <w:r>
        <w:br/>
        <w:t>      &lt;</w:t>
      </w:r>
      <w:r>
        <w:rPr>
          <w:b/>
        </w:rPr>
        <w:t>abbr</w:t>
      </w:r>
      <w:r>
        <w:t> </w:t>
      </w:r>
      <w:r>
        <w:rPr>
          <w:b/>
        </w:rPr>
        <w:t>type</w:t>
      </w:r>
      <w:r>
        <w:t>="siglum"&gt;N&lt;</w:t>
      </w:r>
      <w:r>
        <w:rPr>
          <w:b/>
        </w:rPr>
        <w:t>hi</w:t>
      </w:r>
      <w:r>
        <w:t> </w:t>
      </w:r>
      <w:r>
        <w:rPr>
          <w:b/>
        </w:rPr>
        <w:t>rend</w:t>
      </w:r>
      <w:r>
        <w:t>="superscript"&gt;3&lt;/</w:t>
      </w:r>
      <w:r>
        <w:rPr>
          <w:b/>
        </w:rPr>
        <w:t>hi</w:t>
      </w:r>
      <w:r>
        <w:t>&gt;</w:t>
      </w:r>
      <w:r>
        <w:br/>
      </w:r>
      <w:r>
        <w:lastRenderedPageBreak/>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&gt;The manuscript was written at about the beginning</w:t>
      </w:r>
      <w:r>
        <w:b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understood from</w:t>
      </w:r>
      <w:r>
        <w:b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Juniis&lt;/</w:t>
      </w:r>
      <w:r>
        <w:rPr>
          <w:b/>
        </w:rPr>
        <w:t>quote</w:t>
      </w:r>
      <w:r>
        <w:t>&gt; (“Joannes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 Perilli</w:t>
      </w:r>
      <w:r>
        <w:b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from there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&gt;Biblioteca Medicea Laurenziana&lt;/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t>         Vergilius Maro, the</w:t>
      </w:r>
      <w:r>
        <w:b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with the interlocutors Daphnis, Tityrus, Mopsus, and</w:t>
      </w:r>
      <w:r>
        <w:br/>
        <w:t>         Meliboeus.&lt;/</w:t>
      </w:r>
      <w:r>
        <w:rPr>
          <w:b/>
        </w:rPr>
        <w:t>p</w:t>
      </w:r>
      <w:r>
        <w:t>&gt;</w:t>
      </w:r>
      <w:r>
        <w:br/>
      </w:r>
      <w:r>
        <w:lastRenderedPageBreak/>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Calfurnius to Nemesianus</w:t>
      </w:r>
      <w:r>
        <w:br/>
        <w:t>           of Carthage&lt;/</w:t>
      </w:r>
      <w:r>
        <w:rPr>
          <w:b/>
        </w:rPr>
        <w:t>quote</w:t>
      </w:r>
      <w:r>
        <w:t>&gt;). Nemesianus follows</w:t>
      </w:r>
      <w:r>
        <w:br/>
        <w:t>         Calpurnius with the following title prefixed: &lt;</w:t>
      </w:r>
      <w:r>
        <w:rPr>
          <w:b/>
        </w:rPr>
        <w:t>quote</w:t>
      </w:r>
      <w:r>
        <w:t> </w:t>
      </w:r>
      <w:r>
        <w:rPr>
          <w:b/>
        </w:rPr>
        <w:t>xml:lang</w:t>
      </w:r>
      <w:r>
        <w:t>="lat"&gt;Aureliani nemesiani cartaginiensis</w:t>
      </w:r>
      <w:r>
        <w:br/>
        <w:t>           egloghe incipiunt&lt;/</w:t>
      </w:r>
      <w:r>
        <w:rPr>
          <w:b/>
        </w:rPr>
        <w:t>quote</w:t>
      </w:r>
      <w:r>
        <w:t>&gt; (&lt;</w:t>
      </w:r>
      <w:r>
        <w:rPr>
          <w:b/>
        </w:rPr>
        <w:t>quote</w:t>
      </w:r>
      <w:r>
        <w:t>&gt;Here begin the</w:t>
      </w:r>
      <w:r>
        <w:br/>
        <w:t>           eclogues of Aurelianus Nemesianus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 and the</w:t>
      </w:r>
      <w:r>
        <w:br/>
        <w:t>         following is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that the seventh eclogue follows the</w:t>
      </w:r>
      <w:r>
        <w:br/>
        <w:t>         sixth without any break, with the result that only</w:t>
      </w:r>
      <w:r>
        <w:br/>
        <w:t>         six eclogues are attributed to Calpurnius in this</w:t>
      </w:r>
      <w:r>
        <w:br/>
        <w:t>         manuscript. But in the margin, where the sixth</w:t>
      </w:r>
      <w:r>
        <w:br/>
        <w:t>         eclogue ought to end, the copyist has added the</w:t>
      </w:r>
      <w:r>
        <w:br/>
        <w:t>         following: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eclogue that begins &lt;</w:t>
      </w:r>
      <w:r>
        <w:rPr>
          <w:b/>
        </w:rPr>
        <w:t>hi</w:t>
      </w:r>
      <w:r>
        <w:t> </w:t>
      </w:r>
      <w:r>
        <w:rPr>
          <w:b/>
        </w:rPr>
        <w:t>rend</w:t>
      </w:r>
      <w:r>
        <w:t>="italic"&gt;lentus&lt;/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pages</w:t>
      </w:r>
      <w:r>
        <w:br/>
        <w:t>           generally have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rPr>
          <w:b/>
        </w:rPr>
        <w:t>ref</w:t>
      </w:r>
      <w:r>
        <w:t>&gt; for a more</w:t>
      </w:r>
      <w:r>
        <w:br/>
        <w:t>           detailed description of this hand’s</w:t>
      </w:r>
      <w:r>
        <w:br/>
        <w:t>           activity.&lt;/</w:t>
      </w:r>
      <w:r>
        <w:rPr>
          <w:b/>
        </w:rPr>
        <w:t>handNote</w:t>
      </w:r>
      <w:r>
        <w:t>&gt;</w:t>
      </w:r>
      <w:r>
        <w:br/>
        <w:t>     &lt;</w:t>
      </w:r>
      <w:r>
        <w:rPr>
          <w:b/>
        </w:rPr>
        <w:t>handNote</w:t>
      </w:r>
      <w:r>
        <w:t> </w:t>
      </w:r>
      <w:r>
        <w:rPr>
          <w:b/>
        </w:rPr>
        <w:t>xml:id</w:t>
      </w:r>
      <w:r>
        <w:t>="G2"&gt;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r>
      <w:r>
        <w:lastRenderedPageBreak/>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&lt;/</w:t>
      </w:r>
      <w:r>
        <w:rPr>
          <w:b/>
        </w:rPr>
        <w:t>witness</w:t>
      </w:r>
      <w:r>
        <w:t>&gt;</w:t>
      </w:r>
      <w:r>
        <w:br/>
        <w:t>&lt;/</w:t>
      </w:r>
      <w:r>
        <w:rPr>
          <w:b/>
        </w:rPr>
        <w:t>listWit</w:t>
      </w:r>
      <w:r>
        <w:t>&gt;</w:t>
      </w:r>
    </w:p>
    <w:p w14:paraId="5E7E1566" w14:textId="77777777" w:rsidR="00EB171F" w:rsidRDefault="002E650E">
      <w:pPr>
        <w:pStyle w:val="Heading3"/>
      </w:pPr>
      <w:bookmarkStart w:id="16" w:name="bibliography-manuscripts-families-archet"/>
      <w:r>
        <w:t>Manuscript Families, Archetypes, and Hyparchetypes</w:t>
      </w:r>
      <w:bookmarkEnd w:id="16"/>
    </w:p>
    <w:p w14:paraId="2607CBC3" w14:textId="77777777" w:rsidR="00EB171F" w:rsidRDefault="002E650E">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Human- and Machine-Readable Sigla, Symbols, and Abbreviations</w:t>
      </w:r>
      <w:r>
        <w:fldChar w:fldCharType="end"/>
      </w:r>
      <w:r>
        <w:t xml:space="preserve">,” each family, archetype, and hyparchetype must have both a unique </w:t>
      </w:r>
      <w:r>
        <w:rPr>
          <w:i/>
        </w:rPr>
        <w:t>@xml:id</w:t>
      </w:r>
      <w:r>
        <w:t xml:space="preserve"> (machine-readable siglum) and an &lt;</w:t>
      </w:r>
      <w:r>
        <w:rPr>
          <w:rFonts w:ascii="Courier" w:hAnsi="Courier"/>
        </w:rPr>
        <w:t>abbr</w:t>
      </w:r>
      <w:r>
        <w:t>&gt; (human-readable siglum).</w:t>
      </w:r>
    </w:p>
    <w:p w14:paraId="1420CC49" w14:textId="77777777" w:rsidR="00EB171F" w:rsidRDefault="002E650E">
      <w:pPr>
        <w:pStyle w:val="Heading4"/>
      </w:pPr>
      <w:bookmarkStart w:id="17" w:name="bibliography-manuscripts-families"/>
      <w:r>
        <w:t>Manuscript Families</w:t>
      </w:r>
      <w:bookmarkEnd w:id="17"/>
    </w:p>
    <w:p w14:paraId="4949DB32" w14:textId="77777777" w:rsidR="00EB171F" w:rsidRDefault="002E650E">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elements that describe the manuscripts in the family.</w:t>
      </w:r>
    </w:p>
    <w:p w14:paraId="316ADC5D" w14:textId="77777777" w:rsidR="00EB171F" w:rsidRDefault="002E650E">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6B94B566" w14:textId="77777777" w:rsidR="00EB171F" w:rsidRDefault="002E650E">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42FFED2F" w14:textId="77777777" w:rsidR="00EB171F" w:rsidRDefault="002E650E">
      <w:pPr>
        <w:pStyle w:val="Heading4"/>
      </w:pPr>
      <w:bookmarkStart w:id="18" w:name="bibliography-manuscripts-hyparchetypes-a"/>
      <w:r>
        <w:t>Archetypes and Hyparchetypes</w:t>
      </w:r>
      <w:bookmarkEnd w:id="18"/>
    </w:p>
    <w:p w14:paraId="6F3B09E6" w14:textId="77777777" w:rsidR="00EB171F" w:rsidRDefault="002E650E">
      <w:r>
        <w:t xml:space="preserve">An archetype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both archetypes and hyparchetypes are commonly represented with lower case Greek letters.</w:t>
      </w:r>
    </w:p>
    <w:p w14:paraId="46F7B6FD" w14:textId="77777777" w:rsidR="00EB171F" w:rsidRDefault="002E650E">
      <w:r>
        <w:t xml:space="preserve">For example, </w:t>
      </w:r>
      <w:r>
        <w:fldChar w:fldCharType="begin"/>
      </w:r>
      <w:r>
        <w:instrText>REF kaster-suetonius \n \h</w:instrText>
      </w:r>
      <w:r>
        <w:fldChar w:fldCharType="separate"/>
      </w:r>
      <w:r>
        <w:t>Robert Kaster</w:t>
      </w:r>
      <w:r>
        <w:fldChar w:fldCharType="end"/>
      </w:r>
      <w:r>
        <w:t xml:space="preserve"> assigns the siglum ω to the archetype of 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2833DA42" w14:textId="77777777" w:rsidR="00EB171F" w:rsidRDefault="002E650E">
      <w:r>
        <w:t>Kaster lists the sigla as follows:</w:t>
      </w:r>
    </w:p>
    <w:p w14:paraId="6848E15A" w14:textId="77777777" w:rsidR="00EB171F" w:rsidRDefault="002E650E">
      <w:pPr>
        <w:pStyle w:val="ListContinue"/>
        <w:numPr>
          <w:ilvl w:val="0"/>
          <w:numId w:val="2"/>
        </w:numPr>
      </w:pPr>
      <w:r>
        <w:t xml:space="preserve">ω archetypus codicum αβ </w:t>
      </w:r>
    </w:p>
    <w:p w14:paraId="4EFA2F8F" w14:textId="77777777" w:rsidR="00EB171F" w:rsidRDefault="002E650E">
      <w:pPr>
        <w:pStyle w:val="ListContinue2"/>
        <w:numPr>
          <w:ilvl w:val="1"/>
          <w:numId w:val="2"/>
        </w:numPr>
      </w:pPr>
      <w:r>
        <w:lastRenderedPageBreak/>
        <w:t>α hyparchetypus codicum α</w:t>
      </w:r>
      <w:r>
        <w:rPr>
          <w:vertAlign w:val="subscript"/>
        </w:rPr>
        <w:t>1</w:t>
      </w:r>
      <w:r>
        <w:t xml:space="preserve"> α</w:t>
      </w:r>
      <w:r>
        <w:rPr>
          <w:vertAlign w:val="subscript"/>
        </w:rPr>
        <w:t>2</w:t>
      </w:r>
    </w:p>
    <w:p w14:paraId="6EFF5012" w14:textId="77777777" w:rsidR="00EB171F" w:rsidRDefault="002E650E">
      <w:pPr>
        <w:pStyle w:val="ListContinue3"/>
        <w:numPr>
          <w:ilvl w:val="2"/>
          <w:numId w:val="2"/>
        </w:numPr>
      </w:pPr>
      <w:r>
        <w:t>α</w:t>
      </w:r>
      <w:r>
        <w:rPr>
          <w:vertAlign w:val="subscript"/>
        </w:rPr>
        <w:t>1</w:t>
      </w:r>
      <w:r>
        <w:t xml:space="preserve"> hyparchetypus codicum MG</w:t>
      </w:r>
    </w:p>
    <w:p w14:paraId="53AFBB8C" w14:textId="77777777" w:rsidR="00EB171F" w:rsidRDefault="002E650E">
      <w:pPr>
        <w:pStyle w:val="ListContinue4"/>
        <w:numPr>
          <w:ilvl w:val="3"/>
          <w:numId w:val="2"/>
        </w:numPr>
      </w:pPr>
      <w:r>
        <w:t>M Paris. lat. 6115 s. IX</w:t>
      </w:r>
      <w:r>
        <w:rPr>
          <w:vertAlign w:val="superscript"/>
        </w:rPr>
        <w:t>1/2</w:t>
      </w:r>
      <w:r>
        <w:t xml:space="preserve"> (an. c. 820?)</w:t>
      </w:r>
    </w:p>
    <w:p w14:paraId="17BAD130" w14:textId="77777777" w:rsidR="00EB171F" w:rsidRDefault="002E650E">
      <w:pPr>
        <w:pStyle w:val="ListContinue4"/>
        <w:numPr>
          <w:ilvl w:val="3"/>
          <w:numId w:val="2"/>
        </w:numPr>
      </w:pPr>
      <w:r>
        <w:t>G Guelf. 4573 (Gud. lat. 268), s. XI</w:t>
      </w:r>
      <w:r>
        <w:rPr>
          <w:vertAlign w:val="superscript"/>
        </w:rPr>
        <w:t>3/4</w:t>
      </w:r>
    </w:p>
    <w:p w14:paraId="74F7E46B" w14:textId="77777777" w:rsidR="00EB171F" w:rsidRDefault="002E650E">
      <w:pPr>
        <w:pStyle w:val="ListContinue3"/>
        <w:numPr>
          <w:ilvl w:val="2"/>
          <w:numId w:val="2"/>
        </w:numPr>
      </w:pPr>
      <w:r>
        <w:t>etc.</w:t>
      </w:r>
    </w:p>
    <w:p w14:paraId="6502CFBC" w14:textId="77777777" w:rsidR="00EB171F" w:rsidRDefault="002E650E">
      <w:r>
        <w:t>Though no longer extant, archetypes and hyparchetypes can be referred to as witnesses to readings. Therefore, they are encoded with &lt;</w:t>
      </w:r>
      <w:r>
        <w:rPr>
          <w:rFonts w:ascii="Courier" w:hAnsi="Courier"/>
        </w:rPr>
        <w:t>witness</w:t>
      </w:r>
      <w:r>
        <w:t>&gt;. The following example demonstrates how Kaster’s list should be encoded:</w:t>
      </w:r>
    </w:p>
    <w:p w14:paraId="37E84AAC"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6585671F" w14:textId="77777777" w:rsidR="00EB171F" w:rsidRDefault="002E650E">
      <w:r>
        <w:t>The nesting of witnesses in this way can lead to confusion, so it is a good idea to include comments to help with navigation:</w:t>
      </w:r>
    </w:p>
    <w:p w14:paraId="49D20AC5"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r>
      <w:r>
        <w:lastRenderedPageBreak/>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&lt;!-- Start a new &lt;witness&gt; for α2 here, with &lt;listWit&gt; for any of 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&lt;!-- End of 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19F400BC" w14:textId="77777777" w:rsidR="00EB171F" w:rsidRDefault="002E650E">
      <w:pPr>
        <w:pStyle w:val="Heading2"/>
      </w:pPr>
      <w:bookmarkStart w:id="19" w:name="bibliography-sources"/>
      <w:r>
        <w:t>Sources</w:t>
      </w:r>
      <w:bookmarkEnd w:id="19"/>
    </w:p>
    <w:p w14:paraId="40CCE59E" w14:textId="77777777" w:rsidR="00EB171F" w:rsidRDefault="002E650E">
      <w:r>
        <w:t xml:space="preserve">The bibliography for early editions, modern editions, commentaries, translations, articles, notes, and other materials cited in the edition should be formatted according to the latest edition of </w:t>
      </w:r>
      <w:r>
        <w:fldChar w:fldCharType="begin"/>
      </w:r>
      <w:r>
        <w:instrText>REF Chicago \n \h</w:instrText>
      </w:r>
      <w:r>
        <w:fldChar w:fldCharType="separate"/>
      </w:r>
      <w:r>
        <w:rPr>
          <w:i/>
        </w:rPr>
        <w:t>The Chicago Manual of Style</w:t>
      </w:r>
      <w:r>
        <w:fldChar w:fldCharType="end"/>
      </w:r>
      <w:r>
        <w:t xml:space="preserve">. As noted </w:t>
      </w:r>
      <w:r>
        <w:fldChar w:fldCharType="begin"/>
      </w:r>
      <w:r>
        <w:instrText>REF zotero \n \h</w:instrText>
      </w:r>
      <w:r>
        <w:fldChar w:fldCharType="separate"/>
      </w:r>
      <w:r>
        <w:t>elsewhere in these guidelines</w:t>
      </w:r>
      <w:r>
        <w:fldChar w:fldCharType="end"/>
      </w:r>
      <w:r>
        <w:t xml:space="preserve">, it is recommended that editors use </w:t>
      </w:r>
      <w:hyperlink r:id="rId21">
        <w:r>
          <w:rPr>
            <w:rStyle w:val="Hyperlink"/>
          </w:rPr>
          <w:t>Zotero</w:t>
        </w:r>
      </w:hyperlink>
      <w:r>
        <w:t xml:space="preserve"> to manage the bibliography for LDLT editions, not least because Zotero can export the bibliography in Chicago style.</w:t>
      </w:r>
    </w:p>
    <w:p w14:paraId="0F91B684" w14:textId="77777777" w:rsidR="00EB171F" w:rsidRDefault="002E650E">
      <w:r>
        <w:t>Items should be categorized and listed in groups for ease of reference. For example, previous editions should be listed separately from commentaries and articles. Depending on the nature of the material, it may be useful to subdivide previous editions into early and modern editions.</w:t>
      </w:r>
    </w:p>
    <w:p w14:paraId="6413B0CE" w14:textId="77777777" w:rsidR="00EB171F" w:rsidRDefault="002E650E">
      <w:r>
        <w:t xml:space="preserve">In keeping with the goal of human- and machine-readability, individual items in the bibliography should also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6272BA48" w14:textId="77777777" w:rsidR="00EB171F" w:rsidRDefault="002E650E">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r>
      <w:r>
        <w:lastRenderedPageBreak/>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66614820" w14:textId="77777777" w:rsidR="00EB171F" w:rsidRDefault="002E650E">
      <w:r>
        <w:t xml:space="preserve">For maximum functionality, it is strongly recommended to encode a greater degree of bibliographical detail, using the following: </w:t>
      </w:r>
    </w:p>
    <w:p w14:paraId="3D18EA03" w14:textId="77777777" w:rsidR="00EB171F" w:rsidRDefault="002E650E">
      <w:pPr>
        <w:pStyle w:val="ListContinue"/>
        <w:numPr>
          <w:ilvl w:val="0"/>
          <w:numId w:val="2"/>
        </w:numPr>
      </w:pPr>
      <w:r>
        <w:t>&lt;</w:t>
      </w:r>
      <w:r>
        <w:rPr>
          <w:rFonts w:ascii="Courier" w:hAnsi="Courier"/>
        </w:rPr>
        <w:t>editor</w:t>
      </w:r>
      <w:r>
        <w:t>&gt; or &lt;</w:t>
      </w:r>
      <w:r>
        <w:rPr>
          <w:rFonts w:ascii="Courier" w:hAnsi="Courier"/>
        </w:rPr>
        <w:t>author</w:t>
      </w:r>
      <w:r>
        <w:t>&gt;</w:t>
      </w:r>
    </w:p>
    <w:p w14:paraId="7FD64EA0" w14:textId="77777777" w:rsidR="00EB171F" w:rsidRDefault="002E650E">
      <w:pPr>
        <w:pStyle w:val="ListContinue"/>
        <w:numPr>
          <w:ilvl w:val="0"/>
          <w:numId w:val="2"/>
        </w:numPr>
      </w:pPr>
      <w:r>
        <w:t>&lt;</w:t>
      </w:r>
      <w:r>
        <w:rPr>
          <w:rFonts w:ascii="Courier" w:hAnsi="Courier"/>
        </w:rPr>
        <w:t>title</w:t>
      </w:r>
      <w:r>
        <w:t>&gt;</w:t>
      </w:r>
    </w:p>
    <w:p w14:paraId="5B9352A6" w14:textId="77777777" w:rsidR="00EB171F" w:rsidRDefault="002E650E">
      <w:pPr>
        <w:pStyle w:val="ListContinue"/>
        <w:numPr>
          <w:ilvl w:val="0"/>
          <w:numId w:val="2"/>
        </w:numPr>
      </w:pPr>
      <w:r>
        <w:t>&lt;</w:t>
      </w:r>
      <w:r>
        <w:rPr>
          <w:rFonts w:ascii="Courier" w:hAnsi="Courier"/>
        </w:rPr>
        <w:t>pubPlace</w:t>
      </w:r>
      <w:r>
        <w:t>&gt; (place of publication)</w:t>
      </w:r>
    </w:p>
    <w:p w14:paraId="3DD69454" w14:textId="77777777" w:rsidR="00EB171F" w:rsidRDefault="002E650E">
      <w:pPr>
        <w:pStyle w:val="ListContinue"/>
        <w:numPr>
          <w:ilvl w:val="0"/>
          <w:numId w:val="2"/>
        </w:numPr>
      </w:pPr>
      <w:r>
        <w:t>&lt;</w:t>
      </w:r>
      <w:r>
        <w:rPr>
          <w:rFonts w:ascii="Courier" w:hAnsi="Courier"/>
        </w:rPr>
        <w:t>publisher</w:t>
      </w:r>
      <w:r>
        <w:t>&gt;</w:t>
      </w:r>
    </w:p>
    <w:p w14:paraId="6C05352D" w14:textId="77777777" w:rsidR="00EB171F" w:rsidRDefault="002E650E">
      <w:pPr>
        <w:pStyle w:val="ListContinue"/>
        <w:numPr>
          <w:ilvl w:val="0"/>
          <w:numId w:val="2"/>
        </w:numPr>
      </w:pPr>
      <w:r>
        <w:t>&lt;</w:t>
      </w:r>
      <w:r>
        <w:rPr>
          <w:rFonts w:ascii="Courier" w:hAnsi="Courier"/>
        </w:rPr>
        <w:t>date</w:t>
      </w:r>
      <w:r>
        <w:t>&gt;</w:t>
      </w:r>
    </w:p>
    <w:p w14:paraId="1ED5F74F" w14:textId="77777777" w:rsidR="00EB171F" w:rsidRDefault="002E650E">
      <w:pPr>
        <w:pStyle w:val="ListContinue"/>
        <w:numPr>
          <w:ilvl w:val="0"/>
          <w:numId w:val="2"/>
        </w:numPr>
      </w:pPr>
      <w:r>
        <w:t>&lt;</w:t>
      </w:r>
      <w:r>
        <w:rPr>
          <w:rFonts w:ascii="Courier" w:hAnsi="Courier"/>
        </w:rPr>
        <w:t>ptr</w:t>
      </w:r>
      <w:r>
        <w:t>&gt; (pointer, for the URL of a digital copy, if available)</w:t>
      </w:r>
    </w:p>
    <w:p w14:paraId="117D6433" w14:textId="77777777" w:rsidR="00EB171F" w:rsidRDefault="002E650E">
      <w:r>
        <w:t>The following sections demonstrate the recommended encoding for common types of records in a bibliography.</w:t>
      </w:r>
    </w:p>
    <w:p w14:paraId="1279AB7B" w14:textId="77777777" w:rsidR="00EB171F" w:rsidRDefault="002E650E">
      <w:pPr>
        <w:pStyle w:val="Heading3"/>
      </w:pPr>
      <w:bookmarkStart w:id="20" w:name="bibliography-editions"/>
      <w:r>
        <w:t>Editions</w:t>
      </w:r>
      <w:bookmarkEnd w:id="20"/>
    </w:p>
    <w:p w14:paraId="60B454F0" w14:textId="77777777" w:rsidR="00EB171F" w:rsidRDefault="002E650E">
      <w:r>
        <w:t>To make the most of the functionality supported by the LDLT and to remain true to its data model, previous editions should be classified in one of two categories: early editions based on a single manuscript (witness), and modern critical editions based on more than one external source (source). This will have consequences for how the editions are handled in the apparatus criticus (see the section "</w:t>
      </w:r>
      <w:r>
        <w:fldChar w:fldCharType="begin"/>
      </w:r>
      <w:r>
        <w:instrText>REF apparatus-criticus \n \h</w:instrText>
      </w:r>
      <w:r>
        <w:fldChar w:fldCharType="separate"/>
      </w:r>
      <w:r>
        <w:t>Apparatus Criticus</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012B716E" w14:textId="77777777" w:rsidR="00EB171F" w:rsidRDefault="002E650E">
      <w:r>
        <w:t>For more information on the terms “witness” and “source” as they are used here, see the section “</w:t>
      </w:r>
      <w:r>
        <w:fldChar w:fldCharType="begin"/>
      </w:r>
      <w:r>
        <w:instrText>REF bibliography-terminology \n \h</w:instrText>
      </w:r>
      <w:r>
        <w:fldChar w:fldCharType="separate"/>
      </w:r>
      <w:r>
        <w:t>Terminology: Witness and Source</w:t>
      </w:r>
      <w:r>
        <w:fldChar w:fldCharType="end"/>
      </w:r>
      <w:r>
        <w:t>” above.</w:t>
      </w:r>
    </w:p>
    <w:p w14:paraId="7AAB2E32" w14:textId="77777777" w:rsidR="00EB171F" w:rsidRDefault="002E650E">
      <w:pPr>
        <w:pStyle w:val="Heading4"/>
      </w:pPr>
      <w:bookmarkStart w:id="21" w:name="bibliography-editions-early"/>
      <w:r>
        <w:t>Early Editions</w:t>
      </w:r>
      <w:bookmarkEnd w:id="21"/>
    </w:p>
    <w:p w14:paraId="14183EEF" w14:textId="77777777" w:rsidR="00EB171F" w:rsidRDefault="002E650E">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 require the use of &lt;</w:t>
      </w:r>
      <w:r>
        <w:rPr>
          <w:rFonts w:ascii="Courier" w:hAnsi="Courier"/>
        </w:rPr>
        <w:t>bibl</w:t>
      </w:r>
      <w:r>
        <w:t>&gt; and its related elements.</w:t>
      </w:r>
    </w:p>
    <w:p w14:paraId="01332521" w14:textId="77777777" w:rsidR="00EB171F" w:rsidRDefault="002E650E">
      <w:pPr>
        <w:pStyle w:val="ListContinue"/>
        <w:numPr>
          <w:ilvl w:val="0"/>
          <w:numId w:val="2"/>
        </w:numPr>
      </w:pPr>
      <w:r>
        <w:t>&lt;</w:t>
      </w:r>
      <w:r>
        <w:rPr>
          <w:rFonts w:ascii="Courier" w:hAnsi="Courier"/>
        </w:rPr>
        <w:t>listWit</w:t>
      </w:r>
      <w:r>
        <w:t>&gt; (list of witnesses) contains bibliographical records for early editions.</w:t>
      </w:r>
    </w:p>
    <w:p w14:paraId="22240F59" w14:textId="77777777" w:rsidR="00EB171F" w:rsidRDefault="002E650E">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 edition.</w:t>
      </w:r>
    </w:p>
    <w:p w14:paraId="5C6D9130" w14:textId="77777777" w:rsidR="00EB171F" w:rsidRDefault="002E650E">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7267CB31" w14:textId="77777777" w:rsidR="00EB171F" w:rsidRDefault="002E650E">
      <w:pPr>
        <w:pStyle w:val="ListContinue"/>
        <w:numPr>
          <w:ilvl w:val="0"/>
          <w:numId w:val="2"/>
        </w:numPr>
      </w:pPr>
      <w:r>
        <w:t>&lt;</w:t>
      </w:r>
      <w:r>
        <w:rPr>
          <w:rFonts w:ascii="Courier" w:hAnsi="Courier"/>
        </w:rPr>
        <w:t>bibl</w:t>
      </w:r>
      <w:r>
        <w:t xml:space="preserve">&gt; (bibliographic citation) contains the following bibliographical information about the edition: </w:t>
      </w:r>
    </w:p>
    <w:p w14:paraId="12EB1CC7" w14:textId="77777777" w:rsidR="00EB171F" w:rsidRDefault="002E650E">
      <w:pPr>
        <w:pStyle w:val="ListContinue2"/>
        <w:numPr>
          <w:ilvl w:val="1"/>
          <w:numId w:val="2"/>
        </w:numPr>
      </w:pPr>
      <w:r>
        <w:lastRenderedPageBreak/>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60BBA913"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A52333E"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E84963B"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1F8444EE"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0551CBA"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C3BE33C" w14:textId="77777777" w:rsidR="00EB171F" w:rsidRDefault="002E650E">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r>
      <w:r>
        <w:lastRenderedPageBreak/>
        <w:t>   &lt;</w:t>
      </w:r>
      <w:r>
        <w:rPr>
          <w:b/>
        </w:rPr>
        <w:t>editor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30896291" w14:textId="77777777" w:rsidR="00EB171F" w:rsidRDefault="002E650E">
      <w:pPr>
        <w:pStyle w:val="Heading4"/>
      </w:pPr>
      <w:bookmarkStart w:id="22" w:name="bibliography-editions-modern"/>
      <w:r>
        <w:t>Modern Editions</w:t>
      </w:r>
      <w:bookmarkEnd w:id="22"/>
    </w:p>
    <w:p w14:paraId="2197327D" w14:textId="77777777" w:rsidR="00EB171F" w:rsidRDefault="002E650E">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4078A8C5" w14:textId="77777777" w:rsidR="00EB171F" w:rsidRDefault="002E650E">
      <w:pPr>
        <w:pStyle w:val="ListContinue"/>
        <w:numPr>
          <w:ilvl w:val="0"/>
          <w:numId w:val="2"/>
        </w:numPr>
      </w:pPr>
      <w:r>
        <w:t>&lt;</w:t>
      </w:r>
      <w:r>
        <w:rPr>
          <w:rFonts w:ascii="Courier" w:hAnsi="Courier"/>
        </w:rPr>
        <w:t>listBibl</w:t>
      </w:r>
      <w:r>
        <w:t>&gt; (citation lists) contains bibliographical records for modern editions.</w:t>
      </w:r>
    </w:p>
    <w:p w14:paraId="6FEF72B8"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5010DEED"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edition is referred to in the apparatus criticus.</w:t>
      </w:r>
    </w:p>
    <w:p w14:paraId="3244FB19" w14:textId="77777777" w:rsidR="00EB171F" w:rsidRDefault="002E650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1B61AF1F" w14:textId="77777777" w:rsidR="00EB171F" w:rsidRDefault="002E650E">
      <w:pPr>
        <w:pStyle w:val="ListContinue2"/>
        <w:numPr>
          <w:ilvl w:val="1"/>
          <w:numId w:val="2"/>
        </w:numPr>
      </w:pPr>
      <w:r>
        <w:lastRenderedPageBreak/>
        <w:t>&lt;</w:t>
      </w:r>
      <w:r>
        <w:rPr>
          <w:rFonts w:ascii="Courier" w:hAnsi="Courier"/>
        </w:rPr>
        <w:t>title</w:t>
      </w:r>
      <w:r>
        <w:t>&gt; contains either the name by which the edition is commonly known (e.g., editio Romana, editio Aldina) and/or the actual title of the edition.</w:t>
      </w:r>
    </w:p>
    <w:p w14:paraId="0D880537"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363CD75D"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571ED018"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5422033B"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37E2D875" w14:textId="77777777" w:rsidR="00EB171F" w:rsidRDefault="002E650E">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w:t>
      </w:r>
      <w:r>
        <w:lastRenderedPageBreak/>
        <w:t>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="https://books.google.com/books?id=nJVAAAAAcAAJ&amp;amp;pg=PP9#v=onepage&amp;amp;q&amp;amp;f=false"/&gt;</w:t>
      </w:r>
      <w:r>
        <w:br/>
      </w:r>
      <w:r>
        <w:lastRenderedPageBreak/>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&gt;. URL: &lt;</w:t>
      </w:r>
      <w:r>
        <w:rPr>
          <w:b/>
        </w:rPr>
        <w:t>ptr</w:t>
      </w:r>
      <w:r>
        <w:t> </w:t>
      </w:r>
      <w:r>
        <w:rPr>
          <w:b/>
        </w:rPr>
        <w:t>target</w:t>
      </w:r>
      <w:r>
        <w:t>="https://books.google.com/books?id=uKZAAAAAcAAJ&amp;amp;pg=PP9#v=onepage&amp;amp;q&amp;amp;f=false"/&gt;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&gt;Poetae Latini Minores, Tomus 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="https://books.google.com/books?id=CjUOAAAAYAAJ&amp;amp;pg=PA1#v=onepage&amp;</w:t>
      </w:r>
      <w:r>
        <w:lastRenderedPageBreak/>
        <w:t>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&gt;. URL &lt;</w:t>
      </w:r>
      <w:r>
        <w:rPr>
          <w:b/>
        </w:rPr>
        <w:t>ptr</w:t>
      </w:r>
      <w:r>
        <w:t> </w:t>
      </w:r>
      <w:r>
        <w:rPr>
          <w:b/>
        </w:rPr>
        <w:t>target</w:t>
      </w:r>
      <w:r>
        <w:t>="https://books.google.com/books?id=kuVGAQAAIAAJ&amp;amp;pg=PR1#v=onepage&amp;amp;q&amp;amp;f=false"/&gt;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1496DB2C" w14:textId="77777777" w:rsidR="00EB171F" w:rsidRDefault="002E650E">
      <w:r>
        <w:t>If it is necessary to group two or more editions together (e.g., first and second editions) and refer to them as a unit with one siglum, another &lt;</w:t>
      </w:r>
      <w:r>
        <w:rPr>
          <w:rFonts w:ascii="Courier" w:hAnsi="Courier"/>
        </w:rPr>
        <w:t>listBibl</w:t>
      </w:r>
      <w:r>
        <w:t>&gt; should enclose the group:</w:t>
      </w:r>
    </w:p>
    <w:p w14:paraId="7A62D237" w14:textId="77777777" w:rsidR="00EB171F" w:rsidRDefault="002E650E">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r>
      <w:r>
        <w:lastRenderedPageBreak/>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pubPlace</w:t>
      </w:r>
      <w:r>
        <w:t>&gt;:</w:t>
      </w:r>
      <w:r>
        <w:br/>
        <w:t>  &lt;</w:t>
      </w:r>
      <w:r>
        <w:rPr>
          <w:b/>
        </w:rPr>
        <w:t>publisher</w:t>
      </w:r>
      <w:r>
        <w:t>&gt;apud Philippum Iunctam&lt;/</w:t>
      </w:r>
      <w:r>
        <w:rPr>
          <w:b/>
        </w:rPr>
        <w:t>publisher</w:t>
      </w:r>
      <w:r>
        <w:t>&gt;,</w:t>
      </w:r>
      <w:r>
        <w:br/>
        <w:t>  &lt;</w:t>
      </w:r>
      <w:r>
        <w:rPr>
          <w:b/>
        </w:rPr>
        <w:t>date</w:t>
      </w:r>
      <w:r>
        <w:t>&gt;1590&lt;/</w:t>
      </w:r>
      <w:r>
        <w:rPr>
          <w:b/>
        </w:rPr>
        <w:t>date</w:t>
      </w:r>
      <w:r>
        <w:t>&gt;.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&gt;in 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3C2780C4" w14:textId="77777777" w:rsidR="00EB171F" w:rsidRDefault="002E650E">
      <w:pPr>
        <w:pStyle w:val="Heading3"/>
      </w:pPr>
      <w:bookmarkStart w:id="23" w:name="bibliography-other"/>
      <w:r>
        <w:t>Other Sources</w:t>
      </w:r>
      <w:bookmarkEnd w:id="23"/>
    </w:p>
    <w:p w14:paraId="5283B18C" w14:textId="77777777" w:rsidR="00EB171F" w:rsidRDefault="002E650E">
      <w:r>
        <w:t>Bibliographical information for items other than editions should be gathered in a general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Pr>
          <w:i/>
        </w:rPr>
        <w:t>The Chicago Manual of Style</w:t>
      </w:r>
      <w:r>
        <w:fldChar w:fldCharType="end"/>
      </w:r>
      <w:r>
        <w:t>, and presented in alphabetical order.</w:t>
      </w:r>
    </w:p>
    <w:p w14:paraId="213F399A" w14:textId="77777777" w:rsidR="00EB171F" w:rsidRDefault="002E650E">
      <w:r>
        <w:t>The following sections provide instructions for encoding different types of resources commonly found in the bibliographies of critical editions.</w:t>
      </w:r>
    </w:p>
    <w:p w14:paraId="11919873" w14:textId="77777777" w:rsidR="00EB171F" w:rsidRDefault="002E650E">
      <w:pPr>
        <w:pStyle w:val="Heading4"/>
      </w:pPr>
      <w:bookmarkStart w:id="24" w:name="bibliography-other-books"/>
      <w:r>
        <w:t>Books</w:t>
      </w:r>
      <w:bookmarkEnd w:id="24"/>
    </w:p>
    <w:p w14:paraId="19921C8A" w14:textId="77777777" w:rsidR="00EB171F" w:rsidRDefault="002E650E">
      <w:r>
        <w:t>The following information about books, commentaries, monographs, collections of essays, etc., should be encoded:</w:t>
      </w:r>
    </w:p>
    <w:p w14:paraId="155DACC8" w14:textId="77777777" w:rsidR="00EB171F" w:rsidRDefault="002E650E">
      <w:pPr>
        <w:pStyle w:val="ListContinue"/>
        <w:numPr>
          <w:ilvl w:val="0"/>
          <w:numId w:val="2"/>
        </w:numPr>
      </w:pPr>
      <w:r>
        <w:lastRenderedPageBreak/>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45BA358B"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book is referred to in the apparatus criticus.</w:t>
      </w:r>
    </w:p>
    <w:p w14:paraId="13A4FAE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3B393400"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C8CA890"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B2B5781"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28C8DCBC"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CC8EF37"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038DDF6F" w14:textId="77777777" w:rsidR="00EB171F" w:rsidRDefault="002E650E">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74C15F9E" w14:textId="77777777" w:rsidR="00EB171F" w:rsidRDefault="002E650E">
      <w:r>
        <w:t xml:space="preserve">This will be rendered as follows: </w:t>
      </w:r>
      <w:r>
        <w:rPr>
          <w:b/>
        </w:rPr>
        <w:t>Haupt 1854</w:t>
      </w:r>
      <w:r>
        <w:t xml:space="preserve"> = Haupt, Moriz. </w:t>
      </w:r>
      <w:r>
        <w:rPr>
          <w:i/>
        </w:rPr>
        <w:t>De Carminibus Bucolicis Calpurnii et Nemesiani</w:t>
      </w:r>
      <w:r>
        <w:t xml:space="preserve">. Berolini: Typis Academics, 1854. URL: </w:t>
      </w:r>
      <w:hyperlink r:id="rId22" w:anchor="v=onepage&amp;q&amp;f=false">
        <w:r>
          <w:rPr>
            <w:rStyle w:val="Hyperlink"/>
          </w:rPr>
          <w:t>https://books.google.com/books?id=8SwUAAAAQAAJ&amp;pg=PP5#v=onepage&amp;q&amp;f=false</w:t>
        </w:r>
      </w:hyperlink>
      <w:r>
        <w:t>.</w:t>
      </w:r>
    </w:p>
    <w:p w14:paraId="397E1660" w14:textId="77777777" w:rsidR="00EB171F" w:rsidRDefault="002E650E">
      <w:pPr>
        <w:pStyle w:val="Heading4"/>
      </w:pPr>
      <w:bookmarkStart w:id="25" w:name="bibliography-other-articles"/>
      <w:r>
        <w:t>Articles</w:t>
      </w:r>
      <w:bookmarkEnd w:id="25"/>
    </w:p>
    <w:p w14:paraId="352D42F5" w14:textId="77777777" w:rsidR="00EB171F" w:rsidRDefault="002E650E">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14:paraId="246E81EE"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https://books.google.com/books?id=gbmMVZEcoGMC&amp;amp;pg=PA139#v=onepage&amp;amp;q&amp;amp;f=false.</w:t>
      </w:r>
      <w:r>
        <w:br/>
        <w:t>&lt;/</w:t>
      </w:r>
      <w:r>
        <w:rPr>
          <w:b/>
        </w:rPr>
        <w:t>bibl</w:t>
      </w:r>
      <w:r>
        <w:t>&gt;</w:t>
      </w:r>
    </w:p>
    <w:p w14:paraId="3E7B4188" w14:textId="77777777" w:rsidR="00EB171F" w:rsidRDefault="002E650E">
      <w:r>
        <w:lastRenderedPageBreak/>
        <w:t>It is strongly recommended to encode more details:</w:t>
      </w:r>
    </w:p>
    <w:p w14:paraId="198DCF7B"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705D69B0"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article is referred to in the apparatus criticus.</w:t>
      </w:r>
    </w:p>
    <w:p w14:paraId="4AAC742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w:t>
      </w:r>
    </w:p>
    <w:p w14:paraId="54F0051B" w14:textId="77777777" w:rsidR="00EB171F" w:rsidRDefault="002E650E">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&lt;title&gt;“Article Title”&lt;/title&gt;).</w:t>
      </w:r>
    </w:p>
    <w:p w14:paraId="1700C4F6" w14:textId="77777777" w:rsidR="00EB171F" w:rsidRDefault="002E650E">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1390D747" w14:textId="77777777" w:rsidR="00EB171F" w:rsidRDefault="002E650E">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369F8454" w14:textId="77777777" w:rsidR="00EB171F" w:rsidRDefault="002E650E">
      <w:pPr>
        <w:pStyle w:val="ListContinue3"/>
        <w:numPr>
          <w:ilvl w:val="2"/>
          <w:numId w:val="2"/>
        </w:numPr>
      </w:pPr>
      <w:r>
        <w:rPr>
          <w:i/>
        </w:rPr>
        <w:t>@unit</w:t>
      </w:r>
      <w:r>
        <w:t>="volume" contains the volume number of the journal in which the article has been published.</w:t>
      </w:r>
    </w:p>
    <w:p w14:paraId="20A45393" w14:textId="77777777" w:rsidR="00EB171F" w:rsidRDefault="002E650E">
      <w:pPr>
        <w:pStyle w:val="ListContinue3"/>
        <w:numPr>
          <w:ilvl w:val="2"/>
          <w:numId w:val="2"/>
        </w:numPr>
      </w:pPr>
      <w:r>
        <w:rPr>
          <w:i/>
        </w:rPr>
        <w:t>@unit</w:t>
      </w:r>
      <w:r>
        <w:t>="page" contains the inclusive pages where the article may be found.</w:t>
      </w:r>
    </w:p>
    <w:p w14:paraId="5B26E5B3" w14:textId="77777777" w:rsidR="00EB171F" w:rsidRDefault="002E650E">
      <w:pPr>
        <w:pStyle w:val="ListContinue2"/>
        <w:numPr>
          <w:ilvl w:val="1"/>
          <w:numId w:val="2"/>
        </w:numPr>
      </w:pPr>
      <w:r>
        <w:t>&lt;</w:t>
      </w:r>
      <w:r>
        <w:rPr>
          <w:rFonts w:ascii="Courier" w:hAnsi="Courier"/>
        </w:rPr>
        <w:t>date</w:t>
      </w:r>
      <w:r>
        <w:t>&gt; contains the year of publication.</w:t>
      </w:r>
    </w:p>
    <w:p w14:paraId="7E46DFD0" w14:textId="77777777" w:rsidR="00EB171F" w:rsidRDefault="002E650E">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00051BF6"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5F0E6756" w14:textId="77777777" w:rsidR="00EB171F" w:rsidRDefault="002E650E">
      <w:pPr>
        <w:pStyle w:val="Heading5"/>
      </w:pPr>
      <w:bookmarkStart w:id="26" w:name="bibliography-other-articles-reviews"/>
      <w:r>
        <w:t>Reviews</w:t>
      </w:r>
      <w:bookmarkEnd w:id="26"/>
    </w:p>
    <w:p w14:paraId="469F2636" w14:textId="77777777" w:rsidR="00EB171F" w:rsidRDefault="002E650E">
      <w:r>
        <w:t>A review of an edition or other work should be handled in the same way as a journal article, with the exception that the title should begin with the words “Review of” followed by the title of the work being reviewed.</w:t>
      </w:r>
    </w:p>
    <w:p w14:paraId="6289B065" w14:textId="77777777" w:rsidR="00EB171F" w:rsidRDefault="002E650E">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5740F72B" w14:textId="77777777" w:rsidR="00EB171F" w:rsidRDefault="002E650E">
      <w:pPr>
        <w:pStyle w:val="Heading3"/>
      </w:pPr>
      <w:bookmarkStart w:id="27" w:name="bibliography-list-of-scholars"/>
      <w:r>
        <w:lastRenderedPageBreak/>
        <w:t>List of Scholars</w:t>
      </w:r>
      <w:bookmarkEnd w:id="27"/>
    </w:p>
    <w:p w14:paraId="72571CB6" w14:textId="77777777" w:rsidR="00EB171F" w:rsidRDefault="002E650E">
      <w:r>
        <w:t>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14:paraId="12F56822" w14:textId="77777777" w:rsidR="00EB171F" w:rsidRDefault="002E650E">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6BA8971F" w14:textId="77777777" w:rsidR="00EB171F" w:rsidRDefault="002E650E">
      <w:pPr>
        <w:pStyle w:val="ListContinue"/>
        <w:numPr>
          <w:ilvl w:val="0"/>
          <w:numId w:val="2"/>
        </w:numPr>
      </w:pPr>
      <w:r>
        <w:t>&lt;</w:t>
      </w:r>
      <w:r>
        <w:rPr>
          <w:rFonts w:ascii="Courier" w:hAnsi="Courier"/>
        </w:rPr>
        <w:t>person</w:t>
      </w:r>
      <w:r>
        <w:t xml:space="preserve">&gt; groups information about an individual. It has a machine-readable siglum in </w:t>
      </w:r>
      <w:r>
        <w:rPr>
          <w:i/>
        </w:rPr>
        <w:t>@xml:id</w:t>
      </w:r>
      <w:r>
        <w:t xml:space="preserve">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3DBA77FF" w14:textId="77777777" w:rsidR="00EB171F" w:rsidRDefault="002E650E">
      <w:pPr>
        <w:pStyle w:val="ListContinue"/>
        <w:numPr>
          <w:ilvl w:val="0"/>
          <w:numId w:val="2"/>
        </w:numPr>
      </w:pPr>
      <w:r>
        <w:t>&lt;</w:t>
      </w:r>
      <w:r>
        <w:rPr>
          <w:rFonts w:ascii="Courier" w:hAnsi="Courier"/>
        </w:rPr>
        <w:t>persName</w:t>
      </w:r>
      <w:r>
        <w:t xml:space="preserve">&gt; (personal name) groups the information about an individuals’s name. For identification purposes, it is helpful, but not required, to use </w:t>
      </w:r>
      <w:r>
        <w:rPr>
          <w:i/>
        </w:rPr>
        <w:t>@ref</w:t>
      </w:r>
      <w:r>
        <w:t xml:space="preserve"> with the </w:t>
      </w:r>
      <w:hyperlink r:id="rId23">
        <w:r>
          <w:rPr>
            <w:rStyle w:val="Hyperlink"/>
          </w:rPr>
          <w:t>Virtual International Authorify File (VIAF)</w:t>
        </w:r>
      </w:hyperlink>
      <w:r>
        <w:t xml:space="preserve"> permalink for that person. The following information is contained by &lt;</w:t>
      </w:r>
      <w:r>
        <w:rPr>
          <w:rFonts w:ascii="Courier" w:hAnsi="Courier"/>
        </w:rPr>
        <w:t>persName</w:t>
      </w:r>
      <w:r>
        <w:t>&gt;</w:t>
      </w:r>
    </w:p>
    <w:p w14:paraId="359A55AB" w14:textId="77777777" w:rsidR="00EB171F" w:rsidRDefault="002E650E">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7CD54767" w14:textId="77777777" w:rsidR="00EB171F" w:rsidRDefault="002E650E">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 be used for the first and middle names.</w:t>
      </w:r>
    </w:p>
    <w:p w14:paraId="1D2122CC" w14:textId="77777777" w:rsidR="00EB171F" w:rsidRDefault="002E650E">
      <w:pPr>
        <w:pStyle w:val="ListContinue2"/>
        <w:numPr>
          <w:ilvl w:val="1"/>
          <w:numId w:val="2"/>
        </w:numPr>
      </w:pPr>
      <w:r>
        <w:t>&lt;</w:t>
      </w:r>
      <w:r>
        <w:rPr>
          <w:rFonts w:ascii="Courier" w:hAnsi="Courier"/>
        </w:rPr>
        <w:t>surname</w:t>
      </w:r>
      <w:r>
        <w:t>&gt; contains the scholar’s last name.</w:t>
      </w:r>
    </w:p>
    <w:p w14:paraId="1B40A0A3" w14:textId="77777777" w:rsidR="00EB171F" w:rsidRDefault="002E650E">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that name should be inserted in &lt;</w:t>
      </w:r>
      <w:r>
        <w:rPr>
          <w:rFonts w:ascii="Courier" w:hAnsi="Courier"/>
        </w:rPr>
        <w:t>addname</w:t>
      </w:r>
      <w:r>
        <w:t>&gt;.</w:t>
      </w:r>
    </w:p>
    <w:p w14:paraId="195F4D5B" w14:textId="77777777" w:rsidR="00EB171F" w:rsidRDefault="002E650E">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 xml:space="preserve">&gt; (reference) containing a reference to the entry in the bibliography that has citations of the scholar. </w:t>
      </w:r>
      <w:r>
        <w:rPr>
          <w:i/>
        </w:rPr>
        <w:t>@target</w:t>
      </w:r>
      <w:r>
        <w:t xml:space="preserve"> with the xml:id of that entry will point the reader to that entry.</w:t>
      </w:r>
    </w:p>
    <w:p w14:paraId="7827621D" w14:textId="77777777" w:rsidR="00EB171F" w:rsidRDefault="002E650E">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19EBEC5F" w14:textId="77777777" w:rsidR="00EB171F" w:rsidRDefault="002E650E">
      <w:r>
        <w:t>References such as this will be rendered in digital media and in print as follows:</w:t>
      </w:r>
    </w:p>
    <w:p w14:paraId="0AD7B97A" w14:textId="77777777" w:rsidR="00EB171F" w:rsidRDefault="002E650E">
      <w:r>
        <w:t>Scholars Cited in this Edition</w:t>
      </w:r>
    </w:p>
    <w:p w14:paraId="10F3434E" w14:textId="77777777" w:rsidR="00EB171F" w:rsidRDefault="002E650E">
      <w:pPr>
        <w:pStyle w:val="ListContinue"/>
        <w:numPr>
          <w:ilvl w:val="0"/>
          <w:numId w:val="2"/>
        </w:numPr>
      </w:pPr>
      <w:r>
        <w:rPr>
          <w:b/>
        </w:rPr>
        <w:t>Heins.</w:t>
      </w:r>
      <w:r>
        <w:t xml:space="preserve"> = Nicolaus Heinsius. Cited in </w:t>
      </w:r>
      <w:r>
        <w:fldChar w:fldCharType="begin"/>
      </w:r>
      <w:r>
        <w:instrText>REF Burm1731 \n \h</w:instrText>
      </w:r>
      <w:r>
        <w:fldChar w:fldCharType="separate"/>
      </w:r>
      <w:r>
        <w:t>Burman 1731</w:t>
      </w:r>
      <w:r>
        <w:fldChar w:fldCharType="end"/>
      </w:r>
      <w:r>
        <w:t>.</w:t>
      </w:r>
    </w:p>
    <w:p w14:paraId="5F69D3D6" w14:textId="77777777" w:rsidR="00EB171F" w:rsidRDefault="002E650E">
      <w:pPr>
        <w:pStyle w:val="Heading1"/>
      </w:pPr>
      <w:bookmarkStart w:id="28" w:name="edition-text"/>
      <w:r>
        <w:lastRenderedPageBreak/>
        <w:t>Edition Text</w:t>
      </w:r>
      <w:bookmarkEnd w:id="28"/>
    </w:p>
    <w:p w14:paraId="79F0A409" w14:textId="77777777" w:rsidR="00EB171F" w:rsidRDefault="002E650E">
      <w:r>
        <w:t>The edition text corresponds to the text printed “above the line” of the critical apparatus in a traditional edition. It is composed of lemmata, that is, text judged by the editor to be authentic, accurate, and/or authoritative.</w:t>
      </w:r>
    </w:p>
    <w:p w14:paraId="1FD1F1AC" w14:textId="77777777" w:rsidR="00EB171F" w:rsidRDefault="002E650E">
      <w:r>
        <w:t>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14:paraId="54310576" w14:textId="77777777" w:rsidR="00EB171F" w:rsidRDefault="002E650E">
      <w:bookmarkStart w:id="29" w:name="initial-state"/>
      <w:r>
        <w:t>“Initial state” is an important phrase. Since the digital version of an LDLT allows readers to swap readings from the critical apparatus into the main text, it is possible to encounter many versions of the text in one viewing of it, but the official edition text in its default initial state (i.e., what is displayed when the edition is opened for the first time, with default settings) is the starting point for those interactions.</w:t>
      </w:r>
      <w:bookmarkEnd w:id="29"/>
    </w:p>
    <w:p w14:paraId="77AB5F9F" w14:textId="77777777" w:rsidR="00EB171F" w:rsidRDefault="002E650E">
      <w:r>
        <w:t>This section establishes guidelines for encoding the information typically found in the edition text.</w:t>
      </w:r>
    </w:p>
    <w:p w14:paraId="04805C37" w14:textId="77777777" w:rsidR="00EB171F" w:rsidRDefault="002E650E">
      <w:pPr>
        <w:pStyle w:val="Heading2"/>
      </w:pPr>
      <w:bookmarkStart w:id="30" w:name="edition-text-prose"/>
      <w:r>
        <w:t>Prose</w:t>
      </w:r>
      <w:bookmarkEnd w:id="30"/>
    </w:p>
    <w:p w14:paraId="4B5E4A6D" w14:textId="77777777" w:rsidR="00EB171F" w:rsidRDefault="002E650E">
      <w:r>
        <w:t>The aim of this section is to provide guidance for marking up the structure of prose texts, using the generic model of book, chapter, and paragraph for the main components of a work. Individual texts may have different structures, so editors should consult with LDLT staff about the best way to encode the structure.</w:t>
      </w:r>
    </w:p>
    <w:p w14:paraId="7B5A0405" w14:textId="77777777" w:rsidR="00EB171F" w:rsidRDefault="002E650E">
      <w:r>
        <w:t>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search and browse functionality will not be supported.</w:t>
      </w:r>
    </w:p>
    <w:p w14:paraId="47593E82" w14:textId="77777777" w:rsidR="00EB171F" w:rsidRDefault="002E650E">
      <w:pPr>
        <w:pStyle w:val="Heading3"/>
      </w:pPr>
      <w:bookmarkStart w:id="31" w:name="edition-text-prose-structure"/>
      <w:r>
        <w:t>Prose: Structure of the Work</w:t>
      </w:r>
      <w:bookmarkEnd w:id="31"/>
    </w:p>
    <w:p w14:paraId="45BFE375" w14:textId="77777777" w:rsidR="00EB171F" w:rsidRDefault="002E650E">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w:t>
      </w:r>
    </w:p>
    <w:p w14:paraId="6D85DE5C"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r>
      <w:r>
        <w:lastRenderedPageBreak/>
        <w:t> &lt;/</w:t>
      </w:r>
      <w:r>
        <w:rPr>
          <w:b/>
        </w:rPr>
        <w:t>div</w:t>
      </w:r>
      <w:r>
        <w:t>&gt;</w:t>
      </w:r>
      <w:r>
        <w:br/>
        <w:t>&lt;/</w:t>
      </w:r>
      <w:r>
        <w:rPr>
          <w:b/>
        </w:rPr>
        <w:t>div</w:t>
      </w:r>
      <w:r>
        <w:t>&gt;</w:t>
      </w:r>
    </w:p>
    <w:p w14:paraId="43B06DFA" w14:textId="77777777" w:rsidR="00EB171F" w:rsidRDefault="002E650E">
      <w:r>
        <w:t>If a different division scheme is required, editors should consult LDLT staff.</w:t>
      </w:r>
    </w:p>
    <w:p w14:paraId="6277E1B7" w14:textId="77777777" w:rsidR="00EB171F" w:rsidRDefault="002E650E">
      <w:pPr>
        <w:pStyle w:val="Heading3"/>
      </w:pPr>
      <w:bookmarkStart w:id="32" w:name="edition-text-prose-paragraphs"/>
      <w:r>
        <w:t>Prose: Structure of Paragraphs</w:t>
      </w:r>
      <w:bookmarkEnd w:id="32"/>
    </w:p>
    <w:p w14:paraId="2C1B17C7" w14:textId="77777777" w:rsidR="00EB171F" w:rsidRDefault="002E650E">
      <w:r>
        <w:t>The individual sections of a prose work should be encoded as follows:</w:t>
      </w:r>
    </w:p>
    <w:p w14:paraId="266BEF28" w14:textId="77777777" w:rsidR="00EB171F" w:rsidRDefault="002E650E">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15C29E69" w14:textId="77777777" w:rsidR="00EB171F" w:rsidRDefault="002E650E">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 be used to reflect the numbering scheme of the edition. Note that the TEI Guidelines define the paragraph as ‘the fundamental organizational unit for all prose texts’. The unique characteristics of some texts may require a different approach. In those cases, editors should work with LDLT staff to identify the best way to encode the text in question.</w:t>
      </w:r>
    </w:p>
    <w:p w14:paraId="6643E38E" w14:textId="77777777" w:rsidR="00EB171F" w:rsidRDefault="002E650E">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scheme of the edition.</w:t>
      </w:r>
    </w:p>
    <w:p w14:paraId="557DAE61"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fortissimi sunt Belgae, propterea</w:t>
      </w:r>
      <w:r>
        <w:br/>
        <w:t>       quod a cultu atque humanitate provinciae longissime</w:t>
      </w:r>
      <w:r>
        <w:br/>
        <w:t>       absunt, minimeque ad eos mercatores saepe commeant atque</w:t>
      </w:r>
      <w:r>
        <w:br/>
        <w:t>       ea quae ad effeminandos animos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51979960" w14:textId="77777777" w:rsidR="00EB171F" w:rsidRDefault="002E650E">
      <w:r>
        <w:lastRenderedPageBreak/>
        <w:t>That text will be rendered as follows:</w:t>
      </w:r>
    </w:p>
    <w:p w14:paraId="3FE3E56C" w14:textId="77777777" w:rsidR="00EB171F" w:rsidRDefault="002E650E">
      <w:r>
        <w:t>Liber I</w:t>
      </w:r>
    </w:p>
    <w:p w14:paraId="24E52924" w14:textId="77777777" w:rsidR="00EB171F" w:rsidRDefault="002E650E">
      <w:r>
        <w:rPr>
          <w:b/>
        </w:rPr>
        <w:t>1</w:t>
      </w:r>
      <w:r>
        <w:rPr>
          <w:vertAlign w:val="superscript"/>
        </w:rPr>
        <w:t>1</w:t>
      </w:r>
      <w:r>
        <w:t xml:space="preserve">Gallia est omnis divisa in partes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 xml:space="preserve">Eorum una, pars, quam Gallos obtinere dictum est, initium capit a flumine Rhodano, continetur Garumna flumine, Oceano, finibus Belgarum, attingit etiam ab Sequanis et Helvetiis flumen Rhenum, vergit ad septentriones. </w:t>
      </w:r>
      <w:r>
        <w:rPr>
          <w:vertAlign w:val="superscript"/>
        </w:rPr>
        <w:t>6</w:t>
      </w:r>
      <w:r>
        <w:t xml:space="preserve">Belgae ab extremis Galliae finibus oriuntur, pertinent ad inferiorem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066819CE" w14:textId="77777777" w:rsidR="00EB171F" w:rsidRDefault="002E650E">
      <w:pPr>
        <w:pStyle w:val="Heading2"/>
      </w:pPr>
      <w:bookmarkStart w:id="33" w:name="edition-text-verse"/>
      <w:r>
        <w:t>Verse</w:t>
      </w:r>
      <w:bookmarkEnd w:id="33"/>
    </w:p>
    <w:p w14:paraId="62B2B180" w14:textId="77777777" w:rsidR="00EB171F" w:rsidRDefault="002E650E">
      <w:r>
        <w:t xml:space="preserve">The </w:t>
      </w:r>
      <w:hyperlink r:id="rId24">
        <w:r>
          <w:rPr>
            <w:rStyle w:val="Hyperlink"/>
          </w:rPr>
          <w:t>verse module</w:t>
        </w:r>
      </w:hyperlink>
      <w:r>
        <w:t xml:space="preserve"> of the TEI Guidelines offers many possibilities for marking up various aspects of prosody, but the LDLT is primarily concerned with the </w:t>
      </w:r>
      <w:hyperlink r:id="rId25"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 here.</w:t>
      </w:r>
    </w:p>
    <w:p w14:paraId="7C506825" w14:textId="77777777" w:rsidR="00EB171F" w:rsidRDefault="002E650E">
      <w:pPr>
        <w:pStyle w:val="Heading3"/>
      </w:pPr>
      <w:bookmarkStart w:id="34" w:name="edition-text-verse-structure"/>
      <w:r>
        <w:t>Verse: Structure of the Collection</w:t>
      </w:r>
      <w:bookmarkEnd w:id="34"/>
    </w:p>
    <w:p w14:paraId="33B83BD1" w14:textId="77777777" w:rsidR="00EB171F" w:rsidRDefault="002E650E">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different division scheme is required, editors should consult LDLT staff.</w:t>
      </w:r>
    </w:p>
    <w:p w14:paraId="3DDB9BD0" w14:textId="77777777" w:rsidR="00EB171F" w:rsidRDefault="002E650E">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Text of poem goes here --&gt;</w:t>
      </w:r>
      <w:r>
        <w:br/>
        <w:t>  &lt;/</w:t>
      </w:r>
      <w:r>
        <w:rPr>
          <w:b/>
        </w:rPr>
        <w:t>div</w:t>
      </w:r>
      <w:r>
        <w:t>&gt;</w:t>
      </w:r>
      <w:r>
        <w:br/>
        <w:t> &lt;/</w:t>
      </w:r>
      <w:r>
        <w:rPr>
          <w:b/>
        </w:rPr>
        <w:t>div</w:t>
      </w:r>
      <w:r>
        <w:t>&gt;</w:t>
      </w:r>
      <w:r>
        <w:br/>
        <w:t>&lt;/</w:t>
      </w:r>
      <w:r>
        <w:rPr>
          <w:b/>
        </w:rPr>
        <w:t>div</w:t>
      </w:r>
      <w:r>
        <w:t>&gt;</w:t>
      </w:r>
    </w:p>
    <w:p w14:paraId="2CF56111" w14:textId="77777777" w:rsidR="00EB171F" w:rsidRDefault="002E650E">
      <w:pPr>
        <w:pStyle w:val="Heading3"/>
      </w:pPr>
      <w:bookmarkStart w:id="35" w:name="edition-text-verse-lines"/>
      <w:r>
        <w:lastRenderedPageBreak/>
        <w:t>Verse: Structure of a Poem</w:t>
      </w:r>
      <w:bookmarkEnd w:id="35"/>
    </w:p>
    <w:p w14:paraId="5C998F3B" w14:textId="77777777" w:rsidR="00EB171F" w:rsidRDefault="002E650E">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0A18C445" w14:textId="77777777" w:rsidR="00EB171F" w:rsidRDefault="002E650E">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number of the line.</w:t>
      </w:r>
    </w:p>
    <w:p w14:paraId="732E4BE0" w14:textId="77777777" w:rsidR="00EB171F" w:rsidRDefault="002E650E">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5221D526" w14:textId="77777777" w:rsidR="00EB171F" w:rsidRDefault="002E650E">
      <w:pPr>
        <w:pStyle w:val="Heading2"/>
      </w:pPr>
      <w:bookmarkStart w:id="36" w:name="edition-text-foreign-languages"/>
      <w:r>
        <w:t>Text in Languages Other than Latin</w:t>
      </w:r>
      <w:bookmarkEnd w:id="36"/>
    </w:p>
    <w:p w14:paraId="76FAE78C" w14:textId="77777777" w:rsidR="00EB171F" w:rsidRDefault="002E650E">
      <w:r>
        <w:t>If text in languages other than Latin is encoded, language becomes available as a criterion for searching and filtering.</w:t>
      </w:r>
    </w:p>
    <w:p w14:paraId="1291D069" w14:textId="77777777" w:rsidR="00EB171F" w:rsidRDefault="002E650E">
      <w:pPr>
        <w:pStyle w:val="ListContinue"/>
        <w:numPr>
          <w:ilvl w:val="0"/>
          <w:numId w:val="2"/>
        </w:numPr>
      </w:pPr>
      <w:r>
        <w:t>&lt;</w:t>
      </w:r>
      <w:r>
        <w:rPr>
          <w:rFonts w:ascii="Courier" w:hAnsi="Courier"/>
        </w:rPr>
        <w:t>foreign</w:t>
      </w:r>
      <w:r>
        <w:t>&gt; contains text in any language other than Latin.</w:t>
      </w:r>
    </w:p>
    <w:p w14:paraId="7EF50B01" w14:textId="77777777" w:rsidR="00EB171F" w:rsidRDefault="002E650E">
      <w:pPr>
        <w:pStyle w:val="ListContinue"/>
        <w:numPr>
          <w:ilvl w:val="0"/>
          <w:numId w:val="2"/>
        </w:numPr>
      </w:pPr>
      <w:r>
        <w:rPr>
          <w:i/>
        </w:rPr>
        <w:t>@xml:lang</w:t>
      </w:r>
      <w:r>
        <w:t xml:space="preserve"> identifies the language by </w:t>
      </w:r>
      <w:hyperlink r:id="rId26">
        <w:r>
          <w:rPr>
            <w:rStyle w:val="Hyperlink"/>
          </w:rPr>
          <w:t>ISO 639-2 code</w:t>
        </w:r>
      </w:hyperlink>
      <w:r>
        <w:t>.</w:t>
      </w:r>
    </w:p>
    <w:p w14:paraId="19B434C7" w14:textId="77777777" w:rsidR="00EB171F" w:rsidRDefault="002E650E">
      <w:r>
        <w:t>For example, authors of Latin texts often use Greek words and phrases, as Macrobius does at Saturnalia 1.17.64: ‘Ἀπόλλωνα Διδυμαῖον vocant, quod geminam speciem sui niminis praefert ipse inluminando formandoque lunam’. That should be encoded as follows:</w:t>
      </w:r>
    </w:p>
    <w:p w14:paraId="3159833F" w14:textId="77777777" w:rsidR="00EB171F" w:rsidRDefault="002E650E">
      <w:pPr>
        <w:pStyle w:val="Special"/>
      </w:pPr>
      <w:r>
        <w:t>&lt;</w:t>
      </w:r>
      <w:r>
        <w:rPr>
          <w:b/>
        </w:rPr>
        <w:t>p</w:t>
      </w:r>
      <w:r>
        <w:t>&gt;</w:t>
      </w:r>
      <w:r>
        <w:br/>
        <w:t> &lt;</w:t>
      </w:r>
      <w:r>
        <w:rPr>
          <w:b/>
        </w:rPr>
        <w:t>foreign</w:t>
      </w:r>
      <w:r>
        <w:t> </w:t>
      </w:r>
      <w:r>
        <w:rPr>
          <w:b/>
        </w:rPr>
        <w:t>xml:lang</w:t>
      </w:r>
      <w:r>
        <w:t>="grc"&gt;Ἀπόλλωνα Διδυμαῖον&lt;/</w:t>
      </w:r>
      <w:r>
        <w:rPr>
          <w:b/>
        </w:rPr>
        <w:t>foreign</w:t>
      </w:r>
      <w:r>
        <w:t>&gt; vocant, quod geminam</w:t>
      </w:r>
      <w:r>
        <w:br/>
        <w:t xml:space="preserve"> speciem sui numinis praefert ipse inluminando formandoque lunam.</w:t>
      </w:r>
      <w:r>
        <w:br/>
        <w:t>&lt;/</w:t>
      </w:r>
      <w:r>
        <w:rPr>
          <w:b/>
        </w:rPr>
        <w:t>p</w:t>
      </w:r>
      <w:r>
        <w:t>&gt;</w:t>
      </w:r>
    </w:p>
    <w:p w14:paraId="520CD044" w14:textId="77777777" w:rsidR="00EB171F" w:rsidRDefault="002E650E">
      <w:pPr>
        <w:pStyle w:val="Heading2"/>
      </w:pPr>
      <w:bookmarkStart w:id="37" w:name="edition-text-speech"/>
      <w:r>
        <w:t>Speech</w:t>
      </w:r>
      <w:bookmarkEnd w:id="37"/>
    </w:p>
    <w:p w14:paraId="509EAC60" w14:textId="77777777" w:rsidR="00EB171F" w:rsidRDefault="002E650E">
      <w:r>
        <w:t>This section discusses how to encode the following kinds of speech:</w:t>
      </w:r>
    </w:p>
    <w:p w14:paraId="7247B963" w14:textId="77777777" w:rsidR="00EB171F" w:rsidRDefault="002E650E">
      <w:pPr>
        <w:pStyle w:val="ListContinue"/>
        <w:numPr>
          <w:ilvl w:val="0"/>
          <w:numId w:val="2"/>
        </w:numPr>
      </w:pPr>
      <w:r>
        <w:t>direct speech</w:t>
      </w:r>
    </w:p>
    <w:p w14:paraId="449FF4FD" w14:textId="77777777" w:rsidR="00EB171F" w:rsidRDefault="002E650E">
      <w:pPr>
        <w:pStyle w:val="ListContinue"/>
        <w:numPr>
          <w:ilvl w:val="0"/>
          <w:numId w:val="2"/>
        </w:numPr>
      </w:pPr>
      <w:r>
        <w:t>dialogue in a play or other setting</w:t>
      </w:r>
    </w:p>
    <w:p w14:paraId="478668A6" w14:textId="77777777" w:rsidR="00EB171F" w:rsidRDefault="002E650E">
      <w:pPr>
        <w:pStyle w:val="Heading3"/>
      </w:pPr>
      <w:bookmarkStart w:id="38" w:name="edition-text-speech-direct-speech"/>
      <w:r>
        <w:t>Direct Speech</w:t>
      </w:r>
      <w:bookmarkEnd w:id="38"/>
    </w:p>
    <w:p w14:paraId="0A6980E0" w14:textId="77777777" w:rsidR="00EB171F" w:rsidRDefault="002E650E">
      <w:r>
        <w:t>Quotation of direct speech may be handled in two ways: with punctuation alone or with semantic markup.</w:t>
      </w:r>
    </w:p>
    <w:p w14:paraId="0C81B951" w14:textId="77777777" w:rsidR="00EB171F" w:rsidRDefault="002E650E">
      <w:r>
        <w:t xml:space="preserve">If an editor wishes to use standard punctuation to represent direct 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14:paraId="67AF04C8" w14:textId="77777777" w:rsidR="00EB171F" w:rsidRDefault="002E650E">
      <w:r>
        <w:lastRenderedPageBreak/>
        <w:t>The following rules apply to the semantic markup of direct speech:</w:t>
      </w:r>
    </w:p>
    <w:p w14:paraId="40575AE0" w14:textId="77777777" w:rsidR="00EB171F" w:rsidRDefault="002E650E">
      <w:r>
        <w:t>&lt;</w:t>
      </w:r>
      <w:r>
        <w:rPr>
          <w:rFonts w:ascii="Courier" w:hAnsi="Courier"/>
        </w:rPr>
        <w:t>said</w:t>
      </w:r>
      <w:r>
        <w:t>&gt; (speech) contains text spoken by real people or fictional characters.</w:t>
      </w:r>
    </w:p>
    <w:p w14:paraId="724624A1" w14:textId="77777777" w:rsidR="00EB171F" w:rsidRDefault="002E650E">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People</w:t>
      </w:r>
      <w:r>
        <w:fldChar w:fldCharType="end"/>
      </w:r>
      <w:r>
        <w:t>.”</w:t>
      </w:r>
    </w:p>
    <w:p w14:paraId="07F82BDA" w14:textId="77777777" w:rsidR="00EB171F" w:rsidRDefault="002E650E">
      <w:r>
        <w:t>For example, Julius Caesar’s famous words before crossing the Rubicon, as reported by Suetonius, should be encoded as follows:</w:t>
      </w:r>
    </w:p>
    <w:p w14:paraId="56B70B4F" w14:textId="77777777" w:rsidR="00EB171F" w:rsidRDefault="002E650E">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iacta alea esto.&lt;/</w:t>
      </w:r>
      <w:r>
        <w:rPr>
          <w:b/>
        </w:rPr>
        <w:t>said</w:t>
      </w:r>
      <w:r>
        <w:t>&gt;</w:t>
      </w:r>
      <w:r>
        <w:br/>
        <w:t>&lt;/</w:t>
      </w:r>
      <w:r>
        <w:rPr>
          <w:b/>
        </w:rPr>
        <w:t>p</w:t>
      </w:r>
      <w:r>
        <w:t>&gt;</w:t>
      </w:r>
    </w:p>
    <w:p w14:paraId="4739A99E" w14:textId="77777777" w:rsidR="00EB171F" w:rsidRDefault="002E650E">
      <w:r>
        <w:t>&lt;</w:t>
      </w:r>
      <w:r>
        <w:rPr>
          <w:rFonts w:ascii="Courier" w:hAnsi="Courier"/>
        </w:rPr>
        <w:t>said</w:t>
      </w:r>
      <w:r>
        <w:t>&gt; may be nested inside &lt;</w:t>
      </w:r>
      <w:r>
        <w:rPr>
          <w:rFonts w:ascii="Courier" w:hAnsi="Courier"/>
        </w:rPr>
        <w:t>said</w:t>
      </w:r>
      <w:r>
        <w:t>&gt; to indicate quotation within a quotation.</w:t>
      </w:r>
    </w:p>
    <w:p w14:paraId="0A2CFD06" w14:textId="77777777" w:rsidR="00EB171F" w:rsidRDefault="002E650E">
      <w:pPr>
        <w:pStyle w:val="Heading3"/>
      </w:pPr>
      <w:bookmarkStart w:id="39" w:name="edition-text-speech-dialogue"/>
      <w:r>
        <w:t>Dialogue</w:t>
      </w:r>
      <w:bookmarkEnd w:id="39"/>
    </w:p>
    <w:p w14:paraId="7AF394DC" w14:textId="77777777" w:rsidR="00EB171F" w:rsidRDefault="002E650E">
      <w: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"C" is not part of the text of the first line. Otherwise, the line would not scan properly as dactylic hexameter.</w:t>
      </w:r>
    </w:p>
    <w:p w14:paraId="6DA2B946" w14:textId="77777777" w:rsidR="00EB171F" w:rsidRDefault="002E650E">
      <w:r>
        <w:t>Texts that feature interlocutors (e.g., drama, dialogue) should use one of the following methods to indicate a change in speaker.</w:t>
      </w:r>
    </w:p>
    <w:p w14:paraId="16AAAE4A" w14:textId="77777777" w:rsidR="00EB171F" w:rsidRDefault="002E650E">
      <w:pPr>
        <w:pStyle w:val="Heading4"/>
      </w:pPr>
      <w:bookmarkStart w:id="40" w:name="edition-text-speech-dialogue-label"/>
      <w:r>
        <w:t>Labels</w:t>
      </w:r>
      <w:bookmarkEnd w:id="40"/>
    </w:p>
    <w:p w14:paraId="2CED0A1A" w14:textId="77777777" w:rsidR="00EB171F" w:rsidRDefault="002E650E">
      <w:r>
        <w:t>Labels are the simplest way of indicating a change of speakers, since they do not add a new layer of hierachy to the markup.</w:t>
      </w:r>
    </w:p>
    <w:p w14:paraId="1CA94A49" w14:textId="77777777" w:rsidR="00EB171F" w:rsidRDefault="002E650E">
      <w:r>
        <w:t>&lt;</w:t>
      </w:r>
      <w:r>
        <w:rPr>
          <w:rFonts w:ascii="Courier" w:hAnsi="Courier"/>
        </w:rPr>
        <w:t>label</w:t>
      </w:r>
      <w:r>
        <w:t xml:space="preserve">&gt; with </w:t>
      </w:r>
      <w:r>
        <w:rPr>
          <w:i/>
        </w:rPr>
        <w:t>@type</w:t>
      </w:r>
      <w:r>
        <w:t>="speaker" may be used as a simple way of indicating a change of speaker in verse and prose texts.</w:t>
      </w:r>
    </w:p>
    <w:p w14:paraId="259386E5" w14:textId="77777777" w:rsidR="00EB171F" w:rsidRDefault="002E650E">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27AAD7C2" w14:textId="77777777" w:rsidR="00EB171F" w:rsidRDefault="002E650E">
      <w:pPr>
        <w:pStyle w:val="Special"/>
      </w:pPr>
      <w:r>
        <w:lastRenderedPageBreak/>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6023FBC6" w14:textId="77777777" w:rsidR="00EB171F" w:rsidRDefault="002E650E">
      <w:r>
        <w:t>Since &lt;</w:t>
      </w:r>
      <w:r>
        <w:rPr>
          <w:rFonts w:ascii="Courier" w:hAnsi="Courier"/>
        </w:rPr>
        <w:t>label</w:t>
      </w:r>
      <w:r>
        <w:t>&gt; is treated as metadata and thus ignored as part of the actual text, it will be omitted from searches of the text itself.</w:t>
      </w:r>
    </w:p>
    <w:p w14:paraId="5F7ED403" w14:textId="77777777" w:rsidR="00EB171F" w:rsidRDefault="002E650E">
      <w:r>
        <w:t>Because &lt;</w:t>
      </w:r>
      <w:r>
        <w:rPr>
          <w:rFonts w:ascii="Courier" w:hAnsi="Courier"/>
        </w:rPr>
        <w:t>label</w:t>
      </w:r>
      <w:r>
        <w:t>&gt; is less hierarchical than &lt;</w:t>
      </w:r>
      <w:r>
        <w:rPr>
          <w:rFonts w:ascii="Courier" w:hAnsi="Courier"/>
        </w:rPr>
        <w:t>sp</w:t>
      </w:r>
      <w:r>
        <w:t xml:space="preserve">&gt; (below), it is a good choice if there is dispute in the sources about the attribution of lines to speakers. If used with </w:t>
      </w:r>
      <w:r>
        <w:rPr>
          <w:i/>
        </w:rPr>
        <w:t>@exclude</w:t>
      </w:r>
      <w:r>
        <w:t>, it can enable the swapping of variants, to allow readers to see the text with alternate attributions.</w:t>
      </w:r>
    </w:p>
    <w:p w14:paraId="1F986550" w14:textId="77777777" w:rsidR="00EB171F" w:rsidRDefault="002E650E">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347368F5" w14:textId="77777777" w:rsidR="00EB171F" w:rsidRDefault="002E650E">
      <w:r>
        <w:t xml:space="preserve">In this example, the first line is attributed to Corydon, but some manuscripts and editions omit the label, and others attribute the lines to Ornytus. One family of manuscripts, </w:t>
      </w:r>
      <w:r>
        <w:rPr>
          <w:b/>
        </w:rPr>
        <w:t>V</w:t>
      </w:r>
      <w:r>
        <w:t xml:space="preserve">, attributes the fourth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variants in line 1.1, there is no need to use </w:t>
      </w:r>
      <w:r>
        <w:rPr>
          <w:i/>
        </w:rPr>
        <w:t>@exclude</w:t>
      </w:r>
      <w:r>
        <w:t xml:space="preserve"> in those cases.</w:t>
      </w:r>
    </w:p>
    <w:p w14:paraId="4A8E5000" w14:textId="77777777" w:rsidR="00EB171F" w:rsidRDefault="002E650E">
      <w:r>
        <w:lastRenderedPageBreak/>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14:paraId="509FF766" w14:textId="77777777" w:rsidR="00EB171F" w:rsidRDefault="002E650E">
      <w:pPr>
        <w:pStyle w:val="Heading4"/>
      </w:pPr>
      <w:bookmarkStart w:id="41" w:name="edition-text-speech-dialogue-sp"/>
      <w:r>
        <w:t>Semantic Markup of Speakers</w:t>
      </w:r>
      <w:bookmarkEnd w:id="41"/>
    </w:p>
    <w:p w14:paraId="23E2F75F" w14:textId="77777777" w:rsidR="00EB171F" w:rsidRDefault="002E650E">
      <w:r>
        <w:t>If it is desirable to mark the beginning and ending points of a character's speech, &lt;</w:t>
      </w:r>
      <w:r>
        <w:rPr>
          <w:rFonts w:ascii="Courier" w:hAnsi="Courier"/>
        </w:rPr>
        <w:t>sp</w:t>
      </w:r>
      <w:r>
        <w:t>&gt; and &lt;</w:t>
      </w:r>
      <w:r>
        <w:rPr>
          <w:rFonts w:ascii="Courier" w:hAnsi="Courier"/>
        </w:rPr>
        <w:t>speaker</w:t>
      </w:r>
      <w:r>
        <w:t>&gt; may be used.</w:t>
      </w:r>
    </w:p>
    <w:p w14:paraId="5538BFE4" w14:textId="77777777" w:rsidR="00EB171F" w:rsidRDefault="002E650E">
      <w:pPr>
        <w:pStyle w:val="ListContinue"/>
        <w:numPr>
          <w:ilvl w:val="0"/>
          <w:numId w:val="2"/>
        </w:numPr>
      </w:pPr>
      <w:r>
        <w:t>&lt;</w:t>
      </w:r>
      <w:r>
        <w:rPr>
          <w:rFonts w:ascii="Courier" w:hAnsi="Courier"/>
        </w:rPr>
        <w:t>sp</w:t>
      </w:r>
      <w:r>
        <w:t>&gt; (speech) groups elements related to a person or character's speech.</w:t>
      </w:r>
    </w:p>
    <w:p w14:paraId="7D26797F" w14:textId="77777777" w:rsidR="00EB171F" w:rsidRDefault="002E650E">
      <w:pPr>
        <w:pStyle w:val="ListContinue"/>
        <w:numPr>
          <w:ilvl w:val="0"/>
          <w:numId w:val="2"/>
        </w:numPr>
      </w:pPr>
      <w:r>
        <w:rPr>
          <w:i/>
        </w:rPr>
        <w:t>@who</w:t>
      </w:r>
      <w:r>
        <w:t xml:space="preserve"> is used with &lt;</w:t>
      </w:r>
      <w:r>
        <w:rPr>
          <w:rFonts w:ascii="Courier" w:hAnsi="Courier"/>
        </w:rPr>
        <w:t>sp</w:t>
      </w:r>
      <w:r>
        <w:t>&gt; to identify the speaker.</w:t>
      </w:r>
    </w:p>
    <w:p w14:paraId="480FFE03" w14:textId="77777777" w:rsidR="00EB171F" w:rsidRDefault="002E650E">
      <w:pPr>
        <w:pStyle w:val="ListContinue"/>
        <w:numPr>
          <w:ilvl w:val="0"/>
          <w:numId w:val="2"/>
        </w:numPr>
      </w:pPr>
      <w:r>
        <w:t>&lt;</w:t>
      </w:r>
      <w:r>
        <w:rPr>
          <w:rFonts w:ascii="Courier" w:hAnsi="Courier"/>
        </w:rPr>
        <w:t>speaker</w:t>
      </w:r>
      <w:r>
        <w:t>&gt; contains a human-readable label identifying the person or character speaking the text.</w:t>
      </w:r>
    </w:p>
    <w:p w14:paraId="2890A31D" w14:textId="77777777" w:rsidR="00EB171F" w:rsidRDefault="002E650E">
      <w:r>
        <w:t>These features can be used in verse and prose texts:</w:t>
      </w:r>
    </w:p>
    <w:p w14:paraId="4FCE6A33" w14:textId="77777777" w:rsidR="00EB171F" w:rsidRDefault="002E650E">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3CCCF820" w14:textId="77777777" w:rsidR="00EB171F" w:rsidRDefault="002E650E">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 est.&lt;/</w:t>
      </w:r>
      <w:r>
        <w:rPr>
          <w:b/>
        </w:rPr>
        <w:t>p</w:t>
      </w:r>
      <w:r>
        <w:t>&gt;</w:t>
      </w:r>
      <w:r>
        <w:br/>
        <w:t>&lt;/</w:t>
      </w:r>
      <w:r>
        <w:rPr>
          <w:b/>
        </w:rPr>
        <w:t>sp</w:t>
      </w:r>
      <w:r>
        <w:t>&gt;</w:t>
      </w:r>
    </w:p>
    <w:p w14:paraId="1E57B60C" w14:textId="77777777" w:rsidR="00EB171F" w:rsidRDefault="002E650E">
      <w:r>
        <w:t>The hierarchy involved in this method makes it impossible to enable the swapping of variant attributions. At most, &lt;</w:t>
      </w:r>
      <w:r>
        <w:rPr>
          <w:rFonts w:ascii="Courier" w:hAnsi="Courier"/>
        </w:rPr>
        <w:t>app</w:t>
      </w:r>
      <w:r>
        <w:t>&gt; can be used to indicate where variant attributions are found.</w:t>
      </w:r>
    </w:p>
    <w:p w14:paraId="25EFBCB5" w14:textId="77777777" w:rsidR="00EB171F" w:rsidRDefault="002E650E">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="#Ulit. #Wernsd. #Glaeser"</w:t>
      </w:r>
      <w:r>
        <w:br/>
        <w:t>    </w:t>
      </w:r>
      <w:r>
        <w:rPr>
          <w:b/>
        </w:rPr>
        <w:t>wit</w:t>
      </w:r>
      <w:r>
        <w:t>="#G #P #A #φ"&gt;C.&lt;/</w:t>
      </w:r>
      <w:r>
        <w:rPr>
          <w:b/>
        </w:rPr>
        <w:t>lem</w:t>
      </w:r>
      <w:r>
        <w:t>&gt;</w:t>
      </w:r>
      <w:r>
        <w:br/>
      </w:r>
      <w:r>
        <w:lastRenderedPageBreak/>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79273721" w14:textId="77777777" w:rsidR="00EB171F" w:rsidRDefault="002E650E">
      <w:r>
        <w:t xml:space="preserve">In this example, lines 1–7 are attributed to Corydon. An entry in the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Corydon.</w:t>
      </w:r>
    </w:p>
    <w:p w14:paraId="707AE2D9" w14:textId="77777777" w:rsidR="00EB171F" w:rsidRDefault="002E650E">
      <w:pPr>
        <w:pStyle w:val="Heading2"/>
      </w:pPr>
      <w:bookmarkStart w:id="42" w:name="edition-text-quotation"/>
      <w:r>
        <w:t>Quotation of Literature</w:t>
      </w:r>
      <w:bookmarkEnd w:id="42"/>
    </w:p>
    <w:p w14:paraId="355D9465" w14:textId="77777777" w:rsidR="00EB171F" w:rsidRDefault="002E650E">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14:paraId="6212C061" w14:textId="77777777" w:rsidR="00EB171F" w:rsidRDefault="002E650E">
      <w:pPr>
        <w:pStyle w:val="Heading2"/>
      </w:pPr>
      <w:bookmarkStart w:id="43" w:name="edition-text-people"/>
      <w:r>
        <w:t>People</w:t>
      </w:r>
      <w:bookmarkEnd w:id="43"/>
    </w:p>
    <w:p w14:paraId="046B3357" w14:textId="77777777" w:rsidR="00EB171F" w:rsidRDefault="002E650E">
      <w:r>
        <w:t>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14:paraId="1F9D4BE0" w14:textId="77777777" w:rsidR="00EB171F" w:rsidRDefault="002E650E">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70749DD9" w14:textId="77777777" w:rsidR="00EB171F" w:rsidRDefault="002E650E">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instances of the name in the text.</w:t>
      </w:r>
    </w:p>
    <w:p w14:paraId="44D886FE" w14:textId="77777777" w:rsidR="00EB171F" w:rsidRDefault="002E650E">
      <w:pPr>
        <w:pStyle w:val="ListContinue"/>
        <w:numPr>
          <w:ilvl w:val="0"/>
          <w:numId w:val="2"/>
        </w:numPr>
      </w:pPr>
      <w:r>
        <w:t>&lt;</w:t>
      </w:r>
      <w:r>
        <w:rPr>
          <w:rFonts w:ascii="Courier" w:hAnsi="Courier"/>
        </w:rPr>
        <w:t>persName</w:t>
      </w:r>
      <w:r>
        <w:t>&gt; contains the name of each person as it appears in the edition text, regardless of case.</w:t>
      </w:r>
    </w:p>
    <w:p w14:paraId="41BF8D2C" w14:textId="77777777" w:rsidR="00EB171F" w:rsidRDefault="002E650E">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 xml:space="preserve">&gt; contains the nominative form of the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6C97B516" w14:textId="77777777" w:rsidR="00EB171F" w:rsidRDefault="002E650E">
      <w:pPr>
        <w:pStyle w:val="ListContinue"/>
        <w:numPr>
          <w:ilvl w:val="0"/>
          <w:numId w:val="2"/>
        </w:numPr>
      </w:pPr>
      <w:r>
        <w:lastRenderedPageBreak/>
        <w:t>&lt;</w:t>
      </w:r>
      <w:r>
        <w:rPr>
          <w:rFonts w:ascii="Courier" w:hAnsi="Courier"/>
        </w:rPr>
        <w:t>orgName</w:t>
      </w:r>
      <w:r>
        <w:t xml:space="preserve">&gt; (organization name) contains the name of each group of people as it appears in the edition text, regardless of case. It also has </w:t>
      </w:r>
      <w:r>
        <w:rPr>
          <w:i/>
        </w:rPr>
        <w:t>@ref</w:t>
      </w:r>
      <w:r>
        <w:t xml:space="preserve"> and the canonical Uniform Resource Identifier (URI) for the group of people at </w:t>
      </w:r>
      <w:hyperlink r:id="rId27">
        <w:r>
          <w:rPr>
            <w:rStyle w:val="Hyperlink"/>
          </w:rPr>
          <w:t>Pleiades</w:t>
        </w:r>
      </w:hyperlink>
      <w:r>
        <w:t>.</w:t>
      </w:r>
    </w:p>
    <w:p w14:paraId="130B009C" w14:textId="77777777" w:rsidR="00EB171F" w:rsidRDefault="002E650E">
      <w:pPr>
        <w:pStyle w:val="ListContinue"/>
        <w:numPr>
          <w:ilvl w:val="0"/>
          <w:numId w:val="2"/>
        </w:numPr>
      </w:pPr>
      <w:r>
        <w:t>&lt;</w:t>
      </w:r>
      <w:r>
        <w:rPr>
          <w:rFonts w:ascii="Courier" w:hAnsi="Courier"/>
        </w:rPr>
        <w:t>note</w:t>
      </w:r>
      <w:r>
        <w:t>&gt; contains further identifying information about the person (e.g., dates, the ID number in a reference work or prosopography), if the name is not enough to make the distinction.</w:t>
      </w:r>
    </w:p>
    <w:p w14:paraId="28231EA4" w14:textId="77777777" w:rsidR="00EB171F" w:rsidRDefault="002E650E">
      <w:r>
        <w:t>Since inflected forms of names may appear in the text, it is vital to have a reference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665B355E" w14:textId="77777777" w:rsidR="00EB171F" w:rsidRDefault="002E650E">
      <w:pPr>
        <w:pStyle w:val="Special"/>
      </w:pPr>
      <w:r>
        <w:t>&lt;</w:t>
      </w:r>
      <w:r>
        <w:rPr>
          <w:b/>
        </w:rPr>
        <w:t>listPerson</w:t>
      </w:r>
      <w:r>
        <w:t>&gt;</w:t>
      </w:r>
      <w:r>
        <w:br/>
        <w:t> &lt;</w:t>
      </w:r>
      <w:r>
        <w:rPr>
          <w:b/>
        </w:rPr>
        <w:t>person</w:t>
      </w:r>
      <w:r>
        <w:t> </w:t>
      </w:r>
      <w:r>
        <w:rPr>
          <w:b/>
        </w:rPr>
        <w:t>xml:id</w:t>
      </w:r>
      <w:r>
        <w:t>="Absyrtus"&gt;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541B5567" w14:textId="77777777" w:rsidR="00EB171F" w:rsidRDefault="002E650E">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37A82CBB" w14:textId="77777777" w:rsidR="00EB171F" w:rsidRDefault="002E650E">
      <w:pPr>
        <w:pStyle w:val="Special"/>
      </w:pPr>
      <w:r>
        <w:t>&lt;</w:t>
      </w:r>
      <w:r>
        <w:rPr>
          <w:b/>
        </w:rPr>
        <w:t>l</w:t>
      </w:r>
      <w:r>
        <w:t> </w:t>
      </w:r>
      <w:r>
        <w:rPr>
          <w:b/>
        </w:rPr>
        <w:t>n</w:t>
      </w:r>
      <w:r>
        <w:t>="6"&gt;constat ab &lt;</w:t>
      </w:r>
      <w:r>
        <w:rPr>
          <w:b/>
        </w:rPr>
        <w:t>persName</w:t>
      </w:r>
      <w:r>
        <w:t> </w:t>
      </w:r>
      <w:r>
        <w:rPr>
          <w:b/>
        </w:rPr>
        <w:t>ref</w:t>
      </w:r>
      <w:r>
        <w:t>="#Absyrtus"&gt;Absyrti&lt;/</w:t>
      </w:r>
      <w:r>
        <w:rPr>
          <w:b/>
        </w:rPr>
        <w:t>persName</w:t>
      </w:r>
      <w:r>
        <w:t>&gt; caede</w:t>
      </w:r>
      <w:r>
        <w:br/>
        <w:t xml:space="preserve"> fuisse loco.&lt;/</w:t>
      </w:r>
      <w:r>
        <w:rPr>
          <w:b/>
        </w:rPr>
        <w:t>l</w:t>
      </w:r>
      <w:r>
        <w:t>&gt;</w:t>
      </w:r>
    </w:p>
    <w:p w14:paraId="49C8D361" w14:textId="77777777" w:rsidR="00EB171F" w:rsidRDefault="002E650E">
      <w:r>
        <w:t>It is also possible to encode indirect references to people:</w:t>
      </w:r>
    </w:p>
    <w:p w14:paraId="38621B16" w14:textId="77777777" w:rsidR="00EB171F" w:rsidRDefault="002E650E">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26B5F595" w14:textId="77777777" w:rsidR="00EB171F" w:rsidRDefault="002E650E">
      <w:r>
        <w:t>If there are variant readings of a name, &lt;</w:t>
      </w:r>
      <w:r>
        <w:rPr>
          <w:rFonts w:ascii="Courier" w:hAnsi="Courier"/>
        </w:rPr>
        <w:t>persName</w:t>
      </w:r>
      <w:r>
        <w:t>&gt; should enclose the &lt;</w:t>
      </w:r>
      <w:r>
        <w:rPr>
          <w:rFonts w:ascii="Courier" w:hAnsi="Courier"/>
        </w:rPr>
        <w:t>app</w:t>
      </w:r>
      <w:r>
        <w:t>&gt; with the lemma and variant reading(s):</w:t>
      </w:r>
    </w:p>
    <w:p w14:paraId="2D9B1FC2" w14:textId="77777777" w:rsidR="00EB171F" w:rsidRDefault="002E650E">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14:paraId="331E2C05" w14:textId="77777777" w:rsidR="00EB171F" w:rsidRDefault="002E650E">
      <w:r>
        <w:lastRenderedPageBreak/>
        <w:t>This will cause the lemma and the variant(s) to be identified as names.</w:t>
      </w:r>
    </w:p>
    <w:p w14:paraId="278B8DCA" w14:textId="77777777" w:rsidR="00EB171F" w:rsidRDefault="002E650E">
      <w:r>
        <w:t>But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2FCB4D49" w14:textId="77777777" w:rsidR="00EB171F" w:rsidRDefault="002E650E">
      <w:pPr>
        <w:pStyle w:val="Special"/>
      </w:pPr>
      <w:r>
        <w:t>&lt;</w:t>
      </w:r>
      <w:r>
        <w:rPr>
          <w:b/>
        </w:rPr>
        <w:t>app</w:t>
      </w:r>
      <w:r>
        <w:t>&gt;</w:t>
      </w:r>
      <w:r>
        <w:br/>
        <w:t> &lt;</w:t>
      </w:r>
      <w:r>
        <w:rPr>
          <w:b/>
        </w:rPr>
        <w:t>lem</w:t>
      </w:r>
      <w:r>
        <w:t>&gt;</w:t>
      </w:r>
      <w:r>
        <w:br/>
        <w:t>  &lt;</w:t>
      </w:r>
      <w:r>
        <w:rPr>
          <w:b/>
        </w:rPr>
        <w:t>persName</w:t>
      </w:r>
      <w:r>
        <w:t> </w:t>
      </w:r>
      <w:r>
        <w:rPr>
          <w:b/>
        </w:rPr>
        <w:t>ref</w:t>
      </w:r>
      <w:r>
        <w:t>="#Meliboeus"&gt;Meliboeus&lt;/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2560A743" w14:textId="77777777" w:rsidR="00EB171F" w:rsidRDefault="002E650E">
      <w:pPr>
        <w:pStyle w:val="Heading2"/>
      </w:pPr>
      <w:bookmarkStart w:id="44" w:name="edition-text-places"/>
      <w:r>
        <w:t>Places</w:t>
      </w:r>
      <w:bookmarkEnd w:id="44"/>
    </w:p>
    <w:p w14:paraId="07FD8298" w14:textId="77777777" w:rsidR="00EB171F" w:rsidRDefault="002E650E">
      <w:r>
        <w:t>Names of places can be encoded in LDLT editions to facilitate creation of an index or to assist readers in identifying the places mentioned in the text. If it is desirable to encode this information, the following guidelines should be followed.</w:t>
      </w:r>
    </w:p>
    <w:p w14:paraId="2387BF1D" w14:textId="77777777" w:rsidR="00EB171F" w:rsidRDefault="002E650E">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section of the edition.</w:t>
      </w:r>
    </w:p>
    <w:p w14:paraId="29BB705C" w14:textId="77777777" w:rsidR="00EB171F" w:rsidRDefault="002E650E">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canonical Uniform Resource Identifier (URI) for it at </w:t>
      </w:r>
      <w:hyperlink r:id="rId28">
        <w:r>
          <w:rPr>
            <w:rStyle w:val="Hyperlink"/>
          </w:rPr>
          <w:t>Pleiades</w:t>
        </w:r>
      </w:hyperlink>
      <w:r>
        <w:t xml:space="preserve"> or some other standard source of URIs for place names.</w:t>
      </w:r>
    </w:p>
    <w:p w14:paraId="16D25570" w14:textId="77777777" w:rsidR="00EB171F" w:rsidRDefault="002E650E">
      <w:pPr>
        <w:pStyle w:val="ListContinue"/>
        <w:numPr>
          <w:ilvl w:val="0"/>
          <w:numId w:val="2"/>
        </w:numPr>
      </w:pPr>
      <w:r>
        <w:t>&lt;</w:t>
      </w:r>
      <w:r>
        <w:rPr>
          <w:rFonts w:ascii="Courier" w:hAnsi="Courier"/>
        </w:rPr>
        <w:t>placeName</w:t>
      </w:r>
      <w:r>
        <w:t>&gt; contains the nominative form of the name of a place.</w:t>
      </w:r>
    </w:p>
    <w:p w14:paraId="1E245F43" w14:textId="77777777" w:rsidR="00EB171F" w:rsidRDefault="002E650E">
      <w:r>
        <w:t>Since inflected forms of place 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7467624E" w14:textId="77777777" w:rsidR="00EB171F" w:rsidRDefault="002E650E">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r>
      <w:r>
        <w:lastRenderedPageBreak/>
        <w:t> &lt;/</w:t>
      </w:r>
      <w:r>
        <w:rPr>
          <w:b/>
        </w:rPr>
        <w:t>place</w:t>
      </w:r>
      <w:r>
        <w:t>&gt;</w:t>
      </w:r>
      <w:r>
        <w:br/>
        <w:t>&lt;/</w:t>
      </w:r>
      <w:r>
        <w:rPr>
          <w:b/>
        </w:rPr>
        <w:t>listPlace</w:t>
      </w:r>
      <w:r>
        <w:t>&gt;</w:t>
      </w:r>
    </w:p>
    <w:p w14:paraId="3D3349CA" w14:textId="77777777" w:rsidR="00EB171F" w:rsidRDefault="002E650E">
      <w:r>
        <w:t>The final list can be incorporated into the &lt;</w:t>
      </w:r>
      <w:r>
        <w:rPr>
          <w:rFonts w:ascii="Courier" w:hAnsi="Courier"/>
        </w:rPr>
        <w:t>back</w:t>
      </w:r>
      <w:r>
        <w:t>&gt; of the edition at a later stage.</w:t>
      </w:r>
    </w:p>
    <w:p w14:paraId="73A2A32C" w14:textId="77777777" w:rsidR="00EB171F" w:rsidRDefault="002E650E">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p>
    <w:p w14:paraId="415AB231" w14:textId="77777777" w:rsidR="00EB171F" w:rsidRDefault="002E650E">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4F72C828" w14:textId="77777777" w:rsidR="00EB171F" w:rsidRDefault="002E650E">
      <w:r>
        <w:t>It is also possible to forgo &lt;</w:t>
      </w:r>
      <w:r>
        <w:rPr>
          <w:rFonts w:ascii="Courier" w:hAnsi="Courier"/>
        </w:rPr>
        <w:t>listPlace</w:t>
      </w:r>
      <w:r>
        <w:t xml:space="preserve">&gt; and just encode place names as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017595E1" w14:textId="77777777" w:rsidR="00EB171F" w:rsidRDefault="002E650E">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="https://pleiades.stoa.org/places/109341"&gt;Sequana&lt;/</w:t>
      </w:r>
      <w:r>
        <w:rPr>
          <w:b/>
        </w:rPr>
        <w:t>placeName</w:t>
      </w:r>
      <w:r>
        <w:t>&gt; dividit.</w:t>
      </w:r>
      <w:r>
        <w:br/>
        <w:t>&lt;/</w:t>
      </w:r>
      <w:r>
        <w:rPr>
          <w:b/>
        </w:rPr>
        <w:t>p</w:t>
      </w:r>
      <w:r>
        <w:t>&gt;</w:t>
      </w:r>
    </w:p>
    <w:p w14:paraId="17038912" w14:textId="77777777" w:rsidR="00EB171F" w:rsidRDefault="002E650E">
      <w:pPr>
        <w:pStyle w:val="Heading2"/>
      </w:pPr>
      <w:bookmarkStart w:id="45" w:name="edition-text-symbols"/>
      <w:r>
        <w:t>Symbols Commonly Used in the Text of a Critical Edition</w:t>
      </w:r>
      <w:bookmarkEnd w:id="45"/>
    </w:p>
    <w:p w14:paraId="7DAE3115" w14:textId="77777777" w:rsidR="00EB171F" w:rsidRDefault="002E650E">
      <w: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various punctuation marks and other symbols that represent complex information. The encoding will produce the standard symbols, and the information they represent will be explicit and in a form readable by humans and machines. That means that it will also be available for processing, querying, and analyzing with digital tools.</w:t>
      </w:r>
    </w:p>
    <w:p w14:paraId="1E9DEB27" w14:textId="77777777" w:rsidR="00EB171F" w:rsidRDefault="002E650E">
      <w:r>
        <w:t xml:space="preserve">Since most of the standard symbols usually have corresponding annotations in the critical apparatus, the encoding guidelines for many of them can be found in subsections of the </w:t>
      </w:r>
      <w:r>
        <w:lastRenderedPageBreak/>
        <w:t>guidelines for encoding entries in the critical apparatus. The following list identifies the symbols and points to the guidelines for encoding them:</w:t>
      </w:r>
    </w:p>
    <w:p w14:paraId="2B53046C" w14:textId="77777777" w:rsidR="00EB171F" w:rsidRDefault="002E650E">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14:paraId="2ADD6120" w14:textId="77777777" w:rsidR="00EB171F" w:rsidRDefault="002E650E">
      <w:pPr>
        <w:pStyle w:val="ListContinue"/>
        <w:numPr>
          <w:ilvl w:val="0"/>
          <w:numId w:val="2"/>
        </w:numPr>
      </w:pPr>
      <w:r>
        <w:t xml:space="preserve">ạḅc̣ḍ = </w:t>
      </w:r>
      <w:hyperlink w:anchor="edition-text-uncertain-characters">
        <w:r>
          <w:rPr>
            <w:rStyle w:val="Hyperlink"/>
            <w:u w:val="none"/>
          </w:rPr>
          <w:t>text uncertainly restored</w:t>
        </w:r>
      </w:hyperlink>
      <w:r>
        <w:t>.</w:t>
      </w:r>
    </w:p>
    <w:p w14:paraId="09E3E3D1" w14:textId="77777777" w:rsidR="00EB171F" w:rsidRDefault="002E650E">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14:paraId="06A77E94" w14:textId="77777777" w:rsidR="00EB171F" w:rsidRDefault="002E650E">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14:paraId="62AFA956" w14:textId="77777777" w:rsidR="00EB171F" w:rsidRDefault="002E650E">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14:paraId="08004394" w14:textId="77777777" w:rsidR="00EB171F" w:rsidRDefault="002E650E">
      <w:pPr>
        <w:pStyle w:val="ListContinue"/>
        <w:numPr>
          <w:ilvl w:val="0"/>
          <w:numId w:val="2"/>
        </w:numPr>
      </w:pPr>
      <w:r>
        <w:t xml:space="preserve">[ ... ] = </w:t>
      </w:r>
      <w:r>
        <w:fldChar w:fldCharType="begin"/>
      </w:r>
      <w:r>
        <w:instrText>REF apparatus-criticus-omission-known-loss-characters \n \h</w:instrText>
      </w:r>
      <w:r>
        <w:fldChar w:fldCharType="separate"/>
      </w:r>
      <w:r>
        <w:t>known amount of characters lost</w:t>
      </w:r>
      <w:r>
        <w:fldChar w:fldCharType="end"/>
      </w:r>
      <w:r>
        <w:t>.</w:t>
      </w:r>
    </w:p>
    <w:p w14:paraId="0D2D377F" w14:textId="77777777" w:rsidR="00EB171F" w:rsidRDefault="002E650E">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14:paraId="1AB6B57E" w14:textId="77777777" w:rsidR="00EB171F" w:rsidRDefault="002E650E">
      <w:pPr>
        <w:pStyle w:val="ListContinue"/>
        <w:numPr>
          <w:ilvl w:val="0"/>
          <w:numId w:val="2"/>
        </w:numPr>
      </w:pPr>
      <w:r>
        <w:t xml:space="preserve">⟦ ⟧ = </w:t>
      </w:r>
      <w:r>
        <w:fldChar w:fldCharType="begin"/>
      </w:r>
      <w:r>
        <w:instrText>REF apparatus-criticus-deletion-witness \n \h</w:instrText>
      </w:r>
      <w:r>
        <w:fldChar w:fldCharType="separate"/>
      </w:r>
      <w:r>
        <w:t>deletion by a scribe in a witness</w:t>
      </w:r>
      <w:r>
        <w:fldChar w:fldCharType="end"/>
      </w:r>
      <w:r>
        <w:t>.</w:t>
      </w:r>
    </w:p>
    <w:p w14:paraId="6E5D58A5" w14:textId="77777777" w:rsidR="00EB171F" w:rsidRDefault="002E650E">
      <w:pPr>
        <w:pStyle w:val="ListContinue"/>
        <w:numPr>
          <w:ilvl w:val="0"/>
          <w:numId w:val="2"/>
        </w:numPr>
      </w:pPr>
      <w:r>
        <w:t xml:space="preserve">{ } = </w:t>
      </w:r>
      <w:r>
        <w:fldChar w:fldCharType="begin"/>
      </w:r>
      <w:r>
        <w:instrText>REF apparatus-criticus-conjecture-and-emendation-editorial \n \h</w:instrText>
      </w:r>
      <w:r>
        <w:fldChar w:fldCharType="separate"/>
      </w:r>
      <w:r>
        <w:t>editorial deletion</w:t>
      </w:r>
      <w:r>
        <w:fldChar w:fldCharType="end"/>
      </w:r>
      <w:r>
        <w:t>.</w:t>
      </w:r>
    </w:p>
    <w:p w14:paraId="0E1EA2C9" w14:textId="77777777" w:rsidR="00EB171F" w:rsidRDefault="002E650E">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14:paraId="4857C1C6" w14:textId="77777777" w:rsidR="00EB171F" w:rsidRDefault="002E650E">
      <w:pPr>
        <w:pStyle w:val="Heading3"/>
      </w:pPr>
      <w:bookmarkStart w:id="46" w:name="edition-text-abbreviation-expansion"/>
      <w:r>
        <w:t>Expansion of Abbreviation</w:t>
      </w:r>
      <w:bookmarkEnd w:id="46"/>
    </w:p>
    <w:p w14:paraId="69B1B114" w14:textId="77777777" w:rsidR="00EB171F" w:rsidRDefault="002E650E">
      <w:r>
        <w:t>( ) = An editor expands an abbreviation as an aid to reading or to remove ambiguity. Encoded according to the following guidelines, a digital edition will display the abbreviated forms by default, but a user will be able to toggle between the abbreviated and expanded forms.</w:t>
      </w:r>
    </w:p>
    <w:p w14:paraId="60E33889" w14:textId="77777777" w:rsidR="00EB171F" w:rsidRDefault="002E650E">
      <w:r>
        <w:t>The preface should indicate whether or not abbreviations are expanded.</w:t>
      </w:r>
    </w:p>
    <w:p w14:paraId="07FCCBAC" w14:textId="77777777" w:rsidR="00EB171F" w:rsidRDefault="002E650E">
      <w:pPr>
        <w:pStyle w:val="ListContinue"/>
        <w:numPr>
          <w:ilvl w:val="0"/>
          <w:numId w:val="2"/>
        </w:numPr>
      </w:pPr>
      <w:r>
        <w:t>&lt;</w:t>
      </w:r>
      <w:r>
        <w:rPr>
          <w:rFonts w:ascii="Courier" w:hAnsi="Courier"/>
        </w:rPr>
        <w:t>expan</w:t>
      </w:r>
      <w:r>
        <w:t>&gt; (expansion) contains the full expansion of an abbreviation.</w:t>
      </w:r>
    </w:p>
    <w:p w14:paraId="081E282E" w14:textId="77777777" w:rsidR="00EB171F" w:rsidRDefault="002E650E">
      <w:pPr>
        <w:pStyle w:val="ListContinue"/>
        <w:numPr>
          <w:ilvl w:val="0"/>
          <w:numId w:val="2"/>
        </w:numPr>
      </w:pPr>
      <w:r>
        <w:t>&lt;</w:t>
      </w:r>
      <w:r>
        <w:rPr>
          <w:rFonts w:ascii="Courier" w:hAnsi="Courier"/>
        </w:rPr>
        <w:t>abbr</w:t>
      </w:r>
      <w:r>
        <w:t>&gt; (abbreviation) contains the abbreviated part, i.e. the letters actually on the page.</w:t>
      </w:r>
    </w:p>
    <w:p w14:paraId="07F82403" w14:textId="77777777" w:rsidR="00EB171F" w:rsidRDefault="002E650E">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558A3C83" w14:textId="77777777" w:rsidR="00EB171F" w:rsidRDefault="002E650E">
      <w:r>
        <w:t xml:space="preserve"> Example: M(arcus) Cicero S(alutem) D(ixit) L(ucio) Lucceio Q(uinti) F(ilio) </w:t>
      </w:r>
    </w:p>
    <w:p w14:paraId="33405AFC" w14:textId="77777777" w:rsidR="00EB171F" w:rsidRDefault="002E650E">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r>
      <w:r>
        <w:lastRenderedPageBreak/>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46EF56E1" w14:textId="77777777" w:rsidR="00EB171F" w:rsidRDefault="002E650E">
      <w:r>
        <w:t>Multiple &lt;abbr&gt; elements within a single &lt;expan&gt; compose a single abbreviation between them. For example, "e.g." is one abbreviation for the phrase “exempli gratia.”</w:t>
      </w:r>
    </w:p>
    <w:p w14:paraId="66E4CDB4" w14:textId="77777777" w:rsidR="00EB171F" w:rsidRDefault="002E650E">
      <w:pPr>
        <w:pStyle w:val="Special"/>
      </w:pPr>
      <w:r>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72B455AB" w14:textId="77777777" w:rsidR="00EB171F" w:rsidRDefault="002E650E">
      <w:pPr>
        <w:pStyle w:val="Heading3"/>
      </w:pPr>
      <w:bookmarkStart w:id="47" w:name="edition-text-ambiguous-characters"/>
      <w:r>
        <w:t>Ambiguous Characters</w:t>
      </w:r>
      <w:bookmarkEnd w:id="47"/>
    </w:p>
    <w:p w14:paraId="0B4774D0" w14:textId="77777777" w:rsidR="00EB171F" w:rsidRDefault="002E650E">
      <w:r>
        <w:t>When an edition is based on a limited number of witnesses, it may be necessary to indicate that characters are difficult to read. The accepted way to do this is with dots underneath the uncertainly restored characters.</w:t>
      </w:r>
    </w:p>
    <w:p w14:paraId="4F59146C" w14:textId="77777777" w:rsidR="00EB171F" w:rsidRDefault="002E650E">
      <w:r>
        <w:t>&lt;</w:t>
      </w:r>
      <w:r>
        <w:rPr>
          <w:rFonts w:ascii="Courier" w:hAnsi="Courier"/>
        </w:rPr>
        <w:t>unclear</w:t>
      </w:r>
      <w:r>
        <w:t>&gt; contains characters, words, or phrases that cannot be transcribed with certainty.</w:t>
      </w:r>
    </w:p>
    <w:p w14:paraId="27714A4E" w14:textId="77777777" w:rsidR="00EB171F" w:rsidRDefault="002E650E">
      <w:r>
        <w:t xml:space="preserve">For example, the entry for </w:t>
      </w:r>
      <w:r>
        <w:rPr>
          <w:rStyle w:val="teiforeign"/>
          <w:lang w:val="uz-Cyrl-UZ"/>
        </w:rPr>
        <w:t>Mensae</w:t>
      </w:r>
      <w:r>
        <w:t xml:space="preserve"> in Lindsay’s edition of Festus (157M) has the following uncertainly deciphered text:</w:t>
      </w:r>
    </w:p>
    <w:p w14:paraId="403C485C" w14:textId="77777777" w:rsidR="00EB171F" w:rsidRDefault="002E650E">
      <w:r>
        <w:t>ạṃẹ . . . ạ ṭẹṇẹḅạṭ ạṛạṃ . . . . . . . . . .</w:t>
      </w:r>
    </w:p>
    <w:p w14:paraId="63B0C9D6" w14:textId="77777777" w:rsidR="00EB171F" w:rsidRDefault="002E650E">
      <w:r>
        <w:t>In an LDLT edition, that should be encoded as follows:</w:t>
      </w:r>
    </w:p>
    <w:p w14:paraId="103BFD79" w14:textId="77777777" w:rsidR="00EB171F" w:rsidRDefault="002E650E">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6877BF8E" w14:textId="77777777" w:rsidR="00EB171F" w:rsidRDefault="002E650E">
      <w:pPr>
        <w:pStyle w:val="Heading3"/>
      </w:pPr>
      <w:bookmarkStart w:id="48" w:name="edition-text-lacunae"/>
      <w:r>
        <w:t>Lacunae</w:t>
      </w:r>
      <w:bookmarkEnd w:id="48"/>
    </w:p>
    <w:p w14:paraId="54FC980E" w14:textId="77777777" w:rsidR="00EB171F" w:rsidRDefault="002E650E">
      <w:r>
        <w:t xml:space="preserve"> *** = An unknown amount of text has been lost from the entire textual tradition, whether because of physical loss or human error (e.g., </w:t>
      </w:r>
      <w:r>
        <w:rPr>
          <w:rStyle w:val="teiforeign"/>
          <w:lang w:val="fr"/>
        </w:rPr>
        <w:t>saut du même au même</w:t>
      </w:r>
      <w:r>
        <w:t>).</w:t>
      </w:r>
    </w:p>
    <w:p w14:paraId="79623962" w14:textId="77777777" w:rsidR="00EB171F" w:rsidRDefault="002E650E">
      <w:pPr>
        <w:pStyle w:val="ListContinue"/>
        <w:numPr>
          <w:ilvl w:val="0"/>
          <w:numId w:val="2"/>
        </w:numPr>
      </w:pPr>
      <w:r>
        <w:t>&lt;</w:t>
      </w:r>
      <w:r>
        <w:rPr>
          <w:rFonts w:ascii="Courier" w:hAnsi="Courier"/>
        </w:rPr>
        <w:t>gap</w:t>
      </w:r>
      <w:r>
        <w:t>&gt; signifies that text is missing.</w:t>
      </w:r>
    </w:p>
    <w:p w14:paraId="48405ECF" w14:textId="77777777" w:rsidR="00EB171F" w:rsidRDefault="002E650E">
      <w:pPr>
        <w:pStyle w:val="ListContinue"/>
        <w:numPr>
          <w:ilvl w:val="0"/>
          <w:numId w:val="2"/>
        </w:numPr>
      </w:pPr>
      <w:r>
        <w:rPr>
          <w:i/>
        </w:rPr>
        <w:t>@reason</w:t>
      </w:r>
      <w:r>
        <w:t xml:space="preserve"> with value "lost" indicates that the text has been lost from the entire tradition, not just one witness or family of witnesses.</w:t>
      </w:r>
    </w:p>
    <w:p w14:paraId="68820EED" w14:textId="77777777" w:rsidR="00EB171F" w:rsidRDefault="002E650E">
      <w:r>
        <w:lastRenderedPageBreak/>
        <w:t xml:space="preserve">For example, an undetermined amount of text is missing from all witnesses at the end of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Custodiisque diligentius dispositis ipse grauissima hieme in nauibus excubans neque ullum laborem aut munus despiciens neque subsidium expectans si in Caesaris complexum uenire posset ***.</w:t>
      </w:r>
    </w:p>
    <w:p w14:paraId="6083913B" w14:textId="3D2D8AEB" w:rsidR="00EB171F" w:rsidRDefault="002E650E">
      <w:r>
        <w:t>&lt;</w:t>
      </w:r>
      <w:r>
        <w:rPr>
          <w:rFonts w:ascii="Courier" w:hAnsi="Courier"/>
        </w:rPr>
        <w:t>gap</w:t>
      </w:r>
      <w:r>
        <w:t xml:space="preserve">&gt; with </w:t>
      </w:r>
      <w:r>
        <w:rPr>
          <w:i/>
        </w:rPr>
        <w:t>@reason</w:t>
      </w:r>
      <w:r>
        <w:t>="</w:t>
      </w:r>
      <w:r w:rsidR="00E71AB2">
        <w:t>lost</w:t>
      </w:r>
      <w:bookmarkStart w:id="49" w:name="_GoBack"/>
      <w:bookmarkEnd w:id="49"/>
      <w:r>
        <w:t>" is inserted into the main text to indicate the lacuna:</w:t>
      </w:r>
    </w:p>
    <w:p w14:paraId="32677D4B" w14:textId="77777777" w:rsidR="00EB171F" w:rsidRDefault="002E650E">
      <w:pPr>
        <w:pStyle w:val="Special"/>
      </w:pPr>
      <w:r>
        <w:t>&lt;</w:t>
      </w:r>
      <w:r>
        <w:rPr>
          <w:b/>
        </w:rPr>
        <w:t>p</w:t>
      </w:r>
      <w:r>
        <w:t>&gt;Custodiisque diligentius dispositis ipse grauissima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473E7F8F" w14:textId="77777777" w:rsidR="00EB171F" w:rsidRDefault="002E650E">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apparatus-criticus-editorial-notes \n \h</w:instrText>
      </w:r>
      <w:r>
        <w:fldChar w:fldCharType="separate"/>
      </w:r>
      <w:r>
        <w:t>Editorial Notes</w:t>
      </w:r>
      <w:r>
        <w:fldChar w:fldCharType="end"/>
      </w:r>
      <w:r>
        <w:t>.</w:t>
      </w:r>
    </w:p>
    <w:p w14:paraId="43B07E92" w14:textId="77777777" w:rsidR="00EB171F" w:rsidRDefault="002E650E">
      <w:r>
        <w:t>These guidelines also have provisions for cases where an editor suspects a lacuna in the text, but lacks physical evidence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14:paraId="64F476E9" w14:textId="77777777" w:rsidR="00EB171F" w:rsidRDefault="002E650E">
      <w:r>
        <w:t>If a single witness or family of witnesses has a gap in coverage of the text, but 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t>Gaps in Witnesses</w:t>
      </w:r>
      <w:r>
        <w:fldChar w:fldCharType="end"/>
      </w:r>
      <w:r>
        <w:t>" for encoding instructions.</w:t>
      </w:r>
    </w:p>
    <w:p w14:paraId="1182BA9D" w14:textId="77777777" w:rsidR="00EB171F" w:rsidRDefault="002E650E">
      <w:pPr>
        <w:pStyle w:val="Heading1"/>
      </w:pPr>
      <w:bookmarkStart w:id="50" w:name="apparatus-fontium"/>
      <w:r>
        <w:t>Apparatus Fontium</w:t>
      </w:r>
      <w:bookmarkEnd w:id="50"/>
    </w:p>
    <w:p w14:paraId="5F3DD713" w14:textId="77777777" w:rsidR="00EB171F" w:rsidRDefault="002E650E">
      <w:r>
        <w:t>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14:paraId="6270DD06" w14:textId="77777777" w:rsidR="00EB171F" w:rsidRDefault="002E650E">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another source or a reference (in &lt;</w:t>
      </w:r>
      <w:r>
        <w:rPr>
          <w:rFonts w:ascii="Courier" w:hAnsi="Courier"/>
        </w:rPr>
        <w:t>ref</w:t>
      </w:r>
      <w:r>
        <w:t>&gt;) to another source, together with bibliographical information about the source (in &lt;</w:t>
      </w:r>
      <w:r>
        <w:rPr>
          <w:rFonts w:ascii="Courier" w:hAnsi="Courier"/>
        </w:rPr>
        <w:t>bibl</w:t>
      </w:r>
      <w:r>
        <w:t>&gt;).</w:t>
      </w:r>
    </w:p>
    <w:p w14:paraId="1EDC2951" w14:textId="77777777" w:rsidR="00EB171F" w:rsidRDefault="002E650E">
      <w:pPr>
        <w:pStyle w:val="ListContinue"/>
        <w:numPr>
          <w:ilvl w:val="0"/>
          <w:numId w:val="2"/>
        </w:numPr>
      </w:pPr>
      <w:r>
        <w:t>&lt;</w:t>
      </w:r>
      <w:r>
        <w:rPr>
          <w:rFonts w:ascii="Courier" w:hAnsi="Courier"/>
        </w:rPr>
        <w:t>quote</w:t>
      </w:r>
      <w:r>
        <w:t>&gt; (quotation) contains a phrase or passage attributable to some agency external to the text.</w:t>
      </w:r>
    </w:p>
    <w:p w14:paraId="7F29BEBF" w14:textId="77777777" w:rsidR="00EB171F" w:rsidRDefault="002E650E">
      <w:pPr>
        <w:pStyle w:val="ListContinue"/>
        <w:numPr>
          <w:ilvl w:val="0"/>
          <w:numId w:val="2"/>
        </w:numPr>
      </w:pPr>
      <w:r>
        <w:t>&lt;</w:t>
      </w:r>
      <w:r>
        <w:rPr>
          <w:rFonts w:ascii="Courier" w:hAnsi="Courier"/>
        </w:rPr>
        <w:t>ref</w:t>
      </w:r>
      <w:r>
        <w:t>&gt; (reference) contains a reference to a phrase or passage attributable to some agency external to the text.</w:t>
      </w:r>
    </w:p>
    <w:p w14:paraId="7F8799AC" w14:textId="77777777" w:rsidR="00EB171F" w:rsidRDefault="002E650E">
      <w:pPr>
        <w:pStyle w:val="ListContinue"/>
        <w:numPr>
          <w:ilvl w:val="0"/>
          <w:numId w:val="2"/>
        </w:numPr>
      </w:pPr>
      <w:r>
        <w:t>&lt;</w:t>
      </w:r>
      <w:r>
        <w:rPr>
          <w:rFonts w:ascii="Courier" w:hAnsi="Courier"/>
        </w:rPr>
        <w:t>bibl</w:t>
      </w:r>
      <w:r>
        <w:t>&gt; (bibliographic citation) contains the information required to retrieve the source of the quotation or reference. If a digital copy of the source is available, a link can be provided with &lt;</w:t>
      </w:r>
      <w:r>
        <w:rPr>
          <w:rFonts w:ascii="Courier" w:hAnsi="Courier"/>
        </w:rPr>
        <w:t>ptr</w:t>
      </w:r>
      <w:r>
        <w:t>&gt;.</w:t>
      </w:r>
    </w:p>
    <w:p w14:paraId="101F5818" w14:textId="77777777" w:rsidR="00EB171F" w:rsidRDefault="002E650E">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displayed or printed on a new line and indented. In the latter case, prose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14:paraId="1D8346E5" w14:textId="77777777" w:rsidR="00EB171F" w:rsidRDefault="002E650E">
      <w:r>
        <w:lastRenderedPageBreak/>
        <w:t xml:space="preserve">Macrobius’                         Saturnalia 3.16.1–5 has examples of block quotations of prose and verse texts, and an inline quotation of a prose text. Note that it is also an example of </w:t>
      </w:r>
      <w:r>
        <w:fldChar w:fldCharType="begin"/>
      </w:r>
      <w:r>
        <w:instrText>REF edition-text-speech \n \h</w:instrText>
      </w:r>
      <w:r>
        <w:fldChar w:fldCharType="separate"/>
      </w:r>
      <w:r>
        <w:t>direct speech</w:t>
      </w:r>
      <w:r>
        <w:fldChar w:fldCharType="end"/>
      </w:r>
      <w:r>
        <w:t>, since the entire passage is spoken by a character (Rufius):</w:t>
      </w:r>
    </w:p>
    <w:p w14:paraId="50437F2E" w14:textId="77777777" w:rsidR="00EB171F" w:rsidRDefault="002E650E">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secundo Punico bello celebre nomen huius piscis</w:t>
      </w:r>
      <w:r>
        <w:br/>
        <w:t>   fuisse, accipite ut meminerit eius Plautus in fabula quae inscribitur</w:t>
      </w:r>
      <w:r>
        <w:br/>
        <w:t>   Baccaria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 umquam&lt;/</w:t>
      </w:r>
      <w:r>
        <w:rPr>
          <w:b/>
        </w:rPr>
        <w:t>l</w:t>
      </w:r>
      <w:r>
        <w:t>&gt;</w:t>
      </w:r>
      <w:r>
        <w:br/>
        <w:t>    &lt;</w:t>
      </w:r>
      <w:r>
        <w:rPr>
          <w:b/>
        </w:rPr>
        <w:t>l</w:t>
      </w:r>
      <w:r>
        <w:t>&gt;qua ego nunc sum, cuius haec ventri portatur pompa?&lt;/</w:t>
      </w:r>
      <w:r>
        <w:rPr>
          <w:b/>
        </w:rPr>
        <w:t>l</w:t>
      </w:r>
      <w:r>
        <w:t>&gt;</w:t>
      </w:r>
      <w:r>
        <w:br/>
        <w:t>    &lt;</w:t>
      </w:r>
      <w:r>
        <w:rPr>
          <w:b/>
        </w:rPr>
        <w:t>l</w:t>
      </w:r>
      <w:r>
        <w:t>&gt;vel nunc, qui mihi in mari acipenser latuit antehac,&lt;/</w:t>
      </w:r>
      <w:r>
        <w:rPr>
          <w:b/>
        </w:rPr>
        <w:t>l</w:t>
      </w:r>
      <w:r>
        <w:t>&gt;</w:t>
      </w:r>
      <w:r>
        <w:br/>
        <w:t>    &lt;</w:t>
      </w:r>
      <w:r>
        <w:rPr>
          <w:b/>
        </w:rPr>
        <w:t>l</w:t>
      </w:r>
      <w:r>
        <w:t>&gt;cuius ego latus in latebras reddam meis dentibus et</w:t>
      </w:r>
      <w:r>
        <w:br/>
        <w:t>         manibus.&lt;/</w:t>
      </w:r>
      <w:r>
        <w:rPr>
          <w:b/>
        </w:rPr>
        <w:t>l</w:t>
      </w:r>
      <w:r>
        <w:t>&gt;</w:t>
      </w:r>
      <w:r>
        <w:br/>
        <w:t>   &lt;/</w:t>
      </w:r>
      <w:r>
        <w:rPr>
          <w:b/>
        </w:rPr>
        <w:t>quote</w:t>
      </w:r>
      <w:r>
        <w:t>&gt;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cit</w:t>
      </w:r>
      <w:r>
        <w:t>&gt;.&lt;/</w:t>
      </w:r>
      <w:r>
        <w:rPr>
          <w:b/>
        </w:rPr>
        <w:t>p</w:t>
      </w:r>
      <w:r>
        <w:t>&gt;</w:t>
      </w:r>
      <w:r>
        <w:br/>
        <w:t> &lt;</w:t>
      </w:r>
      <w:r>
        <w:rPr>
          <w:b/>
        </w:rPr>
        <w:t>p</w:t>
      </w:r>
      <w:r>
        <w:t>&gt;et ne vilior sit testis poeta, accipite assertore Cicerone in quo honore</w:t>
      </w:r>
      <w:r>
        <w:br/>
        <w:t>   fuerit hic piscis apud P. Scipionem Africanum illum et Numantinum, haec</w:t>
      </w:r>
      <w:r>
        <w:br/>
        <w:t>   sunt in dialogo de fato verba Ciceronis&lt;</w:t>
      </w:r>
      <w:r>
        <w:rPr>
          <w:b/>
        </w:rPr>
        <w:t>cit</w:t>
      </w:r>
      <w:r>
        <w:t>&gt;</w:t>
      </w:r>
      <w:r>
        <w:br/>
        <w:t>   &lt;</w:t>
      </w:r>
      <w:r>
        <w:rPr>
          <w:b/>
        </w:rPr>
        <w:t>quote</w:t>
      </w:r>
      <w:r>
        <w:t> </w:t>
      </w:r>
      <w:r>
        <w:rPr>
          <w:b/>
        </w:rPr>
        <w:t>rend</w:t>
      </w:r>
      <w:r>
        <w:t>="blockquote"&gt;</w:t>
      </w:r>
      <w:r>
        <w:br/>
        <w:t>&lt;!-- Prose quotation to be displayed/printed on new line and indented --&gt;</w:t>
      </w:r>
      <w:r>
        <w:br/>
        <w:t>    &lt;</w:t>
      </w:r>
      <w:r>
        <w:rPr>
          <w:b/>
        </w:rPr>
        <w:t>p</w:t>
      </w:r>
      <w:r>
        <w:t>&gt;nam cum esset apud se ad Lavernium Scipio unaque Pontius</w:t>
      </w:r>
      <w:r>
        <w:br/>
        <w:t>         adlatus est forte Scipioni acipenser, qui admodum raro</w:t>
      </w:r>
      <w:r>
        <w:br/>
        <w:t>         capitur, sed est piscis, ut ferunt, in primis nobilis. cum</w:t>
      </w:r>
      <w:r>
        <w:br/>
        <w:t>         autem Scipio unum et alterum ex his qui eum salutatum</w:t>
      </w:r>
      <w:r>
        <w:br/>
        <w:t>         venerant invitavisset pluresque etiam invitaturus videretur,</w:t>
      </w:r>
      <w:r>
        <w:br/>
        <w:t>         in aurem Pontius, &lt;</w:t>
      </w:r>
      <w:r>
        <w:rPr>
          <w:b/>
        </w:rPr>
        <w:t>said</w:t>
      </w:r>
      <w:r>
        <w:t> </w:t>
      </w:r>
      <w:r>
        <w:rPr>
          <w:b/>
        </w:rPr>
        <w:t>who</w:t>
      </w:r>
      <w:r>
        <w:t>="#Pontius"&gt;Scipio,&lt;/</w:t>
      </w:r>
      <w:r>
        <w:rPr>
          <w:b/>
        </w:rPr>
        <w:t>said</w:t>
      </w:r>
      <w:r>
        <w:t>&gt;</w:t>
      </w:r>
      <w:r>
        <w:br/>
        <w:t>         inquit, &lt;</w:t>
      </w:r>
      <w:r>
        <w:rPr>
          <w:b/>
        </w:rPr>
        <w:t>said</w:t>
      </w:r>
      <w:r>
        <w:t> </w:t>
      </w:r>
      <w:r>
        <w:rPr>
          <w:b/>
        </w:rPr>
        <w:t>who</w:t>
      </w:r>
      <w:r>
        <w:t>="#Pontius"&gt;vide quid agas, acipenser iste</w:t>
      </w:r>
      <w:r>
        <w:br/>
        <w:t>           paucorum hominum est.&lt;/</w:t>
      </w:r>
      <w:r>
        <w:rPr>
          <w:b/>
        </w:rPr>
        <w:t>said</w:t>
      </w:r>
      <w:r>
        <w:t>&gt;</w:t>
      </w:r>
      <w:r>
        <w:br/>
        <w:t>    &lt;/</w:t>
      </w:r>
      <w:r>
        <w:rPr>
          <w:b/>
        </w:rPr>
        <w:t>p</w:t>
      </w:r>
      <w:r>
        <w:t>&gt;</w:t>
      </w:r>
      <w:r>
        <w:br/>
        <w:t>   &lt;/</w:t>
      </w:r>
      <w:r>
        <w:rPr>
          <w:b/>
        </w:rPr>
        <w:t>quote</w:t>
      </w:r>
      <w:r>
        <w:t>&gt;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cit</w:t>
      </w:r>
      <w:r>
        <w:t>&gt;</w:t>
      </w:r>
      <w:r>
        <w:br/>
        <w:t> &lt;/</w:t>
      </w:r>
      <w:r>
        <w:rPr>
          <w:b/>
        </w:rPr>
        <w:t>p</w:t>
      </w:r>
      <w:r>
        <w:t>&gt;</w:t>
      </w:r>
      <w:r>
        <w:br/>
        <w:t> &lt;</w:t>
      </w:r>
      <w:r>
        <w:rPr>
          <w:b/>
        </w:rPr>
        <w:t>p</w:t>
      </w:r>
      <w:r>
        <w:t>&gt;nec infitias eo temporibus Traiani hunc piscem in magno pretio non</w:t>
      </w:r>
      <w:r>
        <w:br/>
        <w:t>   fuisse, teste Plinio Secundo, qui in Naturali historia cum de hoc pisce</w:t>
      </w:r>
      <w:r>
        <w:br/>
        <w:t>   loqueretur sic ait: &lt;</w:t>
      </w:r>
      <w:r>
        <w:rPr>
          <w:b/>
        </w:rPr>
        <w:t>cit</w:t>
      </w:r>
      <w:r>
        <w:t>&gt;</w:t>
      </w:r>
      <w:r>
        <w:br/>
        <w:t>&lt;!-- Prose quotation to be displayed/printed in line --&gt;</w:t>
      </w:r>
      <w:r>
        <w:br/>
        <w:t>   &lt;</w:t>
      </w:r>
      <w:r>
        <w:rPr>
          <w:b/>
        </w:rPr>
        <w:t>quote</w:t>
      </w:r>
      <w:r>
        <w:t>&gt;nullo nunc in honore est, quod equidem miror, cum sit rarus</w:t>
      </w:r>
      <w:r>
        <w:br/>
        <w:t>       inventu.&lt;/</w:t>
      </w:r>
      <w:r>
        <w:rPr>
          <w:b/>
        </w:rPr>
        <w:t>quote</w:t>
      </w:r>
      <w:r>
        <w:t>&gt;</w:t>
      </w:r>
      <w:r>
        <w:br/>
        <w:t>   &lt;</w:t>
      </w:r>
      <w:r>
        <w:rPr>
          <w:b/>
        </w:rPr>
        <w:t>bibl</w:t>
      </w:r>
      <w:r>
        <w:t>&gt;</w:t>
      </w:r>
      <w:r>
        <w:br/>
        <w:t>    &lt;</w:t>
      </w:r>
      <w:r>
        <w:rPr>
          <w:b/>
        </w:rPr>
        <w:t>author</w:t>
      </w:r>
      <w:r>
        <w:t>&gt;Plin.&lt;/</w:t>
      </w:r>
      <w:r>
        <w:rPr>
          <w:b/>
        </w:rPr>
        <w:t>author</w:t>
      </w:r>
      <w:r>
        <w:t>&gt;</w:t>
      </w:r>
      <w:r>
        <w:br/>
        <w:t>    &lt;</w:t>
      </w:r>
      <w:r>
        <w:rPr>
          <w:b/>
        </w:rPr>
        <w:t>title</w:t>
      </w:r>
      <w:r>
        <w:t>&gt;HN&lt;/</w:t>
      </w:r>
      <w:r>
        <w:rPr>
          <w:b/>
        </w:rPr>
        <w:t>title</w:t>
      </w:r>
      <w:r>
        <w:t>&gt; 9.60&lt;/</w:t>
      </w:r>
      <w:r>
        <w:rPr>
          <w:b/>
        </w:rPr>
        <w:t>bibl</w:t>
      </w:r>
      <w:r>
        <w:t>&gt;.&lt;/</w:t>
      </w:r>
      <w:r>
        <w:rPr>
          <w:b/>
        </w:rPr>
        <w:t>cit</w:t>
      </w:r>
      <w:r>
        <w:t>&gt;</w:t>
      </w:r>
      <w:r>
        <w:br/>
        <w:t> &lt;/</w:t>
      </w:r>
      <w:r>
        <w:rPr>
          <w:b/>
        </w:rPr>
        <w:t>p</w:t>
      </w:r>
      <w:r>
        <w:t>&gt;</w:t>
      </w:r>
      <w:r>
        <w:br/>
        <w:t>&lt;/</w:t>
      </w:r>
      <w:r>
        <w:rPr>
          <w:b/>
        </w:rPr>
        <w:t>said</w:t>
      </w:r>
      <w:r>
        <w:t>&gt;</w:t>
      </w:r>
    </w:p>
    <w:p w14:paraId="4872E632" w14:textId="77777777" w:rsidR="00EB171F" w:rsidRDefault="002E650E">
      <w:r>
        <w:t>In the following example, Duns Scotus has referred to a work by Boethius, but he has not quoted it:</w:t>
      </w:r>
    </w:p>
    <w:p w14:paraId="7AF5E7DF" w14:textId="77777777" w:rsidR="00EB171F" w:rsidRDefault="002E650E">
      <w:pPr>
        <w:pStyle w:val="Special"/>
      </w:pPr>
      <w:r>
        <w:lastRenderedPageBreak/>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w:t>
      </w:r>
      <w:r>
        <w:br/>
        <w:t> &lt;/</w:t>
      </w:r>
      <w:r>
        <w:rPr>
          <w:b/>
        </w:rPr>
        <w:t>cit</w:t>
      </w:r>
      <w:r>
        <w:t>&gt;: dicit quod septem praedicamenta non dicunt</w:t>
      </w:r>
      <w:r>
        <w:br/>
        <w:t xml:space="preserve"> absolutas res, sed tantum respectus.&lt;/</w:t>
      </w:r>
      <w:r>
        <w:rPr>
          <w:b/>
        </w:rPr>
        <w:t>p</w:t>
      </w:r>
      <w:r>
        <w:t>&gt;</w:t>
      </w:r>
    </w:p>
    <w:p w14:paraId="46CD62CD" w14:textId="77777777" w:rsidR="00EB171F" w:rsidRDefault="002E650E">
      <w:r>
        <w:t xml:space="preserve">In the edition text, the text would be displayed or printed without interruption (i.e., </w:t>
      </w:r>
      <w:r>
        <w:rPr>
          <w:rStyle w:val="teiforeign"/>
          <w:lang w:val="uz-Cyrl-UZ"/>
        </w:rPr>
        <w:t>Probatio minoris per Boethium De Trinitate: dicit quod septem praedicamenta non dicunt absolutas res, sed tantum respectus</w:t>
      </w:r>
      <w:r>
        <w:t xml:space="preserve">). The apparatus fontium would include the following entry: “Boethius </w:t>
      </w:r>
      <w:r>
        <w:rPr>
          <w:i/>
        </w:rPr>
        <w:t>De Trin.</w:t>
      </w:r>
      <w:r>
        <w:t xml:space="preserve"> c. 4 (ed. R. Peiper 159; PL 64, 1353C).</w:t>
      </w:r>
    </w:p>
    <w:p w14:paraId="50543800" w14:textId="77777777" w:rsidR="00EB171F" w:rsidRDefault="002E650E">
      <w:r>
        <w:t>If it is desirable to provide the text of the reference in the apparatus fontium, it may be inserted in &lt;</w:t>
      </w:r>
      <w:r>
        <w:rPr>
          <w:rFonts w:ascii="Courier" w:hAnsi="Courier"/>
        </w:rPr>
        <w:t>quote</w:t>
      </w:r>
      <w:r>
        <w:t>&gt; after &lt;</w:t>
      </w:r>
      <w:r>
        <w:rPr>
          <w:rFonts w:ascii="Courier" w:hAnsi="Courier"/>
        </w:rPr>
        <w:t>bibl</w:t>
      </w:r>
      <w:r>
        <w:t>&gt;:</w:t>
      </w:r>
    </w:p>
    <w:p w14:paraId="49F5368F" w14:textId="77777777" w:rsidR="00EB171F" w:rsidRDefault="002E650E">
      <w:pPr>
        <w:pStyle w:val="Special"/>
      </w:pPr>
      <w:r>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 &lt;</w:t>
      </w:r>
      <w:r>
        <w:rPr>
          <w:b/>
        </w:rPr>
        <w:t>quote</w:t>
      </w:r>
      <w:r>
        <w:t>&gt;Iamne patet quae sit differentia</w:t>
      </w:r>
      <w:r>
        <w:br/>
        <w:t>     praedicationum? Quod aliae quidem quasi rem monstrant, aliae vero</w:t>
      </w:r>
      <w:r>
        <w:br/>
        <w:t>     quasi circumstantias rei; quodque illa quae ita praedicantur, ut</w:t>
      </w:r>
      <w:r>
        <w:br/>
        <w:t>     esse aliquid rem ostendant, illa vero ut non esse, sed potius</w:t>
      </w:r>
      <w:r>
        <w:br/>
        <w:t>     extrinsecus aliquid quodam modo adfigant?&lt;/</w:t>
      </w:r>
      <w:r>
        <w:rPr>
          <w:b/>
        </w:rPr>
        <w:t>quote</w:t>
      </w:r>
      <w:r>
        <w:t>&gt;</w:t>
      </w:r>
      <w:r>
        <w:br/>
        <w:t> &lt;/</w:t>
      </w:r>
      <w:r>
        <w:rPr>
          <w:b/>
        </w:rPr>
        <w:t>cit</w:t>
      </w:r>
      <w:r>
        <w:t>&gt;: dicit quod</w:t>
      </w:r>
      <w:r>
        <w:br/>
        <w:t xml:space="preserve"> septem praedicamenta non dicunt absolutas res, sed tantum respectus.&lt;/</w:t>
      </w:r>
      <w:r>
        <w:rPr>
          <w:b/>
        </w:rPr>
        <w:t>p</w:t>
      </w:r>
      <w:r>
        <w:t>&gt;</w:t>
      </w:r>
    </w:p>
    <w:p w14:paraId="5F3AEEA1" w14:textId="77777777" w:rsidR="00EB171F" w:rsidRDefault="002E650E">
      <w:r>
        <w:t>The text of the quotation will be displayed in the apparatus fontium.</w:t>
      </w:r>
    </w:p>
    <w:p w14:paraId="72E178CB" w14:textId="77777777" w:rsidR="00EB171F" w:rsidRDefault="002E650E">
      <w:pPr>
        <w:pStyle w:val="Heading1"/>
      </w:pPr>
      <w:bookmarkStart w:id="51" w:name="parallel-passages"/>
      <w:r>
        <w:t>Parallel Passages</w:t>
      </w:r>
      <w:bookmarkEnd w:id="51"/>
    </w:p>
    <w:p w14:paraId="4EE3E993" w14:textId="77777777" w:rsidR="00EB171F" w:rsidRDefault="002E650E">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fldChar w:fldCharType="begin"/>
      </w:r>
      <w:r>
        <w:instrText>REF apparatus-criticus-editorial-notes \n \h</w:instrText>
      </w:r>
      <w:r>
        <w:fldChar w:fldCharType="separate"/>
      </w:r>
      <w:r>
        <w:t>Editorial Notes</w:t>
      </w:r>
      <w:r>
        <w:fldChar w:fldCharType="end"/>
      </w:r>
      <w:r>
        <w:t>").</w:t>
      </w:r>
    </w:p>
    <w:p w14:paraId="1884808D" w14:textId="77777777" w:rsidR="00EB171F" w:rsidRDefault="002E650E">
      <w:pPr>
        <w:pStyle w:val="ListContinue"/>
        <w:numPr>
          <w:ilvl w:val="0"/>
          <w:numId w:val="2"/>
        </w:numPr>
      </w:pPr>
      <w:r>
        <w:t>&lt;</w:t>
      </w:r>
      <w:r>
        <w:rPr>
          <w:rFonts w:ascii="Courier" w:hAnsi="Courier"/>
        </w:rPr>
        <w:t>note</w:t>
      </w:r>
      <w:r>
        <w:t>&gt;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14:paraId="2E445407" w14:textId="77777777" w:rsidR="00EB171F" w:rsidRDefault="002E650E">
      <w:pPr>
        <w:pStyle w:val="ListContinue"/>
        <w:numPr>
          <w:ilvl w:val="0"/>
          <w:numId w:val="2"/>
        </w:numPr>
      </w:pPr>
      <w:r>
        <w:t>&lt;</w:t>
      </w:r>
      <w:r>
        <w:rPr>
          <w:rFonts w:ascii="Courier" w:hAnsi="Courier"/>
        </w:rPr>
        <w:t>listBibl</w:t>
      </w:r>
      <w:r>
        <w:t>&gt; (citation list) contains references to parallel passages.</w:t>
      </w:r>
    </w:p>
    <w:p w14:paraId="0E5849DE" w14:textId="77777777" w:rsidR="00EB171F" w:rsidRDefault="002E650E">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14:paraId="6C167B66" w14:textId="77777777" w:rsidR="00EB171F" w:rsidRDefault="002E650E">
      <w:pPr>
        <w:pStyle w:val="ListContinue2"/>
        <w:numPr>
          <w:ilvl w:val="1"/>
          <w:numId w:val="2"/>
        </w:numPr>
      </w:pPr>
      <w:r>
        <w:lastRenderedPageBreak/>
        <w:t>&lt;</w:t>
      </w:r>
      <w:r>
        <w:rPr>
          <w:rFonts w:ascii="Courier" w:hAnsi="Courier"/>
        </w:rPr>
        <w:t>author</w:t>
      </w:r>
      <w:r>
        <w:t>&gt; contains the name of the author (or a standard abbreviation) of a parallel passage.</w:t>
      </w:r>
    </w:p>
    <w:p w14:paraId="3588E946" w14:textId="77777777" w:rsidR="00EB171F" w:rsidRDefault="002E650E">
      <w:pPr>
        <w:pStyle w:val="ListContinue2"/>
        <w:numPr>
          <w:ilvl w:val="1"/>
          <w:numId w:val="2"/>
        </w:numPr>
      </w:pPr>
      <w:r>
        <w:t>&lt;</w:t>
      </w:r>
      <w:r>
        <w:rPr>
          <w:rFonts w:ascii="Courier" w:hAnsi="Courier"/>
        </w:rPr>
        <w:t>title</w:t>
      </w:r>
      <w:r>
        <w:t>&gt; contains the title of the work (or a standard abbreviation) in which the parallel passage occurs.</w:t>
      </w:r>
    </w:p>
    <w:p w14:paraId="6069E796" w14:textId="77777777" w:rsidR="00EB171F" w:rsidRDefault="002E650E">
      <w:pPr>
        <w:pStyle w:val="ListContinue2"/>
        <w:numPr>
          <w:ilvl w:val="1"/>
          <w:numId w:val="2"/>
        </w:numPr>
      </w:pPr>
      <w:r>
        <w:t>&lt;</w:t>
      </w:r>
      <w:r>
        <w:rPr>
          <w:rFonts w:ascii="Courier" w:hAnsi="Courier"/>
        </w:rPr>
        <w:t>biblScope</w:t>
      </w:r>
      <w:r>
        <w:t>&gt; (scope of bibliographic reference) contains the specific unit where the parallel passage may be found (e.g., book number, section number, paragraph number, line number, etc.).</w:t>
      </w:r>
    </w:p>
    <w:p w14:paraId="59E6586E" w14:textId="77777777" w:rsidR="00EB171F" w:rsidRDefault="002E650E">
      <w:pPr>
        <w:pStyle w:val="ListContinue"/>
        <w:numPr>
          <w:ilvl w:val="0"/>
          <w:numId w:val="2"/>
        </w:numPr>
      </w:pPr>
      <w:r>
        <w:t>&lt;</w:t>
      </w:r>
      <w:r>
        <w:rPr>
          <w:rFonts w:ascii="Courier" w:hAnsi="Courier"/>
        </w:rPr>
        <w:t>quote</w:t>
      </w:r>
      <w:r>
        <w:t>&gt; contains the quoted text of the passage, if desirable.</w:t>
      </w:r>
    </w:p>
    <w:p w14:paraId="74DB6639" w14:textId="77777777" w:rsidR="00EB171F" w:rsidRDefault="002E650E">
      <w:r>
        <w:t xml:space="preserve">For example, Gelsomino includes an extensive list of parallel passages to individual entries in his </w:t>
      </w:r>
      <w:r>
        <w:fldChar w:fldCharType="begin"/>
      </w:r>
      <w:r>
        <w:instrText>REF gelsomino-sequester \n \h</w:instrText>
      </w:r>
      <w:r>
        <w:fldChar w:fldCharType="separate"/>
      </w:r>
      <w:r>
        <w:t>edition of Vibius Sequester</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@xml:id</w:t>
      </w:r>
      <w:r>
        <w:t xml:space="preserve"> of the note with the parallel passages:</w:t>
      </w:r>
    </w:p>
    <w:p w14:paraId="1FED98FD" w14:textId="77777777" w:rsidR="00EB171F" w:rsidRDefault="002E650E">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r>
      <w:r>
        <w:lastRenderedPageBreak/>
        <w:t>     … Arar fluvius Galliae fluens in Rhodanum&lt;/</w:t>
      </w:r>
      <w:r>
        <w:rPr>
          <w:b/>
        </w:rPr>
        <w:t>quote</w:t>
      </w:r>
      <w:r>
        <w:t>&gt;</w:t>
      </w:r>
      <w:r>
        <w:br/>
        <w:t>  &lt;</w:t>
      </w:r>
      <w:r>
        <w:rPr>
          <w:b/>
        </w:rPr>
        <w:t>bibl</w:t>
      </w:r>
      <w:r>
        <w:t>&gt;</w:t>
      </w:r>
      <w:r>
        <w:br/>
        <w:t>   &lt;</w:t>
      </w:r>
      <w:r>
        <w:rPr>
          <w:b/>
        </w:rPr>
        <w:t>title</w:t>
      </w:r>
      <w:r>
        <w:t>&gt;Schol.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7912D42F" w14:textId="77777777" w:rsidR="00EB171F" w:rsidRDefault="002E650E">
      <w:pPr>
        <w:pStyle w:val="Heading1"/>
      </w:pPr>
      <w:bookmarkStart w:id="52" w:name="apparatus-criticus"/>
      <w:r>
        <w:t>Apparatus Criticus</w:t>
      </w:r>
      <w:bookmarkEnd w:id="52"/>
    </w:p>
    <w:p w14:paraId="62630AB4" w14:textId="77777777" w:rsidR="00EB171F" w:rsidRDefault="002E650E">
      <w:r>
        <w:t xml:space="preserve">This section provides models for handling the different kinds of entries that occur in an apparatus criticus. It uses the terminology, elements, and attributes of the TEI’s module </w:t>
      </w:r>
      <w:hyperlink r:id="rId29">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14:paraId="0C9E9082" w14:textId="77777777" w:rsidR="00EB171F" w:rsidRDefault="002E650E">
      <w:r>
        <w:t>In a digital context, critical editions encoded according to these guidelines will have certain interactive features:</w:t>
      </w:r>
    </w:p>
    <w:p w14:paraId="3A1A7B08" w14:textId="77777777" w:rsidR="00EB171F" w:rsidRDefault="002E650E">
      <w:pPr>
        <w:pStyle w:val="ListContinue"/>
        <w:numPr>
          <w:ilvl w:val="0"/>
          <w:numId w:val="2"/>
        </w:numPr>
      </w:pPr>
      <w:r>
        <w:t>Readings from manuscripts and other sources can be filtered in or out of the text.</w:t>
      </w:r>
    </w:p>
    <w:p w14:paraId="24EEB767" w14:textId="77777777" w:rsidR="00EB171F" w:rsidRDefault="002E650E">
      <w:pPr>
        <w:pStyle w:val="ListContinue"/>
        <w:numPr>
          <w:ilvl w:val="0"/>
          <w:numId w:val="2"/>
        </w:numPr>
      </w:pPr>
      <w:r>
        <w:t>Certain types of variant readings (e.g., orthographic variants, conjectures, corrections) can be removed from the apparatus criticus to reduce its size.</w:t>
      </w:r>
    </w:p>
    <w:p w14:paraId="74FEA78E" w14:textId="77777777" w:rsidR="00EB171F" w:rsidRDefault="002E650E">
      <w:pPr>
        <w:pStyle w:val="ListContinue"/>
        <w:numPr>
          <w:ilvl w:val="0"/>
          <w:numId w:val="2"/>
        </w:numPr>
      </w:pPr>
      <w:r>
        <w:t xml:space="preserve">A variant reading can be swapped into the text so that it can be viewed </w:t>
      </w:r>
      <w:r>
        <w:rPr>
          <w:rStyle w:val="teiforeign"/>
          <w:lang w:val="uz-Cyrl-UZ"/>
        </w:rPr>
        <w:t>in situ</w:t>
      </w:r>
      <w:r>
        <w:t>.</w:t>
      </w:r>
    </w:p>
    <w:p w14:paraId="686EFB2E" w14:textId="77777777" w:rsidR="00EB171F" w:rsidRDefault="002E650E">
      <w:pPr>
        <w:pStyle w:val="ListContinue"/>
        <w:numPr>
          <w:ilvl w:val="0"/>
          <w:numId w:val="2"/>
        </w:numPr>
      </w:pPr>
      <w:r>
        <w:t>Line transpositions can be activated and viewed in the text.</w:t>
      </w:r>
    </w:p>
    <w:p w14:paraId="04A6F2A6" w14:textId="77777777" w:rsidR="00EB171F" w:rsidRDefault="002E650E">
      <w:r>
        <w:t>In a printed version, critical editions encoded according to these guidelines can be styled to have an apparatus criticus in a format familiar from standard critical ediitons.</w:t>
      </w:r>
    </w:p>
    <w:p w14:paraId="13B7831A" w14:textId="77777777" w:rsidR="00EB171F" w:rsidRDefault="002E650E">
      <w:pPr>
        <w:pStyle w:val="Heading2"/>
      </w:pPr>
      <w:bookmarkStart w:id="53" w:name="apparatus-criticus-concepts-definitions"/>
      <w:r>
        <w:t>Concepts and Definitions</w:t>
      </w:r>
      <w:bookmarkEnd w:id="53"/>
    </w:p>
    <w:p w14:paraId="022D4A26" w14:textId="77777777" w:rsidR="00EB171F" w:rsidRDefault="002E650E">
      <w:r>
        <w:t>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14:paraId="1E825525" w14:textId="77777777" w:rsidR="00EB171F" w:rsidRDefault="002E650E">
      <w:r>
        <w:lastRenderedPageBreak/>
        <w:t>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with LDLT staff and the editorial board regarding format and storage of ancillary materials.</w:t>
      </w:r>
    </w:p>
    <w:p w14:paraId="09092EE9" w14:textId="77777777" w:rsidR="00EB171F" w:rsidRDefault="002E650E">
      <w:pPr>
        <w:pStyle w:val="Heading3"/>
      </w:pPr>
      <w:r>
        <w:t>Readings</w:t>
      </w:r>
    </w:p>
    <w:p w14:paraId="4059492E" w14:textId="77777777" w:rsidR="00EB171F" w:rsidRDefault="002E650E">
      <w:bookmarkStart w:id="54" w:name="reading"/>
      <w:r>
        <w:t xml:space="preserve">A critical edition contains two types of </w:t>
      </w:r>
      <w:r>
        <w:rPr>
          <w:b/>
        </w:rPr>
        <w:t>reading</w:t>
      </w:r>
      <w:r>
        <w:t>: lemma and variant.</w:t>
      </w:r>
      <w:bookmarkEnd w:id="54"/>
    </w:p>
    <w:p w14:paraId="3C594DD1" w14:textId="77777777" w:rsidR="00EB171F" w:rsidRDefault="002E650E">
      <w:bookmarkStart w:id="55"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 up of lemmata.</w:t>
      </w:r>
      <w:bookmarkEnd w:id="55"/>
    </w:p>
    <w:p w14:paraId="490B182D" w14:textId="77777777" w:rsidR="00EB171F" w:rsidRDefault="002E650E">
      <w:bookmarkStart w:id="56"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56"/>
    </w:p>
    <w:p w14:paraId="49AB5A9A" w14:textId="77777777" w:rsidR="00EB171F" w:rsidRDefault="002E650E">
      <w:bookmarkStart w:id="57" w:name="emendation"/>
      <w:r>
        <w:t xml:space="preserve">An </w:t>
      </w:r>
      <w:r>
        <w:rPr>
          <w:b/>
        </w:rPr>
        <w:t>emendation</w:t>
      </w:r>
      <w:r>
        <w:t xml:space="preserve"> is a reading expressly proposed by some person (possibly the editor) and accepted by the editor into the main text of an edition.</w:t>
      </w:r>
      <w:bookmarkEnd w:id="57"/>
    </w:p>
    <w:p w14:paraId="4DBFA122" w14:textId="77777777" w:rsidR="00EB171F" w:rsidRDefault="002E650E">
      <w:bookmarkStart w:id="58"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58"/>
    </w:p>
    <w:p w14:paraId="4B95715D" w14:textId="77777777" w:rsidR="00EB171F" w:rsidRDefault="002E650E">
      <w:r>
        <w:t>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does emend the text. Therefore, it is called an emendation.</w:t>
      </w:r>
    </w:p>
    <w:p w14:paraId="3F2AD8B9" w14:textId="77777777" w:rsidR="00EB171F" w:rsidRDefault="002E650E">
      <w:r>
        <w:rPr>
          <w:b/>
        </w:rPr>
        <w:t>Correction</w:t>
      </w:r>
      <w:bookmarkStart w:id="59" w:name="correction"/>
      <w:r>
        <w:t xml:space="preserve"> describes any attempt by the original copyist or some other hand to alter a witness’ reading, regardless 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59"/>
    </w:p>
    <w:p w14:paraId="69C9062C" w14:textId="77777777" w:rsidR="00EB171F" w:rsidRDefault="002E650E">
      <w:r>
        <w:t xml:space="preserve">Opinions can differ from editor to editor about what the “correct” reading is, which is why having more than one critical edition of a text is not necessarily redundant. Similarly, copyists </w:t>
      </w:r>
      <w:r>
        <w:lastRenderedPageBreak/>
        <w:t>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14:paraId="5FFEC570" w14:textId="77777777" w:rsidR="00EB171F" w:rsidRDefault="002E650E">
      <w:r>
        <w:t>The next two sections discuss where readings are found, i.e., in witnesses and sources.</w:t>
      </w:r>
    </w:p>
    <w:p w14:paraId="4BE93267" w14:textId="77777777" w:rsidR="00EB171F" w:rsidRDefault="002E650E">
      <w:pPr>
        <w:pStyle w:val="Heading3"/>
      </w:pPr>
      <w:r>
        <w:t>Witnesses</w:t>
      </w:r>
    </w:p>
    <w:p w14:paraId="4C3F75A7" w14:textId="77777777" w:rsidR="00EB171F" w:rsidRDefault="002E650E">
      <w:r>
        <w:t xml:space="preserve">A </w:t>
      </w:r>
      <w:r>
        <w:rPr>
          <w:b/>
        </w:rPr>
        <w:t>witness</w:t>
      </w:r>
      <w:r>
        <w:t xml:space="preserve"> may be a manuscript, the individual hands that wrote in a manuscript, or an early printed edition (</w:t>
      </w:r>
      <w:r>
        <w:rPr>
          <w:rStyle w:val="teiforeign"/>
          <w:lang w:val="uz-Cyrl-UZ"/>
        </w:rPr>
        <w:t>editio princeps</w:t>
      </w:r>
      <w:r>
        <w:t>) that may preserve the readings of a single manuscript.</w:t>
      </w:r>
    </w:p>
    <w:p w14:paraId="39917883" w14:textId="77777777" w:rsidR="00EB171F" w:rsidRDefault="002E650E">
      <w:bookmarkStart w:id="60" w:name="hands"/>
      <w:r>
        <w:t>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60"/>
    </w:p>
    <w:p w14:paraId="1CC90233" w14:textId="77777777" w:rsidR="00EB171F" w:rsidRDefault="002E650E">
      <w:r>
        <w:t>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14:paraId="66661260" w14:textId="77777777" w:rsidR="00EB171F" w:rsidRDefault="002E650E">
      <w:r>
        <w:t xml:space="preserve">In some cases, it is not necessary, possible, or desirable to make such a sharp distinction between hands. It may be sufficient instead to refer to hands other than the original copyist with the general </w:t>
      </w:r>
      <w:r>
        <w:rPr>
          <w:rStyle w:val="teiforeign"/>
          <w:lang w:val="uz-Cyrl-UZ"/>
        </w:rPr>
        <w:t>manus recentior</w:t>
      </w:r>
      <w:r>
        <w:t xml:space="preserve">, or </w:t>
      </w:r>
      <w:r>
        <w:rPr>
          <w:i/>
        </w:rPr>
        <w:t>m.r.</w:t>
      </w:r>
      <w:r>
        <w:t xml:space="preserve"> (“a later hand”). However the editor decides to represent the activities of a manuscript’s hands and the relationships between them, an explanation must be provided in the preface.</w:t>
      </w:r>
    </w:p>
    <w:p w14:paraId="74DBE163" w14:textId="77777777" w:rsidR="00EB171F" w:rsidRDefault="002E650E">
      <w:r>
        <w:t>For more information on representing the hands in manuscripts, see the sections "</w:t>
      </w:r>
      <w:r>
        <w:fldChar w:fldCharType="begin"/>
      </w:r>
      <w:r>
        <w:instrText>REF bibliography-manuscript-description \n \h</w:instrText>
      </w:r>
      <w:r>
        <w:fldChar w:fldCharType="separate"/>
      </w:r>
      <w:r>
        <w:t>Manuscript Description</w:t>
      </w:r>
      <w:r>
        <w:fldChar w:fldCharType="end"/>
      </w:r>
      <w:r>
        <w:t>" and "</w:t>
      </w:r>
      <w:r>
        <w:fldChar w:fldCharType="begin"/>
      </w:r>
      <w:r>
        <w:instrText>REF bibliography-sigla \n \h</w:instrText>
      </w:r>
      <w:r>
        <w:fldChar w:fldCharType="separate"/>
      </w:r>
      <w:r>
        <w:t>Sigla</w:t>
      </w:r>
      <w:r>
        <w:fldChar w:fldCharType="end"/>
      </w:r>
      <w:r>
        <w:t>.”</w:t>
      </w:r>
    </w:p>
    <w:p w14:paraId="32627E1D" w14:textId="77777777" w:rsidR="00EB171F" w:rsidRDefault="002E650E">
      <w:r>
        <w:t xml:space="preserve">In sum, for the purposes of these guidelines, manuscript hands are witnesses, and the following scheme should be used to indicate them: </w:t>
      </w:r>
    </w:p>
    <w:p w14:paraId="078CEECA" w14:textId="77777777" w:rsidR="00EB171F" w:rsidRDefault="002E650E">
      <w:pPr>
        <w:pStyle w:val="ListContinue"/>
        <w:numPr>
          <w:ilvl w:val="0"/>
          <w:numId w:val="2"/>
        </w:numPr>
      </w:pPr>
      <w:r>
        <w:lastRenderedPageBreak/>
        <w:t>siglum without a superscript number (“hand zero”) = the original copyist.</w:t>
      </w:r>
    </w:p>
    <w:p w14:paraId="44B15D1A" w14:textId="77777777" w:rsidR="00EB171F" w:rsidRDefault="002E650E">
      <w:pPr>
        <w:pStyle w:val="ListContinue"/>
        <w:numPr>
          <w:ilvl w:val="0"/>
          <w:numId w:val="2"/>
        </w:numPr>
      </w:pPr>
      <w:r>
        <w:t>siglum with superscript 1 (“hand one”) = the original copyist altering the text he originally wrote.</w:t>
      </w:r>
    </w:p>
    <w:p w14:paraId="634D7E3E" w14:textId="77777777" w:rsidR="00EB171F" w:rsidRDefault="002E650E">
      <w:pPr>
        <w:pStyle w:val="ListContinue"/>
        <w:numPr>
          <w:ilvl w:val="0"/>
          <w:numId w:val="2"/>
        </w:numPr>
      </w:pPr>
      <w:r>
        <w:t>siglum with superscript 2 (“hand two”): a hand that wrote at the same time or later than the original copyist.</w:t>
      </w:r>
    </w:p>
    <w:p w14:paraId="2EF0FB86" w14:textId="77777777" w:rsidR="00EB171F" w:rsidRDefault="002E650E">
      <w:pPr>
        <w:pStyle w:val="ListContinue"/>
        <w:numPr>
          <w:ilvl w:val="0"/>
          <w:numId w:val="2"/>
        </w:numPr>
      </w:pPr>
      <w:r>
        <w:t>siglum with superscript letters “mr” (= manus recentior) some hand after the original copyist, if it is not possible and/or useful to identify securely the individual hands.</w:t>
      </w:r>
    </w:p>
    <w:p w14:paraId="6DEE05D7" w14:textId="77777777" w:rsidR="00EB171F" w:rsidRDefault="002E650E">
      <w:pPr>
        <w:pStyle w:val="ListContinue"/>
        <w:numPr>
          <w:ilvl w:val="0"/>
          <w:numId w:val="2"/>
        </w:numPr>
      </w:pPr>
      <w:r>
        <w:t>etc.</w:t>
      </w:r>
    </w:p>
    <w:p w14:paraId="5F62F1DB" w14:textId="77777777" w:rsidR="00EB171F" w:rsidRDefault="002E650E">
      <w:r>
        <w:t>Another acceptable approach is to append abbreviations such as “ac” and “pc” (</w:t>
      </w:r>
      <w:r>
        <w:rPr>
          <w:rStyle w:val="teiforeign"/>
          <w:lang w:val="uz-Cyrl-UZ"/>
        </w:rPr>
        <w:t>ante correctionem</w:t>
      </w:r>
      <w:r>
        <w:t xml:space="preserve"> and </w:t>
      </w:r>
      <w:r>
        <w:rPr>
          <w:rStyle w:val="teiforeign"/>
          <w:lang w:val="uz-Cyrl-UZ"/>
        </w:rPr>
        <w:t>post correctionem</w:t>
      </w:r>
      <w:r>
        <w:t>) as superscript notations on the manuscript’s siglum. It all depends on what suits the editor’s purposes, provided that the method of distinguishing hands is explained in the description of manuscripts and both human- and machine-readable sigla are assigned to them.</w:t>
      </w:r>
    </w:p>
    <w:p w14:paraId="71E535FF" w14:textId="77777777" w:rsidR="00EB171F" w:rsidRDefault="002E650E">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must be described and assigned a human- and machine-readable siglum in the description of the manuscript.</w:t>
      </w:r>
    </w:p>
    <w:p w14:paraId="015576DE" w14:textId="77777777" w:rsidR="00EB171F" w:rsidRDefault="002E650E">
      <w:pPr>
        <w:pStyle w:val="Heading3"/>
      </w:pPr>
      <w:r>
        <w:t>Sources</w:t>
      </w:r>
    </w:p>
    <w:p w14:paraId="46BDE69C" w14:textId="77777777" w:rsidR="00EB171F" w:rsidRDefault="002E650E">
      <w:r>
        <w:t xml:space="preserve">A </w:t>
      </w:r>
      <w:r>
        <w:rPr>
          <w:b/>
        </w:rPr>
        <w:t>source</w:t>
      </w:r>
      <w:r>
        <w:t xml:space="preserve"> may be any modern critical edition, commentary, article, review, or other item (e.g., personal correspondence) in which an argument about the text has been advanced or discussed.</w:t>
      </w:r>
    </w:p>
    <w:p w14:paraId="7E44BED8" w14:textId="77777777" w:rsidR="00EB171F" w:rsidRDefault="002E650E">
      <w:pPr>
        <w:pStyle w:val="Heading3"/>
      </w:pPr>
      <w:bookmarkStart w:id="61" w:name="apparatus-criticus-concepts-definitions-"/>
      <w:r>
        <w:t>Order</w:t>
      </w:r>
      <w:bookmarkEnd w:id="61"/>
    </w:p>
    <w:p w14:paraId="2E5A5769" w14:textId="77777777" w:rsidR="00EB171F" w:rsidRDefault="002E650E">
      <w:r>
        <w:t>As in traditional printed editions, the order in which certain information is presented has meaning in LDLT editions, though the order’s meaning is not itself explicitly encoded. Editors should follow the recommendations of West (87–88) on the issue of order. In brief:</w:t>
      </w:r>
    </w:p>
    <w:p w14:paraId="5AD82332" w14:textId="77777777" w:rsidR="00EB171F" w:rsidRDefault="002E650E">
      <w:pPr>
        <w:pStyle w:val="ListContinue"/>
        <w:numPr>
          <w:ilvl w:val="0"/>
          <w:numId w:val="2"/>
        </w:numPr>
      </w:pPr>
      <w:r>
        <w:t>Readings are presented in the following order of precedence: direct manuscript tradition, indirect tradition, conjectures (in descending order of merit, as determined by the editor).</w:t>
      </w:r>
    </w:p>
    <w:p w14:paraId="30CB1D04" w14:textId="77777777" w:rsidR="00EB171F" w:rsidRDefault="002E650E">
      <w:pPr>
        <w:pStyle w:val="ListContinue"/>
        <w:numPr>
          <w:ilvl w:val="0"/>
          <w:numId w:val="2"/>
        </w:numPr>
      </w:pPr>
      <w:r>
        <w:t>Manuscripts should be given a regular order for citation, though editors may deviate from this practice for the sake of clarity.</w:t>
      </w:r>
    </w:p>
    <w:p w14:paraId="7B24F2D9" w14:textId="77777777" w:rsidR="00EB171F" w:rsidRDefault="002E650E">
      <w:pPr>
        <w:pStyle w:val="Heading2"/>
      </w:pPr>
      <w:bookmarkStart w:id="62" w:name="apparatus-criticus-specs"/>
      <w:r>
        <w:t>Encoding Specifications for the Apparatus Criticus</w:t>
      </w:r>
      <w:bookmarkEnd w:id="62"/>
    </w:p>
    <w:p w14:paraId="53856B36" w14:textId="77777777" w:rsidR="00EB171F" w:rsidRDefault="002E650E">
      <w:r>
        <w:t>The following attributes and elements are required for putting the concepts discussed above into practice:</w:t>
      </w:r>
    </w:p>
    <w:p w14:paraId="406EE48A" w14:textId="77777777" w:rsidR="00EB171F" w:rsidRDefault="002E650E">
      <w:pPr>
        <w:pStyle w:val="ListContinue"/>
        <w:numPr>
          <w:ilvl w:val="0"/>
          <w:numId w:val="2"/>
        </w:numPr>
      </w:pPr>
      <w:r>
        <w:t>&lt;</w:t>
      </w:r>
      <w:r>
        <w:rPr>
          <w:rFonts w:ascii="Courier" w:hAnsi="Courier"/>
        </w:rPr>
        <w:t>app</w:t>
      </w:r>
      <w:r>
        <w:t>&gt;</w:t>
      </w:r>
      <w:bookmarkStart w:id="63"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3"/>
    </w:p>
    <w:p w14:paraId="79424783" w14:textId="77777777" w:rsidR="00EB171F" w:rsidRDefault="002E650E">
      <w:pPr>
        <w:pStyle w:val="ListContinue"/>
        <w:numPr>
          <w:ilvl w:val="0"/>
          <w:numId w:val="2"/>
        </w:numPr>
      </w:pPr>
      <w:r>
        <w:lastRenderedPageBreak/>
        <w:t>&lt;</w:t>
      </w:r>
      <w:r>
        <w:rPr>
          <w:rFonts w:ascii="Courier" w:hAnsi="Courier"/>
        </w:rPr>
        <w:t>lem</w:t>
      </w:r>
      <w:r>
        <w:t>&gt;</w:t>
      </w:r>
      <w:bookmarkStart w:id="64" w:name="lem"/>
      <w:r>
        <w:t xml:space="preserve"> (lemma) contains a reading judged by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edition’s text. A lemma may be an absence of text, if the editor has reason to doubt the merit of the extant readings.</w:t>
      </w:r>
      <w:bookmarkEnd w:id="64"/>
    </w:p>
    <w:p w14:paraId="7EBE746E" w14:textId="77777777" w:rsidR="00EB171F" w:rsidRDefault="002E650E">
      <w:pPr>
        <w:pStyle w:val="ListContinue"/>
        <w:numPr>
          <w:ilvl w:val="0"/>
          <w:numId w:val="2"/>
        </w:numPr>
      </w:pPr>
      <w:r>
        <w:t>&lt;</w:t>
      </w:r>
      <w:r>
        <w:rPr>
          <w:rFonts w:ascii="Courier" w:hAnsi="Courier"/>
        </w:rPr>
        <w:t>rdg</w:t>
      </w:r>
      <w:r>
        <w:t>&gt;</w:t>
      </w:r>
      <w:bookmarkStart w:id="65" w:name="rdg"/>
      <w: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65"/>
    </w:p>
    <w:p w14:paraId="6B85AC4D" w14:textId="77777777" w:rsidR="00EB171F" w:rsidRDefault="002E650E">
      <w:pPr>
        <w:pStyle w:val="ListContinue"/>
        <w:numPr>
          <w:ilvl w:val="0"/>
          <w:numId w:val="2"/>
        </w:numPr>
      </w:pPr>
      <w:r>
        <w:rPr>
          <w:i/>
        </w:rPr>
        <w:t>@wit</w:t>
      </w:r>
      <w:bookmarkStart w:id="66" w:name="wit-att"/>
      <w:r>
        <w:t xml:space="preserve"> (witness) contains machine-readable sigla for any manuscript(s) (or manuscript hands) or early printed edition(s) (esp. without an apparatus or commentary, so-called </w:t>
      </w:r>
      <w:r>
        <w:rPr>
          <w:rStyle w:val="teiforeign"/>
          <w:lang w:val="uz-Cyrl-UZ"/>
        </w:rPr>
        <w:t>editiones vetustiores</w:t>
      </w:r>
      <w:r>
        <w:t>).</w:t>
      </w:r>
      <w:bookmarkEnd w:id="66"/>
    </w:p>
    <w:p w14:paraId="022FE80F" w14:textId="77777777" w:rsidR="00EB171F" w:rsidRDefault="002E650E">
      <w:pPr>
        <w:pStyle w:val="ListContinue"/>
        <w:numPr>
          <w:ilvl w:val="0"/>
          <w:numId w:val="2"/>
        </w:numPr>
      </w:pPr>
      <w:r>
        <w:rPr>
          <w:i/>
        </w:rPr>
        <w:t>@source</w:t>
      </w:r>
      <w:bookmarkStart w:id="67" w:name="source-att"/>
      <w:r>
        <w:t xml:space="preserve"> (source) contains machine-readable sigla for any printed edition(s) or other scholarly work(s) (e.g., article, textual note, commentary) addressing an aspect of the text.</w:t>
      </w:r>
      <w:bookmarkEnd w:id="67"/>
    </w:p>
    <w:p w14:paraId="02E63216" w14:textId="77777777" w:rsidR="00EB171F" w:rsidRDefault="002E650E">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14:paraId="541C3708" w14:textId="77777777" w:rsidR="00EB171F" w:rsidRDefault="002E650E">
      <w:pPr>
        <w:pStyle w:val="ListContinue"/>
        <w:numPr>
          <w:ilvl w:val="0"/>
          <w:numId w:val="2"/>
        </w:numPr>
      </w:pPr>
      <w:r>
        <w:t>&lt;</w:t>
      </w:r>
      <w:r>
        <w:rPr>
          <w:rFonts w:ascii="Courier" w:hAnsi="Courier"/>
        </w:rPr>
        <w:t>wit</w:t>
      </w:r>
      <w:r>
        <w:t>&gt;</w:t>
      </w:r>
      <w:bookmarkStart w:id="68" w:name="wit"/>
      <w:r>
        <w:t xml:space="preserve"> contains general information about a reading or a group of witnesses.</w:t>
      </w:r>
      <w:bookmarkEnd w:id="68"/>
    </w:p>
    <w:p w14:paraId="597811DB" w14:textId="77777777" w:rsidR="00EB171F" w:rsidRDefault="002E650E">
      <w:pPr>
        <w:pStyle w:val="ListContinue"/>
        <w:numPr>
          <w:ilvl w:val="0"/>
          <w:numId w:val="2"/>
        </w:numPr>
      </w:pPr>
      <w:r>
        <w:t>&lt;</w:t>
      </w:r>
      <w:r>
        <w:rPr>
          <w:rFonts w:ascii="Courier" w:hAnsi="Courier"/>
        </w:rPr>
        <w:t>witDetail</w:t>
      </w:r>
      <w:r>
        <w:t>&gt;</w:t>
      </w:r>
      <w:bookmarkStart w:id="69"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69"/>
    </w:p>
    <w:p w14:paraId="6E51DC97" w14:textId="77777777" w:rsidR="00EB171F" w:rsidRDefault="002E650E">
      <w:pPr>
        <w:pStyle w:val="ListContinue"/>
        <w:numPr>
          <w:ilvl w:val="0"/>
          <w:numId w:val="2"/>
        </w:numPr>
      </w:pPr>
      <w:r>
        <w:t>&lt;</w:t>
      </w:r>
      <w:r>
        <w:rPr>
          <w:rFonts w:ascii="Courier" w:hAnsi="Courier"/>
        </w:rPr>
        <w:t>note</w:t>
      </w:r>
      <w:r>
        <w:t>&gt;</w:t>
      </w:r>
      <w:bookmarkStart w:id="70" w:name="note"/>
      <w:r>
        <w:t xml:space="preserve"> (note) contains editorial comments, bibliographical references, or other information pertaining to the apparatus entry.</w:t>
      </w:r>
      <w:bookmarkEnd w:id="70"/>
    </w:p>
    <w:p w14:paraId="55888B7C" w14:textId="77777777" w:rsidR="00EB171F" w:rsidRDefault="002E650E">
      <w:r>
        <w:t>In traditional printed editions, the lemma may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14:paraId="725BECFC" w14:textId="77777777" w:rsidR="00EB171F" w:rsidRDefault="002E650E">
      <w:r>
        <w:t xml:space="preserve">In the </w:t>
      </w:r>
      <w:hyperlink r:id="rId30">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14:paraId="4B9F70B0" w14:textId="77777777" w:rsidR="00EB171F" w:rsidRDefault="002E650E">
      <w:r>
        <w:t xml:space="preserve">The patterns displayed below are designed to handle the various kinds of information conveyed in a typical apparatus criticus, including readings </w:t>
      </w:r>
      <w:r>
        <w:rPr>
          <w:rStyle w:val="teiforeign"/>
          <w:lang w:val="uz-Cyrl-UZ"/>
        </w:rPr>
        <w:t>ante correctionem</w:t>
      </w:r>
      <w:r>
        <w:t xml:space="preserve"> and </w:t>
      </w:r>
      <w:r>
        <w:rPr>
          <w:rStyle w:val="teiforeign"/>
          <w:lang w:val="uz-Cyrl-UZ"/>
        </w:rPr>
        <w:t>in rasura</w:t>
      </w:r>
      <w:r>
        <w:t>, among other paleographical and editorial details.</w:t>
      </w:r>
    </w:p>
    <w:p w14:paraId="3EB2F491" w14:textId="77777777" w:rsidR="00EB171F" w:rsidRDefault="002E650E">
      <w:pPr>
        <w:pStyle w:val="Heading2"/>
      </w:pPr>
      <w:bookmarkStart w:id="71" w:name="apparatus-criticus-basic-entry"/>
      <w:r>
        <w:lastRenderedPageBreak/>
        <w:t>Basic Reporting of a Variant Reading</w:t>
      </w:r>
      <w:bookmarkEnd w:id="71"/>
    </w:p>
    <w:p w14:paraId="725D3657" w14:textId="77777777" w:rsidR="00EB171F" w:rsidRDefault="002E650E">
      <w:r>
        <w:t>The most basic type of entry in an apparatus criticus reports only a variant reading, without editorial comment or a description of palaeographical details. The pattern is as follows:</w:t>
      </w:r>
    </w:p>
    <w:p w14:paraId="7CFA955F" w14:textId="77777777" w:rsidR="00EB171F" w:rsidRDefault="002E650E">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344161C3" w14:textId="77777777" w:rsidR="00EB171F" w:rsidRDefault="002E650E">
      <w:r>
        <w:t>In other words, &lt;</w:t>
      </w:r>
      <w:r>
        <w:rPr>
          <w:rFonts w:ascii="Courier" w:hAnsi="Courier"/>
        </w:rPr>
        <w:t>app</w:t>
      </w:r>
      <w:r>
        <w:t>&gt; begins the apparatus entry, followed by &lt;</w:t>
      </w:r>
      <w:r>
        <w:rPr>
          <w:rFonts w:ascii="Courier" w:hAnsi="Courier"/>
        </w:rPr>
        <w:t>lem</w:t>
      </w:r>
      <w:r>
        <w:t>&gt;, which contains the lemma for the entry. The lemma may be a single word or phrase or the 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4B50403E" w14:textId="77777777" w:rsidR="00EB171F" w:rsidRDefault="002E650E">
      <w:r>
        <w:t>If there is more than one variant reading to be reported, new &lt;</w:t>
      </w:r>
      <w:r>
        <w:rPr>
          <w:rFonts w:ascii="Courier" w:hAnsi="Courier"/>
        </w:rPr>
        <w:t>rdg</w:t>
      </w:r>
      <w:r>
        <w:t>&gt; elements should be added for each one.</w:t>
      </w:r>
    </w:p>
    <w:p w14:paraId="60BD7286" w14:textId="77777777" w:rsidR="00EB171F" w:rsidRDefault="002E650E">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5EDF5D03" w14:textId="77777777" w:rsidR="00EB171F" w:rsidRDefault="002E650E">
      <w:r>
        <w:t>It is up to the editor to decide whether to list the witnesses for the lemma. In many cases, it can be inferred that the lemma is supported by most of the evidence. All readings, however, should include witnesses or sources so that users will be able to track that information.</w:t>
      </w:r>
    </w:p>
    <w:p w14:paraId="3A00303B" w14:textId="77777777" w:rsidR="00EB171F" w:rsidRDefault="002E650E">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34470FBE" w14:textId="77777777" w:rsidR="00EB171F" w:rsidRDefault="002E650E">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r>
      <w:r>
        <w:lastRenderedPageBreak/>
        <w:t>&lt;!-- text of variant reading goes here --&gt;</w:t>
      </w:r>
      <w:r>
        <w:br/>
        <w:t> &lt;/</w:t>
      </w:r>
      <w:r>
        <w:rPr>
          <w:b/>
        </w:rPr>
        <w:t>rdg</w:t>
      </w:r>
      <w:r>
        <w:t>&gt;</w:t>
      </w:r>
      <w:r>
        <w:br/>
        <w:t>&lt;/</w:t>
      </w:r>
      <w:r>
        <w:rPr>
          <w:b/>
        </w:rPr>
        <w:t>app</w:t>
      </w:r>
      <w:r>
        <w:t>&gt;</w:t>
      </w:r>
    </w:p>
    <w:p w14:paraId="2533AA5E" w14:textId="77777777" w:rsidR="00EB171F" w:rsidRDefault="002E650E">
      <w:r>
        <w:t xml:space="preserve">If there is more than one witness for a reading, the sigla should be values for </w:t>
      </w:r>
      <w:r>
        <w:rPr>
          <w:i/>
        </w:rPr>
        <w:t>@wit</w:t>
      </w:r>
      <w:r>
        <w:t xml:space="preserve"> separated by spaces.</w:t>
      </w:r>
    </w:p>
    <w:p w14:paraId="4A1B906B" w14:textId="77777777" w:rsidR="00EB171F" w:rsidRDefault="002E650E">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1E804286" w14:textId="77777777" w:rsidR="00EB171F" w:rsidRDefault="002E650E">
      <w:r>
        <w:t xml:space="preserve">If it is desirable to indicate that a reading is found in a manuscript and a modern edition or other source, the same pattern applies, with the addition of </w:t>
      </w:r>
      <w:r>
        <w:rPr>
          <w:i/>
        </w:rPr>
        <w:t>@source</w:t>
      </w:r>
      <w:r>
        <w:t>.</w:t>
      </w:r>
    </w:p>
    <w:p w14:paraId="3984C681" w14:textId="77777777" w:rsidR="00EB171F" w:rsidRDefault="002E650E">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source</w:t>
      </w:r>
      <w:r>
        <w:t>="#Vettel #Grosjean"</w:t>
      </w:r>
      <w:r>
        <w:br/>
        <w:t>  </w:t>
      </w:r>
      <w:r>
        <w:rPr>
          <w:b/>
        </w:rPr>
        <w:t>wit</w:t>
      </w:r>
      <w:r>
        <w:t>="#B #C"&gt;</w:t>
      </w:r>
      <w:r>
        <w:br/>
        <w:t>&lt;!-- text of reading goes here --&gt;</w:t>
      </w:r>
      <w:r>
        <w:br/>
        <w:t> &lt;/</w:t>
      </w:r>
      <w:r>
        <w:rPr>
          <w:b/>
        </w:rPr>
        <w:t>rdg</w:t>
      </w:r>
      <w:r>
        <w:t>&gt;</w:t>
      </w:r>
      <w:r>
        <w:br/>
        <w:t>&lt;/</w:t>
      </w:r>
      <w:r>
        <w:rPr>
          <w:b/>
        </w:rPr>
        <w:t>app</w:t>
      </w:r>
      <w:r>
        <w:t>&gt;</w:t>
      </w:r>
    </w:p>
    <w:p w14:paraId="35C002B4" w14:textId="77777777" w:rsidR="00EB171F" w:rsidRDefault="002E650E">
      <w:pPr>
        <w:pStyle w:val="Heading3"/>
      </w:pPr>
      <w:bookmarkStart w:id="72" w:name="apparatus-criticus-basic-entry-examples"/>
      <w:r>
        <w:t>Examples of basic apparatus criticus entries</w:t>
      </w:r>
      <w:bookmarkEnd w:id="72"/>
    </w:p>
    <w:p w14:paraId="223483F1" w14:textId="77777777" w:rsidR="00EB171F" w:rsidRDefault="002E650E">
      <w:r>
        <w:t>At Calpurnius (Calp.) 1.2 (</w:t>
      </w:r>
      <w:r>
        <w:rPr>
          <w:rStyle w:val="teiforeign"/>
          <w:lang w:val="uz-Cyrl-UZ"/>
        </w:rPr>
        <w:t>quamvis et madidis incumbant praela racemis</w:t>
      </w:r>
      <w:r>
        <w:t xml:space="preserve">), the manuscript </w:t>
      </w:r>
      <w:r>
        <w:rPr>
          <w:b/>
        </w:rPr>
        <w:t>P</w:t>
      </w:r>
      <w:r>
        <w:t xml:space="preserve"> has </w:t>
      </w:r>
      <w:r>
        <w:rPr>
          <w:rStyle w:val="teiforeign"/>
          <w:lang w:val="uz-Cyrl-UZ"/>
        </w:rPr>
        <w:t>praeda</w:t>
      </w:r>
      <w:r>
        <w:t xml:space="preserve"> where the lemma is </w:t>
      </w:r>
      <w:r>
        <w:rPr>
          <w:rStyle w:val="teiforeign"/>
          <w:lang w:val="uz-Cyrl-UZ"/>
        </w:rPr>
        <w:t>praela</w:t>
      </w:r>
      <w:r>
        <w:t xml:space="preserve">. In a traditional apparatus criticus, this would be printed as follows: 2 praeda </w:t>
      </w:r>
      <w:r>
        <w:rPr>
          <w:b/>
        </w:rPr>
        <w:t>P</w:t>
      </w:r>
      <w:r>
        <w:t>.</w:t>
      </w:r>
    </w:p>
    <w:p w14:paraId="53B67224" w14:textId="77777777" w:rsidR="00EB171F" w:rsidRDefault="002E650E">
      <w:r>
        <w:t>The following pattern demonstrates how to encode the entry in according to these guidelines:</w:t>
      </w:r>
    </w:p>
    <w:p w14:paraId="1945B4C2" w14:textId="77777777" w:rsidR="00EB171F" w:rsidRDefault="002E650E">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22343C9D" w14:textId="77777777" w:rsidR="00EB171F" w:rsidRDefault="002E650E">
      <w:r>
        <w:t>This encoding can be rendered in the traditional manner, or it can be used in an interactive apparatus to swap the variant with the lemma in the main edition text.</w:t>
      </w:r>
    </w:p>
    <w:p w14:paraId="4906071C" w14:textId="77777777" w:rsidR="00EB171F" w:rsidRDefault="002E650E">
      <w:r>
        <w:t xml:space="preserve">The lemma </w:t>
      </w:r>
      <w:r>
        <w:rPr>
          <w:rStyle w:val="teiforeign"/>
          <w:lang w:val="uz-Cyrl-UZ"/>
        </w:rPr>
        <w:t>quamvis</w:t>
      </w:r>
      <w:r>
        <w:t xml:space="preserve"> in the same line demonstrates how to indicate that a variant has more than one witness:</w:t>
      </w:r>
    </w:p>
    <w:p w14:paraId="074BA03B" w14:textId="77777777" w:rsidR="00EB171F" w:rsidRDefault="002E650E">
      <w:pPr>
        <w:pStyle w:val="Special"/>
      </w:pPr>
      <w:r>
        <w:lastRenderedPageBreak/>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7B4EAFDA" w14:textId="77777777" w:rsidR="00EB171F" w:rsidRDefault="002E650E">
      <w:r>
        <w:t>The witnesses are listed here in chronological order, but an editor may wish to use a different ordering principle. The order should be described and explained in the preface.</w:t>
      </w:r>
    </w:p>
    <w:p w14:paraId="14BD35C9" w14:textId="77777777" w:rsidR="00EB171F" w:rsidRDefault="002E650E">
      <w:r>
        <w:t>The following example demonstrates how to encode a reading supported by a witness and a source.</w:t>
      </w:r>
    </w:p>
    <w:p w14:paraId="39C50F9A" w14:textId="77777777" w:rsidR="00EB171F" w:rsidRDefault="002E650E">
      <w:pPr>
        <w:pStyle w:val="Special"/>
      </w:pPr>
      <w:r>
        <w:t>&lt;</w:t>
      </w:r>
      <w:r>
        <w:rPr>
          <w:b/>
        </w:rPr>
        <w:t>app</w:t>
      </w:r>
      <w:r>
        <w:t>&gt;</w:t>
      </w:r>
      <w:r>
        <w:br/>
        <w:t> &lt;</w:t>
      </w:r>
      <w:r>
        <w:rPr>
          <w:b/>
        </w:rPr>
        <w:t>lem</w:t>
      </w:r>
      <w:r>
        <w:t>&gt;sequor&lt;/</w:t>
      </w:r>
      <w:r>
        <w:rPr>
          <w:b/>
        </w:rPr>
        <w:t>lem</w:t>
      </w:r>
      <w:r>
        <w:t>&gt;</w:t>
      </w:r>
      <w:r>
        <w:br/>
        <w:t> &lt;</w:t>
      </w:r>
      <w:r>
        <w:rPr>
          <w:b/>
        </w:rPr>
        <w:t>rdg</w:t>
      </w:r>
      <w:r>
        <w:t> </w:t>
      </w:r>
      <w:r>
        <w:rPr>
          <w:b/>
        </w:rPr>
        <w:t>source</w:t>
      </w:r>
      <w:r>
        <w:t>="#Glaeser" </w:t>
      </w:r>
      <w:r>
        <w:rPr>
          <w:b/>
        </w:rPr>
        <w:t>wit</w:t>
      </w:r>
      <w:r>
        <w:t>="#N"&gt;sequar&lt;/</w:t>
      </w:r>
      <w:r>
        <w:rPr>
          <w:b/>
        </w:rPr>
        <w:t>rdg</w:t>
      </w:r>
      <w:r>
        <w:t>&gt;</w:t>
      </w:r>
      <w:r>
        <w:br/>
        <w:t>&lt;/</w:t>
      </w:r>
      <w:r>
        <w:rPr>
          <w:b/>
        </w:rPr>
        <w:t>app</w:t>
      </w:r>
      <w:r>
        <w:t>&gt;</w:t>
      </w:r>
    </w:p>
    <w:p w14:paraId="57F44788" w14:textId="77777777" w:rsidR="00EB171F" w:rsidRDefault="002E650E">
      <w:pPr>
        <w:pStyle w:val="Heading2"/>
      </w:pPr>
      <w:bookmarkStart w:id="73" w:name="apparatus-criticus-basic-entry-cross-ele"/>
      <w:r>
        <w:t>Apparatus Entries That Cross Structural Boundaries</w:t>
      </w:r>
      <w:bookmarkEnd w:id="73"/>
    </w:p>
    <w:p w14:paraId="51691C46" w14:textId="77777777" w:rsidR="00EB171F" w:rsidRDefault="002E650E">
      <w: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486E8A89" w14:textId="77777777" w:rsidR="00EB171F" w:rsidRDefault="002E650E">
      <w:r>
        <w:t xml:space="preserve">For example, the witness </w:t>
      </w:r>
      <w:r>
        <w:rPr>
          <w:b/>
        </w:rPr>
        <w:t>V</w:t>
      </w:r>
      <w:r>
        <w:t xml:space="preserve"> omits the final word of section 18.3 and all of section 18.4 from the </w:t>
      </w:r>
      <w:r w:rsidRPr="002E650E">
        <w:rPr>
          <w:i/>
        </w:rPr>
        <w:t>Bellum Alexandrinum</w:t>
      </w:r>
      <w:r>
        <w:t xml:space="preserve">. In a print edition, it would be possible to write the following: enatauerunt …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53C59331" w14:textId="77777777" w:rsidR="00EB171F" w:rsidRDefault="002E650E">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5DACAE71" w14:textId="77777777" w:rsidR="00EB171F" w:rsidRDefault="002E650E">
      <w:r>
        <w:t>This particular example could also be handled with &lt;</w:t>
      </w:r>
      <w:r>
        <w:rPr>
          <w:rFonts w:ascii="Courier" w:hAnsi="Courier"/>
        </w:rPr>
        <w:t>lacunaStart</w:t>
      </w:r>
      <w:r>
        <w:t>&gt; and &lt;</w:t>
      </w:r>
      <w:r>
        <w:rPr>
          <w:rFonts w:ascii="Courier" w:hAnsi="Courier"/>
        </w:rPr>
        <w:t>lacunaEnd</w:t>
      </w:r>
      <w:r>
        <w:t>&gt;, as described in the section "</w:t>
      </w:r>
      <w:r>
        <w:fldChar w:fldCharType="begin"/>
      </w:r>
      <w:r>
        <w:instrText>REF apparatus-criticus-gaps \n \h</w:instrText>
      </w:r>
      <w:r>
        <w:fldChar w:fldCharType="separate"/>
      </w:r>
      <w:r>
        <w:t>Gaps in Witnesses</w:t>
      </w:r>
      <w:r>
        <w:fldChar w:fldCharType="end"/>
      </w:r>
      <w:r>
        <w:t>."</w:t>
      </w:r>
    </w:p>
    <w:p w14:paraId="44AD179E" w14:textId="77777777" w:rsidR="00EB171F" w:rsidRDefault="002E650E">
      <w:pPr>
        <w:pStyle w:val="Heading2"/>
      </w:pPr>
      <w:bookmarkStart w:id="74" w:name="apparatus-criticus-multiple-entries"/>
      <w:r>
        <w:lastRenderedPageBreak/>
        <w:t>Variations on Readings in a Group of Witnesses/Sources</w:t>
      </w:r>
      <w:bookmarkEnd w:id="74"/>
    </w:p>
    <w:p w14:paraId="3F6FD7D3" w14:textId="77777777" w:rsidR="00EB171F" w:rsidRDefault="002E650E">
      <w:r>
        <w:t>For the sake of keeping the emphasis on the grouping of witnesses or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note</w:t>
      </w:r>
      <w:r>
        <w:t>&gt; can be used.</w:t>
      </w:r>
    </w:p>
    <w:p w14:paraId="40B781CF" w14:textId="77777777" w:rsidR="00EB171F" w:rsidRDefault="002E650E">
      <w:pPr>
        <w:pStyle w:val="ListContinue"/>
        <w:numPr>
          <w:ilvl w:val="0"/>
          <w:numId w:val="2"/>
        </w:numPr>
      </w:pPr>
      <w:r>
        <w:t>&lt;</w:t>
      </w:r>
      <w:r>
        <w:rPr>
          <w:rFonts w:ascii="Courier" w:hAnsi="Courier"/>
        </w:rPr>
        <w:t>rdgGrp</w:t>
      </w:r>
      <w:r>
        <w:t>&gt; (reading group) contains two or more readings (&lt;</w:t>
      </w:r>
      <w:r>
        <w:rPr>
          <w:rFonts w:ascii="Courier" w:hAnsi="Courier"/>
        </w:rPr>
        <w:t>rdg</w:t>
      </w:r>
      <w:r>
        <w:t>&gt;) related to each other in some way.</w:t>
      </w:r>
    </w:p>
    <w:p w14:paraId="5AFBB8F7" w14:textId="77777777" w:rsidR="00EB171F" w:rsidRDefault="002E650E">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lang w:val="uz-Cyrl-UZ"/>
        </w:rPr>
        <w:t>an</w:t>
      </w:r>
      <w:r>
        <w:t xml:space="preserve">, </w:t>
      </w:r>
      <w:r>
        <w:rPr>
          <w:rStyle w:val="teiforeign"/>
          <w:lang w:val="uz-Cyrl-UZ"/>
        </w:rPr>
        <w:t>aut</w:t>
      </w:r>
      <w:r>
        <w:t xml:space="preserve">, or </w:t>
      </w:r>
      <w:r>
        <w:rPr>
          <w:rStyle w:val="teiforeign"/>
          <w:lang w:val="uz-Cyrl-UZ"/>
        </w:rPr>
        <w:t>vel</w:t>
      </w:r>
      <w:r>
        <w:t>)</w:t>
      </w:r>
    </w:p>
    <w:p w14:paraId="05F3C29C" w14:textId="77777777" w:rsidR="00EB171F" w:rsidRDefault="002E650E">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737D9D35" w14:textId="77777777" w:rsidR="00EB171F" w:rsidRDefault="002E650E">
      <w:pPr>
        <w:pStyle w:val="Heading2"/>
      </w:pPr>
      <w:bookmarkStart w:id="75" w:name="apparatus-criticus-catch-all-references"/>
      <w:r>
        <w:t>Use of Catch-all References in the Critical Apparatus</w:t>
      </w:r>
      <w:bookmarkEnd w:id="75"/>
    </w:p>
    <w:p w14:paraId="3504DF7C" w14:textId="77777777" w:rsidR="00EB171F" w:rsidRDefault="002E650E">
      <w:r>
        <w:t>If it is desirable to use a consensus reference (e.g., ω, ς) or a catch-all reference (e.g., codd., mss., cett., edd.) the references must be defined in the bibliography of the edition according to the guidelines in the section “</w:t>
      </w:r>
      <w:r>
        <w:fldChar w:fldCharType="begin"/>
      </w:r>
      <w:r>
        <w:instrText>REF bibliography-sigla-catch-all \n \h</w:instrText>
      </w:r>
      <w:r>
        <w:fldChar w:fldCharType="separate"/>
      </w:r>
      <w:r>
        <w:t>Catch-all References</w:t>
      </w:r>
      <w:r>
        <w:fldChar w:fldCharType="end"/>
      </w:r>
      <w:r>
        <w:t>.” This section demonstrates how to insert catch-all references into the apparatus.</w:t>
      </w:r>
    </w:p>
    <w:p w14:paraId="16FE5AD0" w14:textId="77777777" w:rsidR="00EB171F" w:rsidRDefault="002E650E">
      <w:r>
        <w:t xml:space="preserve">If consensus or catch-all references are used without any additional annotation, they may be treated like any other witness or source (i.e., as values of </w:t>
      </w:r>
      <w:r>
        <w:rPr>
          <w:i/>
        </w:rPr>
        <w:t>@wit</w:t>
      </w:r>
      <w:r>
        <w:t xml:space="preserve"> or </w:t>
      </w:r>
      <w:r>
        <w:rPr>
          <w:i/>
        </w:rPr>
        <w:t>@source</w:t>
      </w:r>
      <w:r>
        <w:t>), provided that they have both machine- and human-readable sigla.</w:t>
      </w:r>
    </w:p>
    <w:p w14:paraId="36EE8AF8" w14:textId="77777777" w:rsidR="00EB171F" w:rsidRDefault="002E650E">
      <w:r>
        <w:t>If they are annotated (e.g., edd. ante Glaeser), they must be encoded in &lt;</w:t>
      </w:r>
      <w:r>
        <w:rPr>
          <w:rFonts w:ascii="Courier" w:hAnsi="Courier"/>
        </w:rPr>
        <w:t>wit</w:t>
      </w:r>
      <w:r>
        <w:t>&gt; according to the guidelines below.</w:t>
      </w:r>
    </w:p>
    <w:p w14:paraId="785628C7" w14:textId="77777777" w:rsidR="00EB171F" w:rsidRDefault="002E650E">
      <w:pPr>
        <w:pStyle w:val="ListContinue"/>
        <w:numPr>
          <w:ilvl w:val="0"/>
          <w:numId w:val="2"/>
        </w:numPr>
      </w:pPr>
      <w:r>
        <w:t>&lt;</w:t>
      </w:r>
      <w:r>
        <w:rPr>
          <w:rFonts w:ascii="Courier" w:hAnsi="Courier"/>
        </w:rPr>
        <w:t>wit</w:t>
      </w:r>
      <w:r>
        <w:t>&gt; contains a catch-all reference to a group of manuscripts, editions, or other materials.</w:t>
      </w:r>
    </w:p>
    <w:p w14:paraId="1C674E96" w14:textId="77777777" w:rsidR="00EB171F" w:rsidRDefault="002E650E">
      <w:pPr>
        <w:pStyle w:val="ListContinue"/>
        <w:numPr>
          <w:ilvl w:val="0"/>
          <w:numId w:val="2"/>
        </w:numPr>
      </w:pPr>
      <w:r>
        <w:t>&lt;</w:t>
      </w:r>
      <w:r>
        <w:rPr>
          <w:rFonts w:ascii="Courier" w:hAnsi="Courier"/>
        </w:rPr>
        <w:t>ref</w:t>
      </w:r>
      <w:r>
        <w:t>&gt; contains machine- and human-readable references to an item in the bibliography.</w:t>
      </w:r>
    </w:p>
    <w:p w14:paraId="423E805F" w14:textId="77777777" w:rsidR="00EB171F" w:rsidRDefault="002E650E">
      <w:r>
        <w:t>In the following example, the editor wishes to show that the editions are divided, with one in particular (Glaeser) marking a definitive shift in preference.</w:t>
      </w:r>
    </w:p>
    <w:p w14:paraId="72CF98F8" w14:textId="77777777" w:rsidR="00EB171F" w:rsidRDefault="002E650E">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r>
      <w:r>
        <w:lastRenderedPageBreak/>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212C67D8" w14:textId="77777777" w:rsidR="00EB171F" w:rsidRDefault="002E650E">
      <w:r>
        <w:t>This may be displayed or printed as vicit] N P Glaeser sqq. : vīcit G : ludit d : lusit V edd. ante Glaeser : visit μ : om. γ.</w:t>
      </w:r>
    </w:p>
    <w:p w14:paraId="3F9885C9" w14:textId="77777777" w:rsidR="00EB171F" w:rsidRDefault="002E650E">
      <w:pPr>
        <w:pStyle w:val="Heading2"/>
      </w:pPr>
      <w:bookmarkStart w:id="76" w:name="apparatus-criticus-omission"/>
      <w:r>
        <w:t>Omission</w:t>
      </w:r>
      <w:bookmarkEnd w:id="76"/>
    </w:p>
    <w:p w14:paraId="59515253" w14:textId="77777777" w:rsidR="00EB171F" w:rsidRDefault="002E650E">
      <w:r>
        <w:t>Omission is different from a lacuna, which is the absence of an unknown or uncertain quantity of text from the tradition in general. This section explains how to encode omission of known quantities of text from a particular witness or witnesses. Three kinds of omission are discussed here:</w:t>
      </w:r>
    </w:p>
    <w:p w14:paraId="1FD01FFB" w14:textId="77777777" w:rsidR="00EB171F" w:rsidRDefault="002E650E">
      <w:pPr>
        <w:pStyle w:val="ListContinue"/>
        <w:numPr>
          <w:ilvl w:val="0"/>
          <w:numId w:val="2"/>
        </w:numPr>
      </w:pPr>
      <w:r>
        <w:t>omission of a letter or letters, words, phrases, or lines in a witness or family of witnesses</w:t>
      </w:r>
    </w:p>
    <w:p w14:paraId="0E67B442" w14:textId="77777777" w:rsidR="00EB171F" w:rsidRDefault="002E650E">
      <w:pPr>
        <w:pStyle w:val="ListContinue"/>
        <w:numPr>
          <w:ilvl w:val="0"/>
          <w:numId w:val="2"/>
        </w:numPr>
      </w:pPr>
      <w:r>
        <w:t>omission of a known or estimated quantity of letters</w:t>
      </w:r>
    </w:p>
    <w:p w14:paraId="3B7AF3CF" w14:textId="77777777" w:rsidR="00EB171F" w:rsidRDefault="002E650E">
      <w:pPr>
        <w:pStyle w:val="ListContinue"/>
        <w:numPr>
          <w:ilvl w:val="0"/>
          <w:numId w:val="2"/>
        </w:numPr>
      </w:pPr>
      <w:r>
        <w:t>a substantial gap in a witness or family of witnesses</w:t>
      </w:r>
    </w:p>
    <w:p w14:paraId="76E83000" w14:textId="77777777" w:rsidR="00EB171F" w:rsidRDefault="002E650E">
      <w:r>
        <w:t>.</w:t>
      </w:r>
    </w:p>
    <w:p w14:paraId="44866E1B" w14:textId="77777777" w:rsidR="00EB171F" w:rsidRDefault="002E650E">
      <w:r>
        <w:t>Related sections:</w:t>
      </w:r>
    </w:p>
    <w:p w14:paraId="743AD041" w14:textId="77777777" w:rsidR="00EB171F" w:rsidRDefault="002E650E">
      <w:pPr>
        <w:pStyle w:val="ListContinue"/>
        <w:numPr>
          <w:ilvl w:val="0"/>
          <w:numId w:val="2"/>
        </w:numPr>
      </w:pPr>
      <w:r>
        <w:fldChar w:fldCharType="begin"/>
      </w:r>
      <w:r>
        <w:instrText>REF edition-text-lacunae \n \h</w:instrText>
      </w:r>
      <w:r>
        <w:fldChar w:fldCharType="separate"/>
      </w:r>
      <w:r>
        <w:t>Lacuna</w:t>
      </w:r>
      <w:r>
        <w:fldChar w:fldCharType="end"/>
      </w:r>
    </w:p>
    <w:p w14:paraId="0F5454A3" w14:textId="77777777" w:rsidR="00EB171F" w:rsidRDefault="002E650E">
      <w:pPr>
        <w:pStyle w:val="ListContinue"/>
        <w:numPr>
          <w:ilvl w:val="0"/>
          <w:numId w:val="2"/>
        </w:numPr>
      </w:pPr>
      <w:r>
        <w:fldChar w:fldCharType="begin"/>
      </w:r>
      <w:r>
        <w:instrText>REF apparatus-criticus-conjecture-and-emendation-lacunae \n \h</w:instrText>
      </w:r>
      <w:r>
        <w:fldChar w:fldCharType="separate"/>
      </w:r>
      <w:r>
        <w:t>Conjectured Lacuna</w:t>
      </w:r>
      <w:r>
        <w:fldChar w:fldCharType="end"/>
      </w:r>
    </w:p>
    <w:p w14:paraId="313FB0FB" w14:textId="77777777" w:rsidR="00EB171F" w:rsidRDefault="002E650E">
      <w:pPr>
        <w:pStyle w:val="ListContinue"/>
        <w:numPr>
          <w:ilvl w:val="0"/>
          <w:numId w:val="2"/>
        </w:numPr>
      </w:pPr>
      <w:r>
        <w:fldChar w:fldCharType="begin"/>
      </w:r>
      <w:r>
        <w:instrText>REF apparatus-criticus-deletion-witness \n \h</w:instrText>
      </w:r>
      <w:r>
        <w:fldChar w:fldCharType="separate"/>
      </w:r>
      <w:r>
        <w:t>Deletions</w:t>
      </w:r>
      <w:r>
        <w:fldChar w:fldCharType="end"/>
      </w:r>
    </w:p>
    <w:p w14:paraId="737556C3" w14:textId="77777777" w:rsidR="00EB171F" w:rsidRDefault="002E650E">
      <w:pPr>
        <w:pStyle w:val="Heading3"/>
      </w:pPr>
      <w:bookmarkStart w:id="77" w:name="apparatus-criticus-omission-text"/>
      <w:r>
        <w:t>Omission of a Letter or Letters, Words, Phrases, or Lines</w:t>
      </w:r>
      <w:bookmarkEnd w:id="77"/>
    </w:p>
    <w:p w14:paraId="778E5EEA" w14:textId="77777777" w:rsidR="00EB171F" w:rsidRDefault="002E650E">
      <w:r>
        <w:t>Witnesses and sources sometimes omit items from the text. This section describes how to encode those omissions.</w:t>
      </w:r>
    </w:p>
    <w:p w14:paraId="2BDC1C63" w14:textId="77777777" w:rsidR="00EB171F" w:rsidRDefault="002E650E">
      <w:r>
        <w:t xml:space="preserve">For example, the witness known as </w:t>
      </w:r>
      <w:r>
        <w:rPr>
          <w:b/>
        </w:rPr>
        <w:t>P</w:t>
      </w:r>
      <w:r>
        <w:t xml:space="preserve"> omitted the word </w:t>
      </w:r>
      <w:r>
        <w:rPr>
          <w:rStyle w:val="teiforeign"/>
          <w:lang w:val="uz-Cyrl-UZ"/>
        </w:rPr>
        <w:t>pecus</w:t>
      </w:r>
      <w:r>
        <w:t xml:space="preserve"> from Calp. 1.38: </w:t>
      </w:r>
      <w:r>
        <w:rPr>
          <w:rStyle w:val="teiforeign"/>
          <w:lang w:val="uz-Cyrl-UZ"/>
        </w:rPr>
        <w:t>securo custode pecus nocturnaque pastor</w:t>
      </w:r>
      <w:r>
        <w:t xml:space="preserve">. The traditional apparatus criticus indicates the omission as follows: pecus </w:t>
      </w:r>
      <w:r>
        <w:rPr>
          <w:i/>
        </w:rPr>
        <w:t>om.</w:t>
      </w:r>
      <w:r>
        <w:rPr>
          <w:b/>
        </w:rPr>
        <w:t>P</w:t>
      </w:r>
    </w:p>
    <w:p w14:paraId="3639D2AA" w14:textId="77777777" w:rsidR="00EB171F" w:rsidRDefault="002E650E">
      <w:r>
        <w:t>In these guidelines, omission is represented by a so-called "self-closing" or empty &lt;</w:t>
      </w:r>
      <w:r>
        <w:rPr>
          <w:rFonts w:ascii="Courier" w:hAnsi="Courier"/>
        </w:rPr>
        <w:t>rdg</w:t>
      </w:r>
      <w:r>
        <w:t>&gt; (i.e., &lt;rdg /&gt;):</w:t>
      </w:r>
    </w:p>
    <w:p w14:paraId="63538F49" w14:textId="77777777" w:rsidR="00EB171F" w:rsidRDefault="002E650E">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17ACC0F5" w14:textId="77777777" w:rsidR="00EB171F" w:rsidRDefault="002E650E">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59733DE3" w14:textId="77777777" w:rsidR="00EB171F" w:rsidRDefault="002E650E">
      <w:pPr>
        <w:pStyle w:val="Special"/>
      </w:pPr>
      <w:r>
        <w:lastRenderedPageBreak/>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351A00DC" w14:textId="77777777" w:rsidR="00EB171F" w:rsidRDefault="002E650E">
      <w:r>
        <w:t>This will be displayed in the apparatus criticus as ‘</w:t>
      </w:r>
      <w:r>
        <w:rPr>
          <w:i/>
        </w:rPr>
        <w:t>vers. om.</w:t>
      </w:r>
      <w:r>
        <w:t xml:space="preserve">  </w:t>
      </w:r>
      <w:r>
        <w:rPr>
          <w:b/>
        </w:rPr>
        <w:t>n h</w:t>
      </w:r>
      <w:r>
        <w:t>’</w:t>
      </w:r>
    </w:p>
    <w:p w14:paraId="419FD821" w14:textId="77777777" w:rsidR="00EB171F" w:rsidRDefault="002E650E">
      <w:pPr>
        <w:pStyle w:val="Heading3"/>
      </w:pPr>
      <w:bookmarkStart w:id="78" w:name="apparatus-criticus-omission-known-loss-c"/>
      <w:r>
        <w:t>Known Amount Of Characters Lost</w:t>
      </w:r>
      <w:bookmarkEnd w:id="78"/>
    </w:p>
    <w:p w14:paraId="2C334C85" w14:textId="77777777" w:rsidR="00EB171F" w:rsidRDefault="002E650E">
      <w:r>
        <w:t>[ . . . ] = The editor knows from context and/or observation how many characters have been lost. Each dot represents a missing character.</w:t>
      </w:r>
    </w:p>
    <w:p w14:paraId="470B5EB0" w14:textId="77777777" w:rsidR="00EB171F" w:rsidRDefault="002E650E">
      <w:pPr>
        <w:pStyle w:val="ListContinue"/>
        <w:numPr>
          <w:ilvl w:val="0"/>
          <w:numId w:val="2"/>
        </w:numPr>
      </w:pPr>
      <w:r>
        <w:t>&lt;</w:t>
      </w:r>
      <w:r>
        <w:rPr>
          <w:rFonts w:ascii="Courier" w:hAnsi="Courier"/>
        </w:rPr>
        <w:t>gap</w:t>
      </w:r>
      <w:r>
        <w:t>&gt; signifies text is missing.</w:t>
      </w:r>
    </w:p>
    <w:p w14:paraId="1A3C4DA6" w14:textId="77777777" w:rsidR="00EB171F" w:rsidRDefault="002E650E">
      <w:pPr>
        <w:pStyle w:val="ListContinue"/>
        <w:numPr>
          <w:ilvl w:val="0"/>
          <w:numId w:val="2"/>
        </w:numPr>
      </w:pPr>
      <w:r>
        <w:rPr>
          <w:i/>
        </w:rPr>
        <w:t>@reason</w:t>
      </w:r>
      <w:r>
        <w:t xml:space="preserve"> with value "lost" indicates that the text has been lost.</w:t>
      </w:r>
    </w:p>
    <w:p w14:paraId="167B8644" w14:textId="77777777" w:rsidR="00EB171F" w:rsidRDefault="002E650E">
      <w:pPr>
        <w:pStyle w:val="ListContinue"/>
        <w:numPr>
          <w:ilvl w:val="0"/>
          <w:numId w:val="2"/>
        </w:numPr>
      </w:pPr>
      <w:r>
        <w:rPr>
          <w:i/>
        </w:rPr>
        <w:t>@quantity</w:t>
      </w:r>
      <w:r>
        <w:t xml:space="preserve"> indicates the number of characters lost.</w:t>
      </w:r>
    </w:p>
    <w:p w14:paraId="1BDA9195" w14:textId="77777777" w:rsidR="00EB171F" w:rsidRDefault="002E650E">
      <w:pPr>
        <w:pStyle w:val="ListContinue"/>
        <w:numPr>
          <w:ilvl w:val="0"/>
          <w:numId w:val="2"/>
        </w:numPr>
      </w:pPr>
      <w:r>
        <w:rPr>
          <w:i/>
        </w:rPr>
        <w:t>@unit</w:t>
      </w:r>
      <w:r>
        <w:t xml:space="preserve"> with value "characters" indicates the unit measured in </w:t>
      </w:r>
      <w:r>
        <w:rPr>
          <w:i/>
        </w:rPr>
        <w:t>@quantity</w:t>
      </w:r>
      <w:r>
        <w:t>.</w:t>
      </w:r>
    </w:p>
    <w:p w14:paraId="2B0FC16B" w14:textId="77777777" w:rsidR="00EB171F" w:rsidRDefault="002E650E">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to lemma </w:t>
      </w:r>
      <w:r>
        <w:rPr>
          <w:rStyle w:val="teiforeign"/>
          <w:lang w:val="uz-Cyrl-UZ"/>
        </w:rPr>
        <w:t>spiritus amnis</w:t>
      </w:r>
      <w:r>
        <w:t>: ‘spc̅ N (deinde lac. 6 litt.)’.</w:t>
      </w:r>
    </w:p>
    <w:p w14:paraId="167BF9DE" w14:textId="77777777" w:rsidR="00EB171F" w:rsidRDefault="002E650E">
      <w:r>
        <w:t>In an LDLT edition, that would be encoded as follows:</w:t>
      </w:r>
    </w:p>
    <w:p w14:paraId="2D2D84E1"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app</w:t>
      </w:r>
      <w:r>
        <w:t>&gt;? &lt;/</w:t>
      </w:r>
      <w:r>
        <w:rPr>
          <w:b/>
        </w:rPr>
        <w:t>l</w:t>
      </w:r>
      <w:r>
        <w:t>&gt;</w:t>
      </w:r>
    </w:p>
    <w:p w14:paraId="464F6D4D" w14:textId="77777777" w:rsidR="00EB171F" w:rsidRDefault="002E650E">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7020FA56"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="#rdg-4.4-spiritus-amnis"</w:t>
      </w:r>
      <w:r>
        <w:br/>
        <w:t>   </w:t>
      </w:r>
      <w:r>
        <w:rPr>
          <w:b/>
        </w:rPr>
        <w:t>wit</w:t>
      </w:r>
      <w:r>
        <w:t>="#N"&gt;lac. 6</w:t>
      </w:r>
      <w:r>
        <w:br/>
        <w:t>     litt.&lt;/</w:t>
      </w:r>
      <w:r>
        <w:rPr>
          <w:b/>
        </w:rPr>
        <w:t>witDetail</w:t>
      </w:r>
      <w:r>
        <w:t>&gt;</w:t>
      </w:r>
      <w:r>
        <w:br/>
        <w:t> &lt;/</w:t>
      </w:r>
      <w:r>
        <w:rPr>
          <w:b/>
        </w:rPr>
        <w:t>app</w:t>
      </w:r>
      <w:r>
        <w:t>&gt;? &lt;/</w:t>
      </w:r>
      <w:r>
        <w:rPr>
          <w:b/>
        </w:rPr>
        <w:t>l</w:t>
      </w:r>
      <w:r>
        <w:t>&gt;</w:t>
      </w:r>
    </w:p>
    <w:p w14:paraId="3C30AD81" w14:textId="77777777" w:rsidR="00EB171F" w:rsidRDefault="002E650E">
      <w:pPr>
        <w:pStyle w:val="Heading2"/>
      </w:pPr>
      <w:bookmarkStart w:id="79" w:name="apparatus-criticus-gaps"/>
      <w:r>
        <w:t>Gaps in Witnesses</w:t>
      </w:r>
      <w:bookmarkEnd w:id="79"/>
    </w:p>
    <w:p w14:paraId="327CF5DF" w14:textId="77777777" w:rsidR="00EB171F" w:rsidRDefault="002E650E">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7EF134D7" w14:textId="77777777" w:rsidR="00EB171F" w:rsidRDefault="002E650E">
      <w:r>
        <w:t>The use of the term "lacuna" here is likely to cause confusion. The TEI Guidelines (</w:t>
      </w:r>
      <w:hyperlink r:id="rId31" w:anchor="TCAPMI">
        <w:r>
          <w:rPr>
            <w:rStyle w:val="Hyperlink"/>
          </w:rPr>
          <w:t>12.1.5 Fragmentary Witnesses</w:t>
        </w:r>
      </w:hyperlink>
      <w:r>
        <w:t>) use the term "lacuna" in the elements &lt;</w:t>
      </w:r>
      <w:r>
        <w:rPr>
          <w:rFonts w:ascii="Courier" w:hAnsi="Courier"/>
        </w:rPr>
        <w:t>lacunaStart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14:paraId="06850B3A" w14:textId="77777777" w:rsidR="00EB171F" w:rsidRDefault="002E650E">
      <w:r>
        <w:t xml:space="preserve">For example, sections 1.1–1.33.3 of Julius Caesar's </w:t>
      </w:r>
      <w:r w:rsidRPr="002E650E">
        <w:rPr>
          <w:i/>
        </w:rPr>
        <w:t>de Bello Civili</w:t>
      </w:r>
      <w:r>
        <w:t xml:space="preserve">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the critical apparatus: 1.1.1–1.33.3 </w:t>
      </w:r>
      <w:r>
        <w:rPr>
          <w:i/>
        </w:rPr>
        <w:t>M deest, vice eius m citatur</w:t>
      </w:r>
      <w:r>
        <w:t>.</w:t>
      </w:r>
    </w:p>
    <w:p w14:paraId="390C71EF" w14:textId="77777777" w:rsidR="00EB171F" w:rsidRDefault="002E650E">
      <w:r>
        <w:t>In an LDLT edition, that should be encoded as follows:</w:t>
      </w:r>
    </w:p>
    <w:p w14:paraId="2D7BAAB4" w14:textId="77777777" w:rsidR="00EB171F" w:rsidRDefault="002E650E">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7C507CCD" w14:textId="77777777" w:rsidR="00EB171F" w:rsidRDefault="002E650E">
      <w:r>
        <w:t xml:space="preserve">At 1.33.3, Damon's apparatus criticus has: ‘-duum </w:t>
      </w:r>
      <w:r>
        <w:rPr>
          <w:i/>
        </w:rPr>
        <w:t>hinc adest M</w:t>
      </w:r>
      <w:r>
        <w:t>’. In an LDLT edition, that should be encoded as follows:</w:t>
      </w:r>
    </w:p>
    <w:p w14:paraId="36D0B444" w14:textId="77777777" w:rsidR="00EB171F" w:rsidRDefault="002E650E">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7FA06ED7" w14:textId="77777777" w:rsidR="00EB171F" w:rsidRDefault="002E650E">
      <w:pPr>
        <w:pStyle w:val="Heading2"/>
      </w:pPr>
      <w:bookmarkStart w:id="80" w:name="apparatus-criticus-fragmentary-witnesses"/>
      <w:r>
        <w:t>Fragmentary Witnesses</w:t>
      </w:r>
      <w:bookmarkEnd w:id="80"/>
    </w:p>
    <w:p w14:paraId="48C91BA7" w14:textId="77777777" w:rsidR="00EB171F" w:rsidRDefault="002E650E">
      <w:r>
        <w:t>The presence of fragmentary witnesses should be noted in the apparatus criticus using &lt;</w:t>
      </w:r>
      <w:r>
        <w:rPr>
          <w:rFonts w:ascii="Courier" w:hAnsi="Courier"/>
        </w:rPr>
        <w:t>witStart</w:t>
      </w:r>
      <w:r>
        <w:t>&gt; and &lt;</w:t>
      </w:r>
      <w:r>
        <w:rPr>
          <w:rFonts w:ascii="Courier" w:hAnsi="Courier"/>
        </w:rPr>
        <w:t>witEnd</w:t>
      </w:r>
      <w:r>
        <w:t>&gt;.</w:t>
      </w:r>
    </w:p>
    <w:p w14:paraId="66369EB9" w14:textId="77777777" w:rsidR="00EB171F" w:rsidRDefault="002E650E">
      <w:r>
        <w:t xml:space="preserve">For example, the fragmentary witnesses known collectively as "Exc. Par." (= Thuaneus 7647 and Nostradamensis 17903) in </w:t>
      </w:r>
      <w:r>
        <w:fldChar w:fldCharType="begin"/>
      </w:r>
      <w:r>
        <w:instrText>REF giarratano-calpurnius \n \h</w:instrText>
      </w:r>
      <w:r>
        <w:fldChar w:fldCharType="separate"/>
      </w:r>
      <w:r>
        <w:t>Giarratano's</w:t>
      </w:r>
      <w:r>
        <w:fldChar w:fldCharType="end"/>
      </w:r>
      <w:r>
        <w:t xml:space="preserve"> edition of Calpurnius Siculus have 5.12–13. </w:t>
      </w:r>
      <w:r>
        <w:fldChar w:fldCharType="begin"/>
      </w:r>
      <w:r>
        <w:instrText>REF giarratano-calpurnius \n \h</w:instrText>
      </w:r>
      <w:r>
        <w:fldChar w:fldCharType="separate"/>
      </w:r>
      <w:r>
        <w:t>Giarratano</w:t>
      </w:r>
      <w:r>
        <w:fldChar w:fldCharType="end"/>
      </w:r>
      <w:r>
        <w:t xml:space="preserve"> notes this fact in the apparatus criticus as follows: </w:t>
      </w:r>
      <w:r>
        <w:rPr>
          <w:rStyle w:val="teiforeign"/>
          <w:lang w:val="uz-Cyrl-UZ"/>
        </w:rPr>
        <w:t>12 et sq. habent Exc. Par.</w:t>
      </w:r>
      <w:r>
        <w:t>. In an LDLT edition, this should be noted in an &lt;</w:t>
      </w:r>
      <w:r>
        <w:rPr>
          <w:rFonts w:ascii="Courier" w:hAnsi="Courier"/>
        </w:rPr>
        <w:t>app</w:t>
      </w:r>
      <w:r>
        <w:t>&gt; as follows:</w:t>
      </w:r>
    </w:p>
    <w:p w14:paraId="5873FCDE" w14:textId="77777777" w:rsidR="00EB171F" w:rsidRDefault="002E650E">
      <w:pPr>
        <w:pStyle w:val="Special"/>
      </w:pPr>
      <w:r>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74B8AC6F" w14:textId="77777777" w:rsidR="00EB171F" w:rsidRDefault="002E650E">
      <w:r>
        <w:t>&lt;</w:t>
      </w:r>
      <w:r>
        <w:rPr>
          <w:rFonts w:ascii="Courier" w:hAnsi="Courier"/>
        </w:rPr>
        <w:t>rdg</w:t>
      </w:r>
      <w:r>
        <w:t xml:space="preserve">&gt; with </w:t>
      </w:r>
      <w:r>
        <w:rPr>
          <w:i/>
        </w:rPr>
        <w:t>@wit</w:t>
      </w:r>
      <w:r>
        <w:t xml:space="preserve"> and the value of the witness' machine-readable siglum (</w:t>
      </w:r>
      <w:r>
        <w:rPr>
          <w:i/>
        </w:rPr>
        <w:t>@xml:id</w:t>
      </w:r>
      <w:r>
        <w:t>) encloses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6BBC0BB8" w14:textId="77777777" w:rsidR="00EB171F" w:rsidRDefault="002E650E">
      <w:pPr>
        <w:pStyle w:val="Heading2"/>
      </w:pPr>
      <w:bookmarkStart w:id="81" w:name="apparatus-criticus-addition-witness"/>
      <w:r>
        <w:t>Addition of Text in a Witness</w:t>
      </w:r>
      <w:bookmarkEnd w:id="81"/>
    </w:p>
    <w:p w14:paraId="281A732D" w14:textId="77777777" w:rsidR="00EB171F" w:rsidRDefault="002E650E">
      <w:r>
        <w:t>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14:paraId="19C15D64" w14:textId="77777777" w:rsidR="00EB171F" w:rsidRDefault="002E650E">
      <w:r>
        <w:t>For additions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2A288937" w14:textId="77777777" w:rsidR="00EB171F" w:rsidRDefault="002E650E">
      <w:pPr>
        <w:pStyle w:val="Heading3"/>
      </w:pPr>
      <w:bookmarkStart w:id="82" w:name="apparatus-criticus-addition-witness-pros"/>
      <w:r>
        <w:t>Addition: Prose Description</w:t>
      </w:r>
      <w:bookmarkEnd w:id="82"/>
    </w:p>
    <w:p w14:paraId="7024CC2F" w14:textId="77777777" w:rsidR="00EB171F" w:rsidRDefault="002E650E">
      <w:r>
        <w:t>&lt;</w:t>
      </w:r>
      <w:r>
        <w:rPr>
          <w:rFonts w:ascii="Courier" w:hAnsi="Courier"/>
        </w:rPr>
        <w:t>witDetail</w:t>
      </w:r>
      <w:r>
        <w:t>&gt; (witness detail) contains a prose description of the addition.</w:t>
      </w:r>
    </w:p>
    <w:p w14:paraId="4EBA12AC" w14:textId="77777777" w:rsidR="00EB171F" w:rsidRDefault="002E650E">
      <w:r>
        <w:t xml:space="preserve">For example, the copyist of manuscript </w:t>
      </w:r>
      <w:r>
        <w:rPr>
          <w:b/>
        </w:rPr>
        <w:t>G</w:t>
      </w:r>
      <w:r>
        <w:t xml:space="preserve"> has the </w:t>
      </w:r>
      <w:r>
        <w:fldChar w:fldCharType="begin"/>
      </w:r>
      <w:r>
        <w:instrText>REF lem \n \h</w:instrText>
      </w:r>
      <w:r>
        <w:fldChar w:fldCharType="separate"/>
      </w:r>
      <w:r>
        <w:t>lemma</w:t>
      </w:r>
      <w:r>
        <w:fldChar w:fldCharType="end"/>
      </w:r>
      <w:r>
        <w:t xml:space="preserve"> </w:t>
      </w:r>
      <w:r>
        <w:rPr>
          <w:rStyle w:val="teiforeign"/>
          <w:lang w:val="uz-Cyrl-UZ"/>
        </w:rPr>
        <w:t>certare</w:t>
      </w:r>
      <w:r>
        <w:t xml:space="preserve">, but a later hand has added the variant reading </w:t>
      </w:r>
      <w:r>
        <w:rPr>
          <w:rStyle w:val="teiforeign"/>
          <w:lang w:val="uz-Cyrl-UZ"/>
        </w:rPr>
        <w:t>certate</w:t>
      </w:r>
      <w:r>
        <w:t xml:space="preserve"> in the margin.</w:t>
      </w:r>
    </w:p>
    <w:p w14:paraId="536B2407" w14:textId="77777777" w:rsidR="00EB171F" w:rsidRDefault="002E650E">
      <w:r>
        <w:t xml:space="preserve"> 89 certare] certate </w:t>
      </w:r>
      <w:r>
        <w:rPr>
          <w:b/>
        </w:rPr>
        <w:t>G</w:t>
      </w:r>
      <w:r>
        <w:rPr>
          <w:b/>
          <w:vertAlign w:val="superscript"/>
        </w:rPr>
        <w:t>1</w:t>
      </w:r>
      <w:r>
        <w:rPr>
          <w:i/>
        </w:rPr>
        <w:t>in mg.</w:t>
      </w:r>
    </w:p>
    <w:p w14:paraId="50520EB0" w14:textId="77777777" w:rsidR="00EB171F" w:rsidRDefault="002E650E">
      <w:r>
        <w:t>The prose description method uses &lt;</w:t>
      </w:r>
      <w:r>
        <w:rPr>
          <w:rFonts w:ascii="Courier" w:hAnsi="Courier"/>
        </w:rPr>
        <w:t>witDetail</w:t>
      </w:r>
      <w:r>
        <w:t>&gt; to describe the addition:</w:t>
      </w:r>
    </w:p>
    <w:p w14:paraId="770A503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61B49630" w14:textId="77777777" w:rsidR="00EB171F" w:rsidRDefault="002E650E">
      <w:pPr>
        <w:pStyle w:val="Heading3"/>
      </w:pPr>
      <w:bookmarkStart w:id="83" w:name="apparatus-criticus-addition-witness-sema"/>
      <w:r>
        <w:t>Addition: Semantic Markup</w:t>
      </w:r>
      <w:bookmarkEnd w:id="83"/>
    </w:p>
    <w:p w14:paraId="67F29676" w14:textId="77777777" w:rsidR="00EB171F" w:rsidRDefault="002E650E">
      <w:r>
        <w:t>The semantic markup method uses &lt;</w:t>
      </w:r>
      <w:r>
        <w:rPr>
          <w:rFonts w:ascii="Courier" w:hAnsi="Courier"/>
        </w:rPr>
        <w:t>add</w:t>
      </w:r>
      <w:r>
        <w:t>&gt; to encode the addition:</w:t>
      </w:r>
    </w:p>
    <w:p w14:paraId="608323B4" w14:textId="77777777" w:rsidR="00EB171F" w:rsidRDefault="002E650E">
      <w:pPr>
        <w:pStyle w:val="ListContinue"/>
        <w:numPr>
          <w:ilvl w:val="0"/>
          <w:numId w:val="2"/>
        </w:numPr>
      </w:pPr>
      <w:r>
        <w:t>&lt;</w:t>
      </w:r>
      <w:r>
        <w:rPr>
          <w:rFonts w:ascii="Courier" w:hAnsi="Courier"/>
        </w:rPr>
        <w:t>add</w:t>
      </w:r>
      <w:r>
        <w:t>&gt; (addition) contains text that has been added.</w:t>
      </w:r>
    </w:p>
    <w:p w14:paraId="21FD8D61" w14:textId="77777777" w:rsidR="00EB171F" w:rsidRDefault="002E650E">
      <w:pPr>
        <w:pStyle w:val="ListContinue"/>
        <w:numPr>
          <w:ilvl w:val="0"/>
          <w:numId w:val="2"/>
        </w:numPr>
      </w:pPr>
      <w:r>
        <w:rPr>
          <w:i/>
        </w:rPr>
        <w:t>@place</w:t>
      </w:r>
      <w:r>
        <w:t xml:space="preserve"> indicates the placed where the text has been added. Possible values: </w:t>
      </w:r>
    </w:p>
    <w:p w14:paraId="172585AD" w14:textId="77777777" w:rsidR="00EB171F" w:rsidRDefault="002E650E">
      <w:pPr>
        <w:pStyle w:val="ListContinue2"/>
        <w:numPr>
          <w:ilvl w:val="1"/>
          <w:numId w:val="2"/>
        </w:numPr>
      </w:pPr>
      <w:r>
        <w:rPr>
          <w:b/>
        </w:rPr>
        <w:t>above</w:t>
      </w:r>
      <w:r>
        <w:t>: above the line (</w:t>
      </w:r>
      <w:r>
        <w:rPr>
          <w:i/>
        </w:rPr>
        <w:t>suprascr. = superscriptum/a</w:t>
      </w:r>
      <w:r>
        <w:t>)</w:t>
      </w:r>
    </w:p>
    <w:p w14:paraId="1586039C" w14:textId="77777777" w:rsidR="00EB171F" w:rsidRDefault="002E650E">
      <w:pPr>
        <w:pStyle w:val="ListContinue2"/>
        <w:numPr>
          <w:ilvl w:val="1"/>
          <w:numId w:val="2"/>
        </w:numPr>
      </w:pPr>
      <w:r>
        <w:rPr>
          <w:b/>
        </w:rPr>
        <w:t>below</w:t>
      </w:r>
      <w:r>
        <w:t>: below the line (</w:t>
      </w:r>
      <w:r>
        <w:rPr>
          <w:i/>
        </w:rPr>
        <w:t>subscr. = subscriptum/a</w:t>
      </w:r>
      <w:r>
        <w:t>)</w:t>
      </w:r>
    </w:p>
    <w:p w14:paraId="51452F45" w14:textId="77777777" w:rsidR="00EB171F" w:rsidRDefault="002E650E">
      <w:pPr>
        <w:pStyle w:val="ListContinue2"/>
        <w:numPr>
          <w:ilvl w:val="1"/>
          <w:numId w:val="2"/>
        </w:numPr>
      </w:pPr>
      <w:r>
        <w:rPr>
          <w:b/>
        </w:rPr>
        <w:t>bottom</w:t>
      </w:r>
      <w:r>
        <w:t>: bottom of the page (</w:t>
      </w:r>
      <w:r>
        <w:rPr>
          <w:i/>
        </w:rPr>
        <w:t>in mg. inf.. = in margine inferiore</w:t>
      </w:r>
    </w:p>
    <w:p w14:paraId="66333B5D" w14:textId="77777777" w:rsidR="00EB171F" w:rsidRDefault="002E650E">
      <w:pPr>
        <w:pStyle w:val="ListContinue2"/>
        <w:numPr>
          <w:ilvl w:val="1"/>
          <w:numId w:val="2"/>
        </w:numPr>
      </w:pPr>
      <w:r>
        <w:rPr>
          <w:b/>
        </w:rPr>
        <w:t>inline</w:t>
      </w:r>
      <w:r>
        <w:t>: within the body of the original text (</w:t>
      </w:r>
      <w:r>
        <w:rPr>
          <w:i/>
        </w:rPr>
        <w:t>in textu</w:t>
      </w:r>
      <w:r>
        <w:t>)</w:t>
      </w:r>
    </w:p>
    <w:p w14:paraId="56793BB2" w14:textId="77777777" w:rsidR="00EB171F" w:rsidRDefault="002E650E">
      <w:pPr>
        <w:pStyle w:val="ListContinue2"/>
        <w:numPr>
          <w:ilvl w:val="1"/>
          <w:numId w:val="2"/>
        </w:numPr>
      </w:pPr>
      <w:r>
        <w:rPr>
          <w:b/>
        </w:rPr>
        <w:t>inRas</w:t>
      </w:r>
      <w:r>
        <w:t>: in the space where text has been erased. (</w:t>
      </w:r>
      <w:r>
        <w:rPr>
          <w:i/>
        </w:rPr>
        <w:t>in ras. = in rasura</w:t>
      </w:r>
      <w:r>
        <w:t>)</w:t>
      </w:r>
    </w:p>
    <w:p w14:paraId="03F3FE80" w14:textId="77777777" w:rsidR="00EB171F" w:rsidRDefault="002E650E">
      <w:pPr>
        <w:pStyle w:val="ListContinue2"/>
        <w:numPr>
          <w:ilvl w:val="1"/>
          <w:numId w:val="2"/>
        </w:numPr>
      </w:pPr>
      <w:r>
        <w:rPr>
          <w:b/>
        </w:rPr>
        <w:t>margin</w:t>
      </w:r>
      <w:r>
        <w:t>: right, left, or both (</w:t>
      </w:r>
      <w:r>
        <w:rPr>
          <w:i/>
        </w:rPr>
        <w:t>in mg. = in margine</w:t>
      </w:r>
      <w:r>
        <w:t>)</w:t>
      </w:r>
    </w:p>
    <w:p w14:paraId="42771804" w14:textId="77777777" w:rsidR="00EB171F" w:rsidRDefault="002E650E">
      <w:pPr>
        <w:pStyle w:val="ListContinue2"/>
        <w:numPr>
          <w:ilvl w:val="1"/>
          <w:numId w:val="2"/>
        </w:numPr>
      </w:pPr>
      <w:r>
        <w:rPr>
          <w:b/>
        </w:rPr>
        <w:t>top</w:t>
      </w:r>
      <w:r>
        <w:t>: at the top of the page (</w:t>
      </w:r>
      <w:r>
        <w:rPr>
          <w:i/>
        </w:rPr>
        <w:t>in mg. sup. = in margine superiore</w:t>
      </w:r>
    </w:p>
    <w:p w14:paraId="6DE12F0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72D66773" w14:textId="77777777" w:rsidR="00EB171F" w:rsidRDefault="002E650E">
      <w:pPr>
        <w:pStyle w:val="Heading2"/>
      </w:pPr>
      <w:bookmarkStart w:id="84" w:name="apparatus-criticus-deletion-witness"/>
      <w:r>
        <w:t>Deletion in a Witness</w:t>
      </w:r>
      <w:bookmarkEnd w:id="84"/>
    </w:p>
    <w:p w14:paraId="264B984C" w14:textId="77777777" w:rsidR="00EB171F" w:rsidRDefault="002E650E">
      <w:r>
        <w:t>The following guidelines demonstrate how to produce a notation about the deletion of text from a witness by a scribe, along with the method of deletion (if known).</w:t>
      </w:r>
    </w:p>
    <w:p w14:paraId="3D1E5647" w14:textId="77777777" w:rsidR="00EB171F" w:rsidRDefault="002E650E">
      <w:r>
        <w:t>For deletions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4FE0C440" w14:textId="77777777" w:rsidR="00EB171F" w:rsidRDefault="002E650E">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represent deletion as part of a correction.</w:t>
      </w:r>
    </w:p>
    <w:p w14:paraId="7CD598A6" w14:textId="77777777" w:rsidR="00EB171F" w:rsidRDefault="002E650E">
      <w:r>
        <w:t>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14:paraId="294E0A7F" w14:textId="77777777" w:rsidR="00EB171F" w:rsidRDefault="002E650E">
      <w:pPr>
        <w:pStyle w:val="Heading3"/>
      </w:pPr>
      <w:bookmarkStart w:id="85" w:name="apparatus-criticus-deletion-prose"/>
      <w:r>
        <w:t>Deletion: Prose Description</w:t>
      </w:r>
      <w:bookmarkEnd w:id="85"/>
    </w:p>
    <w:p w14:paraId="31F57D15" w14:textId="77777777" w:rsidR="00EB171F" w:rsidRDefault="002E650E">
      <w:r>
        <w:t>&lt;</w:t>
      </w:r>
      <w:r>
        <w:rPr>
          <w:rFonts w:ascii="Courier" w:hAnsi="Courier"/>
        </w:rPr>
        <w:t>witDetail</w:t>
      </w:r>
      <w:r>
        <w:t>&gt; (witness detail) contains a prose description of the deletion.</w:t>
      </w:r>
    </w:p>
    <w:p w14:paraId="31CC6B64" w14:textId="77777777" w:rsidR="00EB171F" w:rsidRDefault="002E650E">
      <w:r>
        <w:t>The prose description method uses &lt;</w:t>
      </w:r>
      <w:r>
        <w:rPr>
          <w:rFonts w:ascii="Courier" w:hAnsi="Courier"/>
        </w:rPr>
        <w:t>witDetail</w:t>
      </w:r>
      <w:r>
        <w:t>&gt; to describe the deletion:</w:t>
      </w:r>
    </w:p>
    <w:p w14:paraId="0A40B03A"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6EB54CD3" w14:textId="77777777" w:rsidR="00EB171F" w:rsidRDefault="002E650E">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3C513DDA" w14:textId="77777777" w:rsidR="00EB171F" w:rsidRDefault="002E650E">
      <w:pPr>
        <w:pStyle w:val="Heading3"/>
      </w:pPr>
      <w:bookmarkStart w:id="86" w:name="apparatus-criticus-deletion-semantic"/>
      <w:r>
        <w:t>Deletion: Semantic Markup</w:t>
      </w:r>
      <w:bookmarkEnd w:id="86"/>
    </w:p>
    <w:p w14:paraId="13BEB023" w14:textId="77777777" w:rsidR="00EB171F" w:rsidRDefault="002E650E">
      <w:r>
        <w:t>The semantic markup method uses &lt;</w:t>
      </w:r>
      <w:r>
        <w:rPr>
          <w:rFonts w:ascii="Courier" w:hAnsi="Courier"/>
        </w:rPr>
        <w:t>del</w:t>
      </w:r>
      <w:r>
        <w:t>&gt; to encode the deletion. Deletions encoded according to these guidelines will be displayed or printed enclosed in double brackets: ⟦ ⟧.</w:t>
      </w:r>
    </w:p>
    <w:p w14:paraId="1577DD53" w14:textId="77777777" w:rsidR="00EB171F" w:rsidRDefault="002E650E">
      <w:pPr>
        <w:pStyle w:val="ListContinue"/>
        <w:numPr>
          <w:ilvl w:val="0"/>
          <w:numId w:val="2"/>
        </w:numPr>
      </w:pPr>
      <w:r>
        <w:t>&lt;</w:t>
      </w:r>
      <w:r>
        <w:rPr>
          <w:rFonts w:ascii="Courier" w:hAnsi="Courier"/>
        </w:rPr>
        <w:t>del</w:t>
      </w:r>
      <w:r>
        <w:t>&gt; (deletion) contains text that has been deleted.</w:t>
      </w:r>
    </w:p>
    <w:p w14:paraId="32726BE1" w14:textId="77777777" w:rsidR="00EB171F" w:rsidRDefault="002E650E">
      <w:pPr>
        <w:pStyle w:val="ListContinue"/>
        <w:numPr>
          <w:ilvl w:val="0"/>
          <w:numId w:val="2"/>
        </w:numPr>
      </w:pPr>
      <w:r>
        <w:rPr>
          <w:i/>
        </w:rPr>
        <w:t>@rend</w:t>
      </w:r>
      <w:r>
        <w:t xml:space="preserve"> (rendition) indicates the method of deletion. Use of </w:t>
      </w:r>
      <w:r>
        <w:rPr>
          <w:i/>
        </w:rPr>
        <w:t>@rend</w:t>
      </w:r>
      <w:r>
        <w:t xml:space="preserve"> is optional. Without it, the generic notation </w:t>
      </w:r>
      <w:r>
        <w:rPr>
          <w:i/>
        </w:rPr>
        <w:t>del.</w:t>
      </w:r>
      <w:r>
        <w:t xml:space="preserve"> for </w:t>
      </w:r>
      <w:r>
        <w:rPr>
          <w:rStyle w:val="teiforeign"/>
          <w:lang w:val="uz-Cyrl-UZ"/>
        </w:rPr>
        <w:t>delevit</w:t>
      </w:r>
      <w:r>
        <w:t xml:space="preserve"> or </w:t>
      </w:r>
      <w:r>
        <w:rPr>
          <w:rStyle w:val="teiforeign"/>
          <w:lang w:val="uz-Cyrl-UZ"/>
        </w:rPr>
        <w:t>delevi</w:t>
      </w:r>
      <w:r>
        <w:t xml:space="preserve"> will be inserted. Otherwise, </w:t>
      </w:r>
      <w:r>
        <w:rPr>
          <w:i/>
        </w:rPr>
        <w:t>@rend</w:t>
      </w:r>
      <w:r>
        <w:t xml:space="preserve"> with one of the following values will generate a more specific notation:</w:t>
      </w:r>
    </w:p>
    <w:p w14:paraId="6AA16F73" w14:textId="77777777" w:rsidR="00EB171F" w:rsidRDefault="002E650E">
      <w:pPr>
        <w:pStyle w:val="ListContinue2"/>
        <w:numPr>
          <w:ilvl w:val="1"/>
          <w:numId w:val="2"/>
        </w:numPr>
      </w:pPr>
      <w:r>
        <w:rPr>
          <w:b/>
        </w:rPr>
        <w:t>erasure</w:t>
      </w:r>
      <w:r>
        <w:t>: text has been erased or scraped off of the page, but it is possible to detect what was deleted (</w:t>
      </w:r>
      <w:r>
        <w:rPr>
          <w:i/>
        </w:rPr>
        <w:t>ante ras.</w:t>
      </w:r>
      <w:r>
        <w:t>).</w:t>
      </w:r>
    </w:p>
    <w:p w14:paraId="4E3D9160" w14:textId="77777777" w:rsidR="00EB171F" w:rsidRDefault="002E650E">
      <w:pPr>
        <w:pStyle w:val="ListContinue2"/>
        <w:numPr>
          <w:ilvl w:val="1"/>
          <w:numId w:val="2"/>
        </w:numPr>
      </w:pPr>
      <w:r>
        <w:rPr>
          <w:b/>
        </w:rPr>
        <w:t>expunction</w:t>
      </w:r>
      <w:r>
        <w:t>: dots have been written under a word to indicate that it should be deleted (</w:t>
      </w:r>
      <w:r>
        <w:rPr>
          <w:i/>
        </w:rPr>
        <w:t>exp.</w:t>
      </w:r>
      <w:r>
        <w:t>).</w:t>
      </w:r>
    </w:p>
    <w:p w14:paraId="2AFF00B8"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13CB5B74" w14:textId="77777777" w:rsidR="00EB171F" w:rsidRDefault="002E650E">
      <w:r>
        <w:t xml:space="preserve">The output of this encoding would be amotae] adamote </w:t>
      </w:r>
      <w:r>
        <w:rPr>
          <w:b/>
        </w:rPr>
        <w:t>G</w:t>
      </w:r>
      <w:r>
        <w:t xml:space="preserve"> (</w:t>
      </w:r>
      <w:r>
        <w:rPr>
          <w:i/>
        </w:rPr>
        <w:t>a.c.</w:t>
      </w:r>
      <w:r>
        <w:t xml:space="preserve">), 〚ad〛amote </w:t>
      </w:r>
      <w:r>
        <w:rPr>
          <w:b/>
        </w:rPr>
        <w:t>G</w:t>
      </w:r>
      <w:r>
        <w:rPr>
          <w:b/>
          <w:vertAlign w:val="superscript"/>
        </w:rPr>
        <w:t>1</w:t>
      </w:r>
      <w:r>
        <w:t xml:space="preserve"> (</w:t>
      </w:r>
      <w:r>
        <w:rPr>
          <w:i/>
        </w:rPr>
        <w:t>p.c.</w:t>
      </w:r>
      <w:r>
        <w:t xml:space="preserve">, ad </w:t>
      </w:r>
      <w:r>
        <w:rPr>
          <w:i/>
        </w:rPr>
        <w:t>exp.</w:t>
      </w:r>
      <w:r>
        <w:t>)</w:t>
      </w:r>
    </w:p>
    <w:p w14:paraId="7B8024FD" w14:textId="77777777" w:rsidR="00EB171F" w:rsidRDefault="002E650E">
      <w:pPr>
        <w:pStyle w:val="Heading3"/>
      </w:pPr>
      <w:bookmarkStart w:id="87" w:name="apparatus-criticus-illegible-characters-"/>
      <w:r>
        <w:t>Illegible Characters, Quantity Unknown</w:t>
      </w:r>
      <w:bookmarkEnd w:id="87"/>
    </w:p>
    <w:p w14:paraId="7E17F26C" w14:textId="77777777" w:rsidR="00EB171F" w:rsidRDefault="002E650E">
      <w:r>
        <w:t>It is occasionally necessary to indicate the presence of illegible characters in a witness' text.</w:t>
      </w:r>
    </w:p>
    <w:p w14:paraId="77BC0474" w14:textId="77777777" w:rsidR="00EB171F" w:rsidRDefault="002E650E">
      <w:r>
        <w:t xml:space="preserve">For example, at Calp. 6.4, the lemma is </w:t>
      </w:r>
      <w:r>
        <w:rPr>
          <w:rStyle w:val="teiforeign"/>
          <w:lang w:val="uz-Cyrl-UZ"/>
        </w:rPr>
        <w:t>dedit</w:t>
      </w:r>
      <w:r>
        <w:t xml:space="preserve">, but the witness known as </w:t>
      </w:r>
      <w:r>
        <w:rPr>
          <w:b/>
        </w:rPr>
        <w:t>N</w:t>
      </w:r>
      <w:r>
        <w:t xml:space="preserve"> has </w:t>
      </w:r>
      <w:r>
        <w:rPr>
          <w:rStyle w:val="teiforeign"/>
          <w:lang w:val="uz-Cyrl-UZ"/>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the presence of illegible characters with an asterisk: </w:t>
      </w:r>
      <w:r>
        <w:rPr>
          <w:rStyle w:val="teiforeign"/>
          <w:lang w:val="uz-Cyrl-UZ"/>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0303D3A6" w14:textId="77777777" w:rsidR="00EB171F" w:rsidRDefault="002E650E">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unit</w:t>
      </w:r>
      <w:r>
        <w:t>="character"/&gt;</w:t>
      </w:r>
      <w:r>
        <w:br/>
        <w:t> &lt;/</w:t>
      </w:r>
      <w:r>
        <w:rPr>
          <w:b/>
        </w:rPr>
        <w:t>rdg</w:t>
      </w:r>
      <w:r>
        <w:t>&gt;</w:t>
      </w:r>
      <w:r>
        <w:br/>
        <w:t>&lt;/</w:t>
      </w:r>
      <w:r>
        <w:rPr>
          <w:b/>
        </w:rPr>
        <w:t>app</w:t>
      </w:r>
      <w:r>
        <w:t>&gt;</w:t>
      </w:r>
    </w:p>
    <w:p w14:paraId="44DB445F" w14:textId="77777777" w:rsidR="00EB171F" w:rsidRDefault="002E650E">
      <w:pPr>
        <w:pStyle w:val="Heading3"/>
      </w:pPr>
      <w:bookmarkStart w:id="88" w:name="apparatus-criticus-transposition"/>
      <w:r>
        <w:t>Transpositions</w:t>
      </w:r>
      <w:bookmarkEnd w:id="88"/>
    </w:p>
    <w:p w14:paraId="2ADACBC7" w14:textId="77777777" w:rsidR="00EB171F" w:rsidRDefault="002E650E">
      <w:r>
        <w:t>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14:paraId="26C864EA" w14:textId="77777777" w:rsidR="00EB171F" w:rsidRDefault="002E650E">
      <w:r>
        <w:t>The sections below demonstrate the prose description and semantic markup methods for the following examples:</w:t>
      </w:r>
    </w:p>
    <w:p w14:paraId="70D433C1" w14:textId="77777777" w:rsidR="00EB171F" w:rsidRDefault="002E650E">
      <w:r>
        <w:rPr>
          <w:b/>
        </w:rPr>
        <w:t>Example 1</w:t>
      </w:r>
      <w:r>
        <w:t xml:space="preserve">: In the Teubner edition of Ovid’s Tristia,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post 36 transposuit Wilamowitz.</w:t>
      </w:r>
      <w:r>
        <w:t>’</w:t>
      </w:r>
    </w:p>
    <w:p w14:paraId="17D26FA6" w14:textId="77777777" w:rsidR="00EB171F" w:rsidRDefault="002E650E">
      <w:r>
        <w:rPr>
          <w:b/>
        </w:rPr>
        <w:t>Example 2</w:t>
      </w:r>
      <w:r>
        <w:t xml:space="preserve">: In </w:t>
      </w:r>
      <w:r>
        <w:fldChar w:fldCharType="begin"/>
      </w:r>
      <w:r>
        <w:instrText>REF tarrant-ovid \n \h</w:instrText>
      </w:r>
      <w:r>
        <w:fldChar w:fldCharType="separate"/>
      </w:r>
      <w:r>
        <w:t>Richard Tarrant’s OCT</w:t>
      </w:r>
      <w:r>
        <w:fldChar w:fldCharType="end"/>
      </w:r>
      <w:r>
        <w:t xml:space="preserve"> of Ovid’s Metamorphoses, the text of 1.304–305 is as follows:</w:t>
      </w:r>
    </w:p>
    <w:p w14:paraId="7F11E295" w14:textId="77777777" w:rsidR="00EB171F" w:rsidRDefault="002E650E">
      <w:pPr>
        <w:pStyle w:val="teil"/>
      </w:pPr>
      <w:r>
        <w:t>nat lupus inter oues, fuluos uehit unda leones,</w:t>
      </w:r>
    </w:p>
    <w:p w14:paraId="6C2E5F91" w14:textId="77777777" w:rsidR="00EB171F" w:rsidRDefault="002E650E">
      <w:pPr>
        <w:pStyle w:val="teil"/>
      </w:pPr>
      <w:r>
        <w:t>unda uehit tigres; nec uires fulminis apro</w:t>
      </w:r>
    </w:p>
    <w:p w14:paraId="4A153E2D" w14:textId="77777777" w:rsidR="00EB171F" w:rsidRDefault="002E650E">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2BFF31F8" w14:textId="77777777" w:rsidR="00EB171F" w:rsidRDefault="002E650E">
      <w:pPr>
        <w:pStyle w:val="Heading4"/>
      </w:pPr>
      <w:bookmarkStart w:id="89" w:name="apparatus-criticus-transposition-prose-d"/>
      <w:r>
        <w:t>Transposition: Prose Description</w:t>
      </w:r>
      <w:bookmarkEnd w:id="89"/>
    </w:p>
    <w:p w14:paraId="782CC6F7" w14:textId="77777777" w:rsidR="00EB171F" w:rsidRDefault="002E650E">
      <w:r>
        <w:t>To describe this transposition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14:paraId="68D9E3B2" w14:textId="77777777" w:rsidR="00EB171F" w:rsidRDefault="002E650E">
      <w:r>
        <w:rPr>
          <w:b/>
        </w:rPr>
        <w:t>Example 1</w:t>
      </w:r>
      <w:r>
        <w:t xml:space="preserve"> (Ov. Tr. 3.12.36ff.)</w:t>
      </w:r>
    </w:p>
    <w:p w14:paraId="0A010826"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64A23D2B" w14:textId="77777777" w:rsidR="00EB171F" w:rsidRDefault="002E650E">
      <w:r>
        <w:rPr>
          <w:b/>
        </w:rPr>
        <w:t>Example 2</w:t>
      </w:r>
      <w:r>
        <w:t xml:space="preserve"> (Ov. Met., 1.304–305):</w:t>
      </w:r>
    </w:p>
    <w:p w14:paraId="3F1190A2" w14:textId="77777777" w:rsidR="00EB171F" w:rsidRDefault="002E650E">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1FE673EA" w14:textId="77777777" w:rsidR="00EB171F" w:rsidRDefault="002E650E">
      <w:r>
        <w:t>Neither one of these examples would support the functionality of swapping the transpositions in and out of the main text of the edition. Instead, readers would just see a note in the apparatus criticus describing the transposition.</w:t>
      </w:r>
    </w:p>
    <w:p w14:paraId="66F9A269" w14:textId="77777777" w:rsidR="00EB171F" w:rsidRDefault="002E650E">
      <w:pPr>
        <w:pStyle w:val="Heading4"/>
      </w:pPr>
      <w:bookmarkStart w:id="90" w:name="apparatus-criticus-transposition-semanti"/>
      <w:r>
        <w:t>Transposition: Semantic Encoding</w:t>
      </w:r>
      <w:bookmarkEnd w:id="90"/>
    </w:p>
    <w:p w14:paraId="11D87E26" w14:textId="77777777" w:rsidR="00EB171F" w:rsidRDefault="002E650E">
      <w:r>
        <w:t xml:space="preserve">In some cases, a transposition may be semantically encoded using the basic pattern for an apparatus entry. In example 1 (Ov. Tr. 3.12.36ff., </w:t>
      </w:r>
      <w:r>
        <w:fldChar w:fldCharType="begin"/>
      </w:r>
      <w:r>
        <w:instrText>REF apparatus-criticus-transposition \n \h</w:instrText>
      </w:r>
      <w:r>
        <w:fldChar w:fldCharType="separate"/>
      </w:r>
      <w:r>
        <w:t>text above</w:t>
      </w:r>
      <w:r>
        <w:fldChar w:fldCharType="end"/>
      </w:r>
      <w:r>
        <w:t>), there are basically two forms of the text: with and without the transposition. Since the editor (Hall)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396C2FC7"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0671B313" w14:textId="77777777" w:rsidR="00EB171F" w:rsidRDefault="002E650E">
      <w:r>
        <w:t xml:space="preserve">This will allow users to toggle between the original and emended versions of the text. Using </w:t>
      </w:r>
      <w:r>
        <w:rPr>
          <w:i/>
        </w:rPr>
        <w:t>@exclude</w:t>
      </w:r>
      <w:r>
        <w:t xml:space="preserve"> ensures that lines 41–42 will never be displayed in two places at once. When the lemma (i.e., Wilamowitz’ emendation) is displayed in the edition text, lines 41–42 will follow line 36. When the reading that has lines 41–42 following line 40 is selected for display, Wilamowitz’ emendation will be excluded from the display.</w:t>
      </w:r>
    </w:p>
    <w:p w14:paraId="52EF81D8" w14:textId="77777777" w:rsidR="00EB171F" w:rsidRDefault="002E650E">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14:paraId="4955202C" w14:textId="77777777" w:rsidR="00EB171F" w:rsidRDefault="002E650E">
      <w:r>
        <w:t>Keeping track of the mutually exclusive readings can be a challenge, as the example below demonstrates. When encoding complex transpositions, it can be helpful to make a table or to use some other method of keeping track of the mutually exclusive readings.</w:t>
      </w:r>
    </w:p>
    <w:p w14:paraId="61C0169E" w14:textId="77777777" w:rsidR="00EB171F" w:rsidRDefault="002E650E">
      <w:r>
        <w:t xml:space="preserve">Example 2 (Ov. Met., 1.304–305, </w:t>
      </w:r>
      <w:r>
        <w:fldChar w:fldCharType="begin"/>
      </w:r>
      <w:r>
        <w:instrText>REF apparatus-criticus-transposition \n \h</w:instrText>
      </w:r>
      <w:r>
        <w:fldChar w:fldCharType="separate"/>
      </w:r>
      <w:r>
        <w:t>text above</w:t>
      </w:r>
      <w:r>
        <w:fldChar w:fldCharType="end"/>
      </w:r>
      <w:r>
        <w:t>). In this example, the witness known as Bern transposes portions of two lines. Witnesses H M</w:t>
      </w:r>
      <w:r>
        <w:rPr>
          <w:vertAlign w:val="superscript"/>
        </w:rPr>
        <w:t>ac</w:t>
      </w:r>
      <w:r>
        <w:t xml:space="preserve"> (and N</w:t>
      </w:r>
      <w:r>
        <w:rPr>
          <w:vertAlign w:val="superscript"/>
        </w:rPr>
        <w:t>ac</w:t>
      </w:r>
      <w: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uz-Cyrl-UZ"/>
        </w:rPr>
        <w:t>nat lupus inter oues, nec uires fulminis apro</w:t>
      </w:r>
      <w:r>
        <w:t>).</w:t>
      </w:r>
    </w:p>
    <w:p w14:paraId="2130950D" w14:textId="77777777" w:rsidR="00EB171F" w:rsidRDefault="002E650E">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5FD2CB8B" w14:textId="77777777" w:rsidR="00EB171F" w:rsidRDefault="002E650E">
      <w:r>
        <w:t xml:space="preserve">The extensive markup in this example calls for explication. The desired outcomes are: </w:t>
      </w:r>
    </w:p>
    <w:p w14:paraId="34D779B3" w14:textId="77777777" w:rsidR="00EB171F" w:rsidRDefault="002E650E">
      <w:pPr>
        <w:pStyle w:val="ListContinue"/>
        <w:numPr>
          <w:ilvl w:val="0"/>
          <w:numId w:val="2"/>
        </w:numPr>
      </w:pPr>
      <w:r>
        <w:t>two lines printed in the edition text.</w:t>
      </w:r>
    </w:p>
    <w:p w14:paraId="49649893" w14:textId="77777777" w:rsidR="00EB171F" w:rsidRDefault="002E650E">
      <w:pPr>
        <w:pStyle w:val="ListContinue"/>
        <w:numPr>
          <w:ilvl w:val="0"/>
          <w:numId w:val="2"/>
        </w:numPr>
      </w:pPr>
      <w:r>
        <w:t>a variant reading showing two lines with half-lines transposed.</w:t>
      </w:r>
    </w:p>
    <w:p w14:paraId="333E235C" w14:textId="77777777" w:rsidR="00EB171F" w:rsidRDefault="002E650E">
      <w:pPr>
        <w:pStyle w:val="ListContinue"/>
        <w:numPr>
          <w:ilvl w:val="0"/>
          <w:numId w:val="2"/>
        </w:numPr>
      </w:pPr>
      <w:r>
        <w:t>a variant reading that conflates the two lines.</w:t>
      </w:r>
    </w:p>
    <w:p w14:paraId="71DF3FBC" w14:textId="77777777" w:rsidR="00EB171F" w:rsidRDefault="002E650E">
      <w:r>
        <w:t>These outcomes require nested &lt;</w:t>
      </w:r>
      <w:r>
        <w:rPr>
          <w:rFonts w:ascii="Courier" w:hAnsi="Courier"/>
        </w:rPr>
        <w:t>app</w:t>
      </w:r>
      <w:r>
        <w:t xml:space="preserve">&gt; elements: </w:t>
      </w:r>
    </w:p>
    <w:p w14:paraId="1C9CFBCC" w14:textId="77777777" w:rsidR="00EB171F" w:rsidRDefault="002E650E">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of lines 304 and 305 as the editor wishes them to be printed in the edition text.</w:t>
      </w:r>
    </w:p>
    <w:p w14:paraId="4D74752F" w14:textId="77777777" w:rsidR="00EB171F" w:rsidRDefault="002E650E">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 here because none of the variations differs in content or position.</w:t>
      </w:r>
    </w:p>
    <w:p w14:paraId="07C06F22" w14:textId="77777777" w:rsidR="00EB171F" w:rsidRDefault="002E650E">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7C7423C5" w14:textId="77777777" w:rsidR="00EB171F" w:rsidRDefault="002E650E">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0E8D3428" w14:textId="77777777" w:rsidR="00EB171F" w:rsidRDefault="002E650E">
      <w:r>
        <w:t xml:space="preserve">Instead of entering the text of the transposed lines more than once, </w:t>
      </w:r>
      <w:r>
        <w:rPr>
          <w:i/>
        </w:rPr>
        <w:t>@copyOf</w:t>
      </w:r>
      <w:r>
        <w:t xml:space="preserve"> causes the text to be inserted automatically. This not only reduces the potential for errors in transcription, but also acknowledges that the text is otherwise identical.</w:t>
      </w:r>
    </w:p>
    <w:p w14:paraId="5A16921C" w14:textId="77777777" w:rsidR="00EB171F" w:rsidRDefault="002E650E">
      <w:r>
        <w:t xml:space="preserve">The use of </w:t>
      </w:r>
      <w:r>
        <w:rPr>
          <w:i/>
        </w:rPr>
        <w:t>@require</w:t>
      </w:r>
      <w:r>
        <w:t xml:space="preserve"> ensures that Bern's transposed lines will be displayed or printed together. That is, the reader will not see one correctly transposed half-line and one without transposition, since that would be a false representation of Bern's text.</w:t>
      </w:r>
    </w:p>
    <w:p w14:paraId="2EF02320" w14:textId="77777777" w:rsidR="00EB171F" w:rsidRDefault="002E650E">
      <w:r>
        <w:t>The use of &lt;</w:t>
      </w:r>
      <w:r>
        <w:rPr>
          <w:rFonts w:ascii="Courier" w:hAnsi="Courier"/>
        </w:rPr>
        <w:t>join</w:t>
      </w:r>
      <w:r>
        <w:t>&gt; to represent the conflated lines in H and M allows the text of the two lemmata in question to be copied and displayed or printed together.</w:t>
      </w:r>
    </w:p>
    <w:p w14:paraId="4D804C21" w14:textId="77777777" w:rsidR="00EB171F" w:rsidRDefault="002E650E">
      <w:r>
        <w:t>The effort required to keep track of the mutually exclusive readings pays off in the ability to swap the conflated and transposed readings in and out of the edition text in the digital version.</w:t>
      </w:r>
    </w:p>
    <w:p w14:paraId="4DF56F18" w14:textId="77777777" w:rsidR="00EB171F" w:rsidRDefault="002E650E">
      <w:pPr>
        <w:pStyle w:val="Heading3"/>
      </w:pPr>
      <w:bookmarkStart w:id="91" w:name="apparatus-criticus-connected-readings"/>
      <w:r>
        <w:t>Connected Readings</w:t>
      </w:r>
      <w:bookmarkEnd w:id="91"/>
    </w:p>
    <w:p w14:paraId="5BB3D524" w14:textId="77777777" w:rsidR="00EB171F" w:rsidRDefault="002E650E">
      <w:r>
        <w:t>In some cases, it may be necessary to show that a witness or a source has variants in separate places that are related to each other. For example, the text of Calp. 6.68 is as follows: ‘</w:t>
      </w:r>
      <w:r>
        <w:rPr>
          <w:rStyle w:val="teiforeign"/>
          <w:lang w:val="uz-Cyrl-UZ"/>
        </w:rPr>
        <w:t>imminet exesa veluti testudine concha.</w:t>
      </w:r>
      <w:r>
        <w:t xml:space="preserve">’. Heinsius proposes </w:t>
      </w:r>
      <w:r>
        <w:rPr>
          <w:rStyle w:val="teiforeign"/>
          <w:lang w:val="uz-Cyrl-UZ"/>
        </w:rPr>
        <w:t>exesae - conchae</w:t>
      </w:r>
      <w:r>
        <w:t xml:space="preserve">. That means that whenever </w:t>
      </w:r>
      <w:r>
        <w:rPr>
          <w:rStyle w:val="teiforeign"/>
          <w:lang w:val="uz-Cyrl-UZ"/>
        </w:rPr>
        <w:t>exesa</w:t>
      </w:r>
      <w:r>
        <w:t xml:space="preserve"> is displayed, </w:t>
      </w:r>
      <w:r>
        <w:rPr>
          <w:rStyle w:val="teiforeign"/>
          <w:lang w:val="uz-Cyrl-UZ"/>
        </w:rPr>
        <w:t>concha</w:t>
      </w:r>
      <w:r>
        <w:t xml:space="preserve"> must also be displayed, and whenever one of Heinsius’ conjectures is displayed, the other one must accompany it.</w:t>
      </w:r>
    </w:p>
    <w:p w14:paraId="1D04B5B9" w14:textId="77777777" w:rsidR="00EB171F" w:rsidRDefault="002E650E">
      <w:r>
        <w:t xml:space="preserve">As with </w:t>
      </w:r>
      <w:r>
        <w:fldChar w:fldCharType="begin"/>
      </w:r>
      <w:r>
        <w:instrText>REF apparatus-criticus-transposition \n \h</w:instrText>
      </w:r>
      <w:r>
        <w:fldChar w:fldCharType="separate"/>
      </w:r>
      <w:r>
        <w:t>line transpositions</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58BC4668" w14:textId="77777777" w:rsidR="00EB171F" w:rsidRDefault="002E650E">
      <w:pPr>
        <w:pStyle w:val="Special"/>
      </w:pPr>
      <w:r>
        <w:t>&lt;</w:t>
      </w:r>
      <w:r>
        <w:rPr>
          <w:b/>
        </w:rPr>
        <w:t>l</w:t>
      </w:r>
      <w:r>
        <w:t>&gt;imminet &lt;</w:t>
      </w:r>
      <w:r>
        <w:rPr>
          <w:b/>
        </w:rPr>
        <w:t>app</w:t>
      </w:r>
      <w:r>
        <w:t>&gt;</w:t>
      </w:r>
      <w:r>
        <w:br/>
        <w:t>  &lt;</w:t>
      </w:r>
      <w:r>
        <w:rPr>
          <w:b/>
        </w:rPr>
        <w:t>lem</w:t>
      </w:r>
      <w:r>
        <w:t> </w:t>
      </w:r>
      <w:r>
        <w:rPr>
          <w:b/>
        </w:rPr>
        <w:t>exclude</w:t>
      </w:r>
      <w:r>
        <w:t>="#rdg-6.68-conchae"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49E5F991" w14:textId="77777777" w:rsidR="00EB171F" w:rsidRDefault="002E650E">
      <w:pPr>
        <w:pStyle w:val="Heading3"/>
      </w:pPr>
      <w:bookmarkStart w:id="92" w:name="apparatus-criticus-correction"/>
      <w:r>
        <w:t>Corrections</w:t>
      </w:r>
      <w:bookmarkEnd w:id="92"/>
    </w:p>
    <w:p w14:paraId="16A41E33" w14:textId="77777777" w:rsidR="00EB171F" w:rsidRDefault="002E650E">
      <w:r>
        <w:t>Correction has been discussed in the section “</w:t>
      </w:r>
      <w:r>
        <w:fldChar w:fldCharType="begin"/>
      </w:r>
      <w:r>
        <w:instrText>REF apparatus-criticus-concepts-definitions \n \h</w:instrText>
      </w:r>
      <w:r>
        <w:fldChar w:fldCharType="separate"/>
      </w:r>
      <w:r>
        <w:t>Concepts and Definitions</w:t>
      </w:r>
      <w:r>
        <w:fldChar w:fldCharType="end"/>
      </w:r>
      <w:r>
        <w:t>.” In short, for the purposes of these guidelines, “correction” describes any attempt by the original copyist or some other hand to alter a witness’ reading, whether or not the result matches what is in the main edition text.</w:t>
      </w:r>
    </w:p>
    <w:p w14:paraId="31273AEF" w14:textId="77777777" w:rsidR="00EB171F" w:rsidRDefault="002E650E">
      <w:r>
        <w:t>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determinations.</w:t>
      </w:r>
    </w:p>
    <w:p w14:paraId="490CA356" w14:textId="77777777" w:rsidR="00EB171F" w:rsidRDefault="002E650E">
      <w:r>
        <w:t>Before reading the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understand the concepts behind the guidelines.</w:t>
      </w:r>
    </w:p>
    <w:p w14:paraId="04E30325" w14:textId="77777777" w:rsidR="00EB171F" w:rsidRDefault="002E650E">
      <w:pPr>
        <w:pStyle w:val="Heading4"/>
      </w:pPr>
      <w:bookmarkStart w:id="93" w:name="apparatus-criticus-correction-as-metadat"/>
      <w:r>
        <w:t>Correction as Metadata</w:t>
      </w:r>
      <w:bookmarkEnd w:id="93"/>
    </w:p>
    <w:p w14:paraId="13FC614F" w14:textId="77777777" w:rsidR="00EB171F" w:rsidRDefault="002E650E">
      <w:r>
        <w:t xml:space="preserve">Over time, editors have devised creative ways of reporting corrections. The simplest method is to report readings and annotate them with </w:t>
      </w:r>
      <w:r>
        <w:rPr>
          <w:rStyle w:val="teiforeign"/>
          <w:lang w:val="uz-Cyrl-UZ"/>
        </w:rPr>
        <w:t>ante correctionem</w:t>
      </w:r>
      <w:r>
        <w:t xml:space="preserve">, </w:t>
      </w:r>
      <w:r>
        <w:rPr>
          <w:rStyle w:val="teiforeign"/>
          <w:lang w:val="uz-Cyrl-UZ"/>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xml:space="preserve">). Sometimes it is necessary to provide more detail about the method of correction, in which cases editors will either describe the correction (e.g., t </w:t>
      </w:r>
      <w:r>
        <w:rPr>
          <w:i/>
        </w:rPr>
        <w:t>exp.</w:t>
      </w:r>
      <w:r>
        <w:t xml:space="preserve">, r </w:t>
      </w:r>
      <w:r>
        <w:rPr>
          <w:i/>
        </w:rPr>
        <w:t>add. s.l.</w:t>
      </w:r>
      <w:r>
        <w:t>) or they will try to represent it typographically (e.g., referṭ</w:t>
      </w:r>
      <w:r>
        <w:rPr>
          <w:vertAlign w:val="superscript"/>
        </w:rPr>
        <w:t>r</w:t>
      </w:r>
      <w:r>
        <w:t>e). Some rely on superscript notation for all of these details (e.g., P</w:t>
      </w:r>
      <w:r>
        <w:rPr>
          <w:vertAlign w:val="superscript"/>
        </w:rPr>
        <w:t>csl</w:t>
      </w:r>
      <w:r>
        <w:t xml:space="preserve"> = P </w:t>
      </w:r>
      <w:r>
        <w:rPr>
          <w:rStyle w:val="teiforeign"/>
          <w:lang w:val="uz-Cyrl-UZ"/>
        </w:rPr>
        <w:t>correctio supra lineam</w:t>
      </w:r>
      <w:r>
        <w:t>).</w:t>
      </w:r>
    </w:p>
    <w:p w14:paraId="542DD662" w14:textId="77777777" w:rsidR="00EB171F" w:rsidRDefault="002E650E">
      <w:r>
        <w:t>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14:paraId="7D8660C3" w14:textId="77777777" w:rsidR="00EB171F" w:rsidRDefault="002E650E">
      <w:r>
        <w:t xml:space="preserve">Aside from judgments about correctness, “correction” may involve at least five kinds of information: </w:t>
      </w:r>
    </w:p>
    <w:p w14:paraId="273B2003" w14:textId="77777777" w:rsidR="00EB171F" w:rsidRDefault="002E650E">
      <w:pPr>
        <w:pStyle w:val="ListContinue"/>
        <w:numPr>
          <w:ilvl w:val="0"/>
          <w:numId w:val="2"/>
        </w:numPr>
      </w:pPr>
      <w:r>
        <w:t>a reading.</w:t>
      </w:r>
    </w:p>
    <w:p w14:paraId="2247E0A5" w14:textId="77777777" w:rsidR="00EB171F" w:rsidRDefault="002E650E">
      <w:pPr>
        <w:pStyle w:val="ListContinue"/>
        <w:numPr>
          <w:ilvl w:val="0"/>
          <w:numId w:val="2"/>
        </w:numPr>
      </w:pPr>
      <w:r>
        <w:t>the state of the reading: original or altered.</w:t>
      </w:r>
    </w:p>
    <w:p w14:paraId="3A81CD58" w14:textId="77777777" w:rsidR="00EB171F" w:rsidRDefault="002E650E">
      <w:pPr>
        <w:pStyle w:val="ListContinue"/>
        <w:numPr>
          <w:ilvl w:val="0"/>
          <w:numId w:val="2"/>
        </w:numPr>
      </w:pPr>
      <w:r>
        <w:t>an agent or agents (i.e., the correcting hand or hands).</w:t>
      </w:r>
    </w:p>
    <w:p w14:paraId="20AF73AD" w14:textId="77777777" w:rsidR="00EB171F" w:rsidRDefault="002E650E">
      <w:pPr>
        <w:pStyle w:val="ListContinue"/>
        <w:numPr>
          <w:ilvl w:val="0"/>
          <w:numId w:val="2"/>
        </w:numPr>
      </w:pPr>
      <w:r>
        <w:t>a method or methods of correction (i.e., deletion, addition above the line, etc.).</w:t>
      </w:r>
    </w:p>
    <w:p w14:paraId="05F56B00" w14:textId="77777777" w:rsidR="00EB171F" w:rsidRDefault="002E650E">
      <w:pPr>
        <w:pStyle w:val="ListContinue"/>
        <w:numPr>
          <w:ilvl w:val="0"/>
          <w:numId w:val="2"/>
        </w:numPr>
      </w:pPr>
      <w:r>
        <w:t>the relationship between the original reading and the altered reading.</w:t>
      </w:r>
    </w:p>
    <w:p w14:paraId="3316867D" w14:textId="77777777" w:rsidR="00EB171F" w:rsidRDefault="002E650E">
      <w:r>
        <w:t>In the context of a digital edition, it is useful to think of readings as the data, and the information about state, agency, method, and relationship as metadata, or data about the data.</w:t>
      </w:r>
    </w:p>
    <w:p w14:paraId="023238B0" w14:textId="77777777" w:rsidR="00EB171F" w:rsidRDefault="002E650E">
      <w:r>
        <w:t>Not all of these metadata items will be reported in every instance. The original reading, for example, obviously does not have an agent (beyond the witness to the reading) or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14:paraId="5BB57228" w14:textId="77777777" w:rsidR="00EB171F" w:rsidRDefault="002E650E">
      <w:r>
        <w:t>It is possible to use techniques described elsewhere in these guidelines to encode the details of corrections (e.g., deletion and/or addition of characters), but it is also possible to describe those details in prose. The examples below demonstrate both options.</w:t>
      </w:r>
    </w:p>
    <w:p w14:paraId="5AE9478B" w14:textId="77777777" w:rsidR="00EB171F" w:rsidRDefault="002E650E">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However, in cases where there are multiple hands or other factors to consider, hard coding the state of correction may restrict options for representing the manuscript's data.</w:t>
      </w:r>
    </w:p>
    <w:p w14:paraId="426A7643" w14:textId="77777777" w:rsidR="00EB171F" w:rsidRDefault="002E650E">
      <w:pPr>
        <w:pStyle w:val="Heading4"/>
      </w:pPr>
      <w:bookmarkStart w:id="94" w:name="apparatus-criticus-correction-specs"/>
      <w:r>
        <w:t>Correction: Specifications</w:t>
      </w:r>
      <w:bookmarkEnd w:id="94"/>
    </w:p>
    <w:p w14:paraId="0947CF38" w14:textId="77777777" w:rsidR="00EB171F" w:rsidRDefault="002E650E">
      <w:r>
        <w:t>Readings before and after correction are encoded as any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22E559E2" w14:textId="77777777" w:rsidR="00EB171F" w:rsidRDefault="002E650E">
      <w:r>
        <w:t>&lt;</w:t>
      </w:r>
      <w:r>
        <w:rPr>
          <w:rFonts w:ascii="Courier" w:hAnsi="Courier"/>
        </w:rPr>
        <w:t>witDetail</w:t>
      </w:r>
      <w:r>
        <w:t>&gt; (witness detail) may be empty (i.e., self-closing) or it may contain a prose description. If empty, the values of the attributes (described below) will provide the essential information.</w:t>
      </w:r>
    </w:p>
    <w:p w14:paraId="53B5F1F7" w14:textId="77777777" w:rsidR="00EB171F" w:rsidRDefault="002E650E">
      <w:r>
        <w:rPr>
          <w:i/>
        </w:rPr>
        <w:t>@wit</w:t>
      </w:r>
      <w:r>
        <w:t xml:space="preserve"> (witness) has as its value the machine-readable siglum of the witness that has the original or the altered reading.</w:t>
      </w:r>
    </w:p>
    <w:p w14:paraId="061079C9" w14:textId="77777777" w:rsidR="00EB171F" w:rsidRDefault="002E650E">
      <w:r>
        <w:rPr>
          <w:i/>
        </w:rPr>
        <w:t>@target</w:t>
      </w:r>
      <w:r>
        <w:t xml:space="preserve"> has as its value the </w:t>
      </w:r>
      <w:r>
        <w:rPr>
          <w:i/>
        </w:rPr>
        <w:t>@xml:id</w:t>
      </w:r>
      <w:r>
        <w:t xml:space="preserve"> of the reading in question.</w:t>
      </w:r>
    </w:p>
    <w:p w14:paraId="411CBA75" w14:textId="77777777" w:rsidR="00EB171F" w:rsidRDefault="002E650E">
      <w:r>
        <w:rPr>
          <w:i/>
        </w:rPr>
        <w:t>@type</w:t>
      </w:r>
      <w:r>
        <w:t xml:space="preserve"> has one of the following values to classify the correction. Possible values:</w:t>
      </w:r>
    </w:p>
    <w:p w14:paraId="0629FB51" w14:textId="77777777" w:rsidR="00EB171F" w:rsidRDefault="002E650E">
      <w:pPr>
        <w:pStyle w:val="ListContinue"/>
        <w:numPr>
          <w:ilvl w:val="0"/>
          <w:numId w:val="2"/>
        </w:numPr>
      </w:pPr>
      <w:r>
        <w:t>correction-original: the original reading, i.e., before correction (</w:t>
      </w:r>
      <w:r>
        <w:rPr>
          <w:rStyle w:val="teiforeign"/>
          <w:lang w:val="uz-Cyrl-UZ"/>
        </w:rPr>
        <w:t>ante         correctionem</w:t>
      </w:r>
      <w:r>
        <w:t xml:space="preserve"> or a.c.). If &lt;</w:t>
      </w:r>
      <w:r>
        <w:rPr>
          <w:rFonts w:ascii="Courier" w:hAnsi="Courier"/>
        </w:rPr>
        <w:t>witDetail</w:t>
      </w:r>
      <w:r>
        <w:t xml:space="preserve">&gt; with this type is self-closing, the LDLT reader will insert "(a.c.)" after 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139AF99E" w14:textId="77777777" w:rsidR="00EB171F" w:rsidRDefault="002E650E">
      <w:pPr>
        <w:pStyle w:val="ListContinue"/>
        <w:numPr>
          <w:ilvl w:val="0"/>
          <w:numId w:val="2"/>
        </w:numPr>
      </w:pPr>
      <w:r>
        <w:t>correction-altered: the altered reading, i.e., after correction (</w:t>
      </w:r>
      <w:r>
        <w:rPr>
          <w:rStyle w:val="teiforeign"/>
          <w:lang w:val="uz-Cyrl-UZ"/>
        </w:rPr>
        <w:t>post         correctionem</w:t>
      </w:r>
      <w:r>
        <w:t xml:space="preserve"> or p.c.). If &lt;</w:t>
      </w:r>
      <w:r>
        <w:rPr>
          <w:rFonts w:ascii="Courier" w:hAnsi="Courier"/>
        </w:rPr>
        <w:t>witDetail</w:t>
      </w:r>
      <w:r>
        <w:t xml:space="preserve">&gt; with this type is self-closing, the LDLT reader will insert "(p.c.)" after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@witt</w:t>
      </w:r>
      <w:r>
        <w:t>.</w:t>
      </w:r>
    </w:p>
    <w:p w14:paraId="3B66D5CD" w14:textId="77777777" w:rsidR="00EB171F" w:rsidRDefault="002E650E">
      <w:r>
        <w:t>It is impossible to describe all of the possible scenarios for correction, but the examples in the following sections should provide a basis for determining how to encode the most common instances.</w:t>
      </w:r>
    </w:p>
    <w:p w14:paraId="7324E42C" w14:textId="77777777" w:rsidR="00EB171F" w:rsidRDefault="002E650E">
      <w:pPr>
        <w:pStyle w:val="Heading4"/>
      </w:pPr>
      <w:bookmarkStart w:id="95" w:name="apparatus-criticus-correction-examples"/>
      <w:r>
        <w:t>Correction: Examples</w:t>
      </w:r>
      <w:bookmarkEnd w:id="95"/>
    </w:p>
    <w:p w14:paraId="69526FDB" w14:textId="77777777" w:rsidR="00EB171F" w:rsidRDefault="002E650E">
      <w:pPr>
        <w:pStyle w:val="Heading5"/>
      </w:pPr>
      <w:bookmarkStart w:id="96" w:name="apparatus-criticus-correction-examples-1"/>
      <w:r>
        <w:t>Example 1</w:t>
      </w:r>
      <w:bookmarkEnd w:id="96"/>
    </w:p>
    <w:p w14:paraId="1A9A18C6" w14:textId="77777777" w:rsidR="00EB171F" w:rsidRDefault="002E650E">
      <w:r>
        <w:t xml:space="preserve">The first example is simple correction of a variant reading to the lemma: protegit] protegis </w:t>
      </w:r>
      <w:r>
        <w:rPr>
          <w:b/>
        </w:rPr>
        <w:t>G</w:t>
      </w:r>
      <w:r>
        <w:t xml:space="preserve"> (a.c.).</w:t>
      </w:r>
    </w:p>
    <w:p w14:paraId="24B53335" w14:textId="77777777" w:rsidR="00EB171F" w:rsidRDefault="002E650E">
      <w:r>
        <w:t xml:space="preserve">It is clear in this instance what the reading after correction is, so there is no need to report it. There is also no need to list all of the other witnesses to the lemma, since it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lang w:val="uz-Cyrl-UZ"/>
        </w:rPr>
        <w:t>protegis</w:t>
      </w:r>
      <w:r>
        <w:t xml:space="preserve"> for the lemma </w:t>
      </w:r>
      <w:r>
        <w:rPr>
          <w:rStyle w:val="teiforeign"/>
          <w:lang w:val="uz-Cyrl-UZ"/>
        </w:rPr>
        <w:t>protegit</w:t>
      </w:r>
      <w:r>
        <w:t xml:space="preserve">, to which the variant reading in </w:t>
      </w:r>
      <w:r>
        <w:rPr>
          <w:b/>
        </w:rPr>
        <w:t>G</w:t>
      </w:r>
      <w:r>
        <w:t xml:space="preserve"> has been corrected in some way.</w:t>
      </w:r>
    </w:p>
    <w:p w14:paraId="567A3279" w14:textId="77777777" w:rsidR="00EB171F" w:rsidRDefault="002E650E">
      <w:r>
        <w:t>The encoding for the prose method and the semantic markup method are identical for such a straightforward correction:</w:t>
      </w:r>
    </w:p>
    <w:p w14:paraId="28EF2AF8" w14:textId="77777777" w:rsidR="00EB171F" w:rsidRDefault="002E650E">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7A502BDB" w14:textId="77777777" w:rsidR="00EB171F" w:rsidRDefault="002E650E">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lang w:val="uz-Cyrl-UZ"/>
        </w:rPr>
        <w:t>protegis</w:t>
      </w:r>
      <w:r>
        <w:t xml:space="preserve"> is the original, uncorrected form.</w:t>
      </w:r>
    </w:p>
    <w:p w14:paraId="70AF6080" w14:textId="77777777" w:rsidR="00EB171F" w:rsidRDefault="002E650E">
      <w:pPr>
        <w:pStyle w:val="Heading5"/>
      </w:pPr>
      <w:bookmarkStart w:id="97" w:name="apparatus-criticus-correction-examples-2"/>
      <w:r>
        <w:t>Example 2</w:t>
      </w:r>
      <w:bookmarkEnd w:id="97"/>
    </w:p>
    <w:p w14:paraId="1315F6BA" w14:textId="77777777" w:rsidR="00EB171F" w:rsidRDefault="002E650E">
      <w:r>
        <w:t>This example is similar to the first one, but it is necessary to indicate the hand that made the correction.</w:t>
      </w:r>
    </w:p>
    <w:p w14:paraId="4CA70A85" w14:textId="77777777" w:rsidR="00EB171F" w:rsidRDefault="002E650E">
      <w:r>
        <w:t xml:space="preserve">The lemma is </w:t>
      </w:r>
      <w:r>
        <w:rPr>
          <w:rStyle w:val="teiforeign"/>
          <w:lang w:val="uz-Cyrl-UZ"/>
        </w:rPr>
        <w:t>insidias</w:t>
      </w:r>
      <w:r>
        <w:t xml:space="preserve">. Manuscript </w:t>
      </w:r>
      <w:r>
        <w:rPr>
          <w:b/>
        </w:rPr>
        <w:t>N</w:t>
      </w:r>
      <w:r>
        <w:t xml:space="preserve"> has </w:t>
      </w:r>
      <w:r>
        <w:rPr>
          <w:rStyle w:val="teiforeign"/>
          <w:lang w:val="uz-Cyrl-UZ"/>
        </w:rPr>
        <w:t>insidia</w:t>
      </w:r>
      <w:r>
        <w:t xml:space="preserve">; </w:t>
      </w:r>
      <w:r>
        <w:rPr>
          <w:b/>
        </w:rPr>
        <w:t>N</w:t>
      </w:r>
      <w:r>
        <w:rPr>
          <w:b/>
          <w:vertAlign w:val="superscript"/>
        </w:rPr>
        <w:t>2</w:t>
      </w:r>
      <w:r>
        <w:t xml:space="preserve"> has added the letter “s.” A traditional apparatus criticus might report this as follows: insidias] insidia </w:t>
      </w:r>
      <w:r>
        <w:rPr>
          <w:b/>
        </w:rPr>
        <w:t>N</w:t>
      </w:r>
      <w:r>
        <w:t xml:space="preserve"> (corr. </w:t>
      </w:r>
      <w:r>
        <w:rPr>
          <w:b/>
        </w:rPr>
        <w:t>N</w:t>
      </w:r>
      <w:r>
        <w:rPr>
          <w:b/>
          <w:vertAlign w:val="superscript"/>
        </w:rPr>
        <w:t>2</w:t>
      </w:r>
      <w:r>
        <w:t>).</w:t>
      </w:r>
    </w:p>
    <w:p w14:paraId="3F4B7F10" w14:textId="77777777" w:rsidR="00EB171F" w:rsidRDefault="002E650E">
      <w:r>
        <w:t>As in the first example, the encoding for the prose method and the semantic markup method are identical:</w:t>
      </w:r>
    </w:p>
    <w:p w14:paraId="4E564E1F" w14:textId="77777777" w:rsidR="00EB171F" w:rsidRDefault="002E650E">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5FFFD5C6" w14:textId="77777777" w:rsidR="00EB171F" w:rsidRDefault="002E650E">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74B8F6F3" w14:textId="77777777" w:rsidR="00EB171F" w:rsidRDefault="002E650E">
      <w:pPr>
        <w:pStyle w:val="Heading5"/>
      </w:pPr>
      <w:bookmarkStart w:id="98" w:name="apparatus-criticus-correction-examples-3"/>
      <w:r>
        <w:t>Example 3</w:t>
      </w:r>
      <w:bookmarkEnd w:id="98"/>
    </w:p>
    <w:p w14:paraId="76E6C94D" w14:textId="77777777" w:rsidR="00EB171F" w:rsidRDefault="002E650E">
      <w:r>
        <w:t>In this example, a variant reading is corrected to the lemma, but for a number of reasons it is important to indicate the reading before and after correction.</w:t>
      </w:r>
    </w:p>
    <w:p w14:paraId="0EC58716" w14:textId="77777777" w:rsidR="00EB171F" w:rsidRDefault="002E650E">
      <w:r>
        <w:t xml:space="preserve">The witness </w:t>
      </w:r>
      <w:r>
        <w:rPr>
          <w:b/>
        </w:rPr>
        <w:t>N</w:t>
      </w:r>
      <w:r>
        <w:t xml:space="preserve"> originally had </w:t>
      </w:r>
      <w:r>
        <w:rPr>
          <w:i/>
        </w:rPr>
        <w:t>co</w:t>
      </w:r>
      <w:r>
        <w:t xml:space="preserve"> and </w:t>
      </w:r>
      <w:r>
        <w:rPr>
          <w:i/>
        </w:rPr>
        <w:t>ice</w:t>
      </w:r>
      <w:r>
        <w:t xml:space="preserve"> with an erasure of two characters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4ADC1110" w14:textId="77777777" w:rsidR="00EB171F" w:rsidRDefault="002E650E">
      <w:r>
        <w:t xml:space="preserve">A traditional apparatus criticus might report this as follows: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co⟦..⟧ice </w:t>
      </w:r>
      <w:r>
        <w:rPr>
          <w:b/>
        </w:rPr>
        <w:t>N</w:t>
      </w:r>
      <w:r>
        <w:t xml:space="preserve"> (a.c.) : codice </w:t>
      </w:r>
      <w:r>
        <w:rPr>
          <w:b/>
        </w:rPr>
        <w:t>G A</w:t>
      </w:r>
      <w:r>
        <w:t>.</w:t>
      </w:r>
    </w:p>
    <w:p w14:paraId="778763E2" w14:textId="77777777" w:rsidR="00EB171F" w:rsidRDefault="002E650E">
      <w:r>
        <w:t>In the prose method, the details are described in &lt;</w:t>
      </w:r>
      <w:r>
        <w:rPr>
          <w:rFonts w:ascii="Courier" w:hAnsi="Courier"/>
        </w:rPr>
        <w:t>witDetail</w:t>
      </w:r>
      <w:r>
        <w:t>&gt;:</w:t>
      </w:r>
    </w:p>
    <w:p w14:paraId="200FC379" w14:textId="77777777" w:rsidR="00EB171F" w:rsidRDefault="002E650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17CAC1DD" w14:textId="77777777" w:rsidR="00EB171F" w:rsidRDefault="002E650E">
      <w:r>
        <w:t xml:space="preserve">This encoding will produce the following 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587C0B02" w14:textId="77777777" w:rsidR="00EB171F" w:rsidRDefault="002E650E">
      <w:r>
        <w:t>The semantic markup method uses techniques described elsewhere in these guidelines to make the details readable by humans and machines:</w:t>
      </w:r>
    </w:p>
    <w:p w14:paraId="29BF2FC2" w14:textId="77777777" w:rsidR="00EB171F" w:rsidRDefault="002E650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2697EBC3" w14:textId="77777777" w:rsidR="00EB171F" w:rsidRDefault="002E650E">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2D3C59DA" w14:textId="77777777" w:rsidR="00EB171F" w:rsidRDefault="002E650E">
      <w:pPr>
        <w:pStyle w:val="Heading5"/>
      </w:pPr>
      <w:bookmarkStart w:id="99" w:name="apparatus-criticus-correction-examples-4"/>
      <w:r>
        <w:t>Example 4</w:t>
      </w:r>
      <w:bookmarkEnd w:id="99"/>
    </w:p>
    <w:p w14:paraId="7F4FDB01" w14:textId="77777777" w:rsidR="00EB171F" w:rsidRDefault="002E650E">
      <w:r>
        <w:t>This example includes multiple corrections.</w:t>
      </w:r>
    </w:p>
    <w:p w14:paraId="3591BB43" w14:textId="77777777" w:rsidR="00EB171F" w:rsidRDefault="002E650E">
      <w:r>
        <w:t xml:space="preserve">The lemma is </w:t>
      </w:r>
      <w:r>
        <w:rPr>
          <w:rStyle w:val="teiforeign"/>
          <w:lang w:val="uz-Cyrl-UZ"/>
        </w:rPr>
        <w:t>descripta</w:t>
      </w:r>
      <w:r>
        <w:t xml:space="preserve">. Manuscript </w:t>
      </w:r>
      <w:r>
        <w:rPr>
          <w:b/>
        </w:rPr>
        <w:t>N</w:t>
      </w:r>
      <w:r>
        <w:t xml:space="preserve"> originally had </w:t>
      </w:r>
      <w:r>
        <w:rPr>
          <w:rStyle w:val="teiforeign"/>
          <w:lang w:val="uz-Cyrl-UZ"/>
        </w:rPr>
        <w:t>dipicta</w:t>
      </w:r>
      <w:r>
        <w:t xml:space="preserve">, but </w:t>
      </w:r>
      <w:r>
        <w:rPr>
          <w:b/>
        </w:rPr>
        <w:t>N</w:t>
      </w:r>
      <w:r>
        <w:rPr>
          <w:b/>
          <w:vertAlign w:val="superscript"/>
        </w:rPr>
        <w:t>1</w:t>
      </w:r>
      <w:r>
        <w:t xml:space="preserve"> corrected it to </w:t>
      </w:r>
      <w:r>
        <w:rPr>
          <w:rStyle w:val="teiforeign"/>
          <w:lang w:val="uz-Cyrl-UZ"/>
        </w:rPr>
        <w:t>depicta</w:t>
      </w:r>
      <w:r>
        <w:t>. Another hand (</w:t>
      </w:r>
      <w:r>
        <w:rPr>
          <w:b/>
        </w:rPr>
        <w:t>N</w:t>
      </w:r>
      <w:r>
        <w:rPr>
          <w:b/>
          <w:vertAlign w:val="superscript"/>
        </w:rPr>
        <w:t>2</w:t>
      </w:r>
      <w:r>
        <w:t xml:space="preserve"> has </w:t>
      </w:r>
      <w:r>
        <w:rPr>
          <w:rStyle w:val="teiforeign"/>
          <w:lang w:val="uz-Cyrl-UZ"/>
        </w:rPr>
        <w:t>descripta</w:t>
      </w:r>
      <w:r>
        <w:t xml:space="preserve"> in the margin. Other manuscripts support these and other readings.</w:t>
      </w:r>
    </w:p>
    <w:p w14:paraId="32C9C398" w14:textId="77777777" w:rsidR="00EB171F" w:rsidRDefault="002E650E">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01617849" w14:textId="77777777" w:rsidR="00EB171F" w:rsidRDefault="002E650E">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135048BC" w14:textId="77777777" w:rsidR="00EB171F" w:rsidRDefault="002E650E">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0A032154" w14:textId="77777777" w:rsidR="00EB171F" w:rsidRDefault="002E650E">
      <w:r>
        <w:t>Note that it is not possible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witDetail</w:t>
      </w:r>
      <w:r>
        <w:t>&gt;.</w:t>
      </w:r>
    </w:p>
    <w:p w14:paraId="35224801" w14:textId="77777777" w:rsidR="00EB171F" w:rsidRDefault="002E650E">
      <w:pPr>
        <w:pStyle w:val="Heading3"/>
      </w:pPr>
      <w:r>
        <w:t>Conjecture and Emendation</w:t>
      </w:r>
    </w:p>
    <w:p w14:paraId="7F311E32" w14:textId="77777777" w:rsidR="00EB171F" w:rsidRDefault="002E650E">
      <w:r>
        <w:t xml:space="preserve">As explained in the section </w:t>
      </w:r>
      <w:r>
        <w:fldChar w:fldCharType="begin"/>
      </w:r>
      <w:r>
        <w:instrText>REF apparatus-criticus-concepts-definitions \n \h</w:instrText>
      </w:r>
      <w:r>
        <w:fldChar w:fldCharType="separate"/>
      </w:r>
      <w:r>
        <w:t>Concepts and Definitions</w:t>
      </w:r>
      <w:r>
        <w:fldChar w:fldCharType="end"/>
      </w:r>
      <w:r>
        <w:t>,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1A6065D5" w14:textId="77777777" w:rsidR="00EB171F" w:rsidRDefault="002E650E">
      <w:r>
        <w:t xml:space="preserve">Traditionally, conjectures and emendations have been annotated in various ways in critical editions (e.g., </w:t>
      </w:r>
      <w:r>
        <w:rPr>
          <w:rStyle w:val="teiforeign"/>
          <w:lang w:val="uz-Cyrl-UZ"/>
        </w:rPr>
        <w:t>ci.</w:t>
      </w:r>
      <w:r>
        <w:t xml:space="preserve"> or </w:t>
      </w:r>
      <w:r>
        <w:rPr>
          <w:rStyle w:val="teiforeign"/>
          <w:lang w:val="uz-Cyrl-UZ"/>
        </w:rPr>
        <w:t>conj.</w:t>
      </w:r>
      <w:r>
        <w:t xml:space="preserve"> for </w:t>
      </w:r>
      <w:r>
        <w:rPr>
          <w:rStyle w:val="teiforeign"/>
          <w:lang w:val="uz-Cyrl-UZ"/>
        </w:rPr>
        <w:t>coniecit</w:t>
      </w:r>
      <w:r>
        <w:t xml:space="preserve">, </w:t>
      </w:r>
      <w:r>
        <w:rPr>
          <w:rStyle w:val="teiforeign"/>
          <w:lang w:val="uz-Cyrl-UZ"/>
        </w:rPr>
        <w:t>em.</w:t>
      </w:r>
      <w:r>
        <w:t xml:space="preserve"> or </w:t>
      </w:r>
      <w:r>
        <w:rPr>
          <w:rStyle w:val="teiforeign"/>
          <w:lang w:val="uz-Cyrl-UZ"/>
        </w:rPr>
        <w:t>emend.</w:t>
      </w:r>
      <w:r>
        <w:t xml:space="preserve"> for </w:t>
      </w:r>
      <w:r>
        <w:rPr>
          <w:rStyle w:val="teiforeign"/>
          <w:lang w:val="uz-Cyrl-UZ"/>
        </w:rPr>
        <w:t>emendavit</w:t>
      </w:r>
      <w:r>
        <w:t xml:space="preserve">, among others). They should be annotated in digital editions, too, both to facilitate their identification and to enable features such as filtering and searching for them. The annotation is accomplished with </w:t>
      </w:r>
      <w:r>
        <w:rPr>
          <w:i/>
        </w:rPr>
        <w:t>@type</w:t>
      </w:r>
      <w:r>
        <w:t>.</w:t>
      </w:r>
    </w:p>
    <w:p w14:paraId="7F2F4968" w14:textId="77777777" w:rsidR="00EB171F" w:rsidRDefault="002E650E">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p>
    <w:p w14:paraId="5420215A" w14:textId="77777777" w:rsidR="00EB171F" w:rsidRDefault="002E650E">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 available as a criterion for searching and filtering.</w:t>
      </w:r>
    </w:p>
    <w:p w14:paraId="6FAC5C39" w14:textId="77777777" w:rsidR="00EB171F" w:rsidRDefault="002E650E">
      <w:r>
        <w:t>The following example demonstrates how to encode both an emendation and a conjecture.</w:t>
      </w:r>
    </w:p>
    <w:p w14:paraId="425AF171" w14:textId="77777777" w:rsidR="00EB171F" w:rsidRDefault="002E650E">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35ED43E8" w14:textId="77777777" w:rsidR="00EB171F" w:rsidRDefault="002E650E">
      <w:r>
        <w:t xml:space="preserve">This encoding will produce </w:t>
      </w:r>
      <w:r>
        <w:rPr>
          <w:rStyle w:val="teiforeign"/>
          <w:lang w:val="uz-Cyrl-UZ"/>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 xml:space="preserve">ω </w:t>
      </w:r>
      <w:r>
        <w:rPr>
          <w:i/>
        </w:rPr>
        <w:t>edd</w:t>
      </w:r>
      <w:r>
        <w:t xml:space="preserve">., rivumque </w:t>
      </w:r>
      <w:r>
        <w:rPr>
          <w:i/>
        </w:rPr>
        <w:t>ci.</w:t>
      </w:r>
      <w:r>
        <w:t xml:space="preserve"> Baehr., pronumque </w:t>
      </w:r>
      <w:r>
        <w:rPr>
          <w:i/>
        </w:rPr>
        <w:t>ci</w:t>
      </w:r>
      <w:r>
        <w:t>. C. Schenkl.</w:t>
      </w:r>
    </w:p>
    <w:p w14:paraId="6A52FC89" w14:textId="77777777" w:rsidR="00EB171F" w:rsidRDefault="002E650E">
      <w:r>
        <w:t>Multiple conjectures proposed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lang w:val="uz-Cyrl-UZ"/>
        </w:rPr>
        <w:t>vel</w:t>
      </w:r>
      <w:r>
        <w:t xml:space="preserve"> (or something similar).</w:t>
      </w:r>
    </w:p>
    <w:p w14:paraId="0CAF0B22" w14:textId="77777777" w:rsidR="00EB171F" w:rsidRDefault="002E650E">
      <w:pPr>
        <w:pStyle w:val="Special"/>
      </w:pPr>
      <w:r>
        <w:t>&lt;</w:t>
      </w:r>
      <w:r>
        <w:rPr>
          <w:b/>
        </w:rPr>
        <w:t>app</w:t>
      </w:r>
      <w:r>
        <w:t>&gt;</w:t>
      </w:r>
      <w:r>
        <w:br/>
        <w:t> &lt;</w:t>
      </w:r>
      <w:r>
        <w:rPr>
          <w:b/>
        </w:rPr>
        <w:t>lem</w:t>
      </w:r>
      <w:r>
        <w:t>&gt;pallenti&lt;/</w:t>
      </w:r>
      <w:r>
        <w:rPr>
          <w:b/>
        </w:rPr>
        <w:t>lem</w:t>
      </w:r>
      <w:r>
        <w:t>&gt;</w:t>
      </w:r>
      <w:r>
        <w:br/>
        <w:t> &lt;</w:t>
      </w:r>
      <w:r>
        <w:rPr>
          <w:b/>
        </w:rPr>
        <w:t>rdgGrp</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 &lt;/</w:t>
      </w:r>
      <w:r>
        <w:rPr>
          <w:b/>
        </w:rPr>
        <w:t>rdgGrp</w:t>
      </w:r>
      <w:r>
        <w:t>&gt;</w:t>
      </w:r>
      <w:r>
        <w:br/>
        <w:t>&lt;/</w:t>
      </w:r>
      <w:r>
        <w:rPr>
          <w:b/>
        </w:rPr>
        <w:t>app</w:t>
      </w:r>
      <w:r>
        <w:t>&gt;</w:t>
      </w:r>
    </w:p>
    <w:p w14:paraId="324AD864" w14:textId="77777777" w:rsidR="00EB171F" w:rsidRDefault="002E650E">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7C5C4147" w14:textId="77777777" w:rsidR="00EB171F" w:rsidRDefault="002E650E">
      <w:pPr>
        <w:pStyle w:val="Heading4"/>
      </w:pPr>
      <w:r>
        <w:t>Tentative Conjectures</w:t>
      </w:r>
    </w:p>
    <w:p w14:paraId="7A412F89" w14:textId="77777777" w:rsidR="00EB171F" w:rsidRDefault="002E650E">
      <w:r>
        <w:t>Occasionally, editors propose conjectures at the end of an entry in the critical apparatus but express uncertainty or doubt about the viability of the proposal.</w:t>
      </w:r>
    </w:p>
    <w:p w14:paraId="31C98698" w14:textId="77777777" w:rsidR="00EB171F" w:rsidRDefault="002E650E">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lang w:val="uz-Cyrl-UZ"/>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1B3D3762" w14:textId="77777777" w:rsidR="00EB171F" w:rsidRDefault="002E650E">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14:paraId="16826CFE" w14:textId="77777777" w:rsidR="00EB171F" w:rsidRDefault="002E650E">
      <w:r>
        <w:t xml:space="preserve">For example, Cynthia Damon prints the following in her OCT edition of Caesar's De Bello Civili at 1.24.3: relicto praetore] -tis -oribus </w:t>
      </w:r>
      <w:r>
        <w:rPr>
          <w:i/>
        </w:rPr>
        <w:t>Basiner coll. Cic. Att. 9.6.1 : an</w:t>
      </w:r>
      <w:r>
        <w:t xml:space="preserve"> [r- p-]?</w:t>
      </w:r>
    </w:p>
    <w:p w14:paraId="249BFD34" w14:textId="77777777" w:rsidR="00EB171F" w:rsidRDefault="002E650E">
      <w:r>
        <w:t xml:space="preserve">At the end of that entry, Damon has suggested the deletion of </w:t>
      </w:r>
      <w:r>
        <w:rPr>
          <w:rStyle w:val="teiforeign"/>
          <w:lang w:val="uz-Cyrl-UZ"/>
        </w:rPr>
        <w:t>relicto praetore</w:t>
      </w:r>
      <w:r>
        <w:t>, but it is only a suggestion for others to consider. In an LDLT edition, that would be encoded as follows:</w:t>
      </w:r>
    </w:p>
    <w:p w14:paraId="0F4D7ED2" w14:textId="77777777" w:rsidR="00EB171F" w:rsidRDefault="002E650E">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2B070A58" w14:textId="77777777" w:rsidR="00EB171F" w:rsidRDefault="002E650E">
      <w:pPr>
        <w:pStyle w:val="Heading4"/>
      </w:pPr>
      <w:r>
        <w:t>Editorial Addition and Deletion</w:t>
      </w:r>
    </w:p>
    <w:p w14:paraId="48249375" w14:textId="77777777" w:rsidR="00EB171F" w:rsidRDefault="002E650E">
      <w:r>
        <w:t>In some cases, an editor may wish to indicate that text has been supplied or removed by conjecture. The following subsections describe the methods for encoding editorial additions and deletions.</w:t>
      </w:r>
    </w:p>
    <w:p w14:paraId="3E39BFE7" w14:textId="77777777" w:rsidR="00EB171F" w:rsidRDefault="002E650E">
      <w:pPr>
        <w:pStyle w:val="Heading5"/>
      </w:pPr>
      <w:r>
        <w:t>Editorial Addition</w:t>
      </w:r>
    </w:p>
    <w:p w14:paraId="4883D6EF" w14:textId="77777777" w:rsidR="00EB171F" w:rsidRDefault="002E650E">
      <w:r>
        <w:t>&lt; &gt; = Text added or supplied by conjecture where text does not exist in the documentary evidence.</w:t>
      </w:r>
    </w:p>
    <w:p w14:paraId="04D97CBF" w14:textId="77777777" w:rsidR="00EB171F" w:rsidRDefault="002E650E">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269370C6" w14:textId="77777777" w:rsidR="00EB171F" w:rsidRDefault="002E650E">
      <w:r>
        <w:t xml:space="preserve">For example, Cynthia Damon prints the following in her </w:t>
      </w:r>
      <w:r>
        <w:fldChar w:fldCharType="begin"/>
      </w:r>
      <w:r>
        <w:instrText>REF damon-caesar \n \h</w:instrText>
      </w:r>
      <w:r>
        <w:fldChar w:fldCharType="separate"/>
      </w:r>
      <w:r>
        <w:t>OCT of Caesar's De Bello             Civili</w:t>
      </w:r>
      <w:r>
        <w:fldChar w:fldCharType="end"/>
      </w:r>
      <w:r>
        <w:t xml:space="preserve">: </w:t>
      </w:r>
      <w:r>
        <w:rPr>
          <w:rStyle w:val="teiforeign"/>
          <w:lang w:val="uz-Cyrl-UZ"/>
        </w:rPr>
        <w:t>Ipsi Massilienses et celeritate nauium et scientia     gubernatorum confisi nostros eludebant impetusque eorum     excipiebant &lt;cedendo&gt;.</w:t>
      </w:r>
    </w:p>
    <w:p w14:paraId="015A170D" w14:textId="77777777" w:rsidR="00EB171F" w:rsidRDefault="002E650E">
      <w:r>
        <w:t>Her apparatus criticus has the following:</w:t>
      </w:r>
    </w:p>
    <w:p w14:paraId="78330D42" w14:textId="77777777" w:rsidR="00EB171F" w:rsidRDefault="002E650E">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59909E61" w14:textId="77777777" w:rsidR="00EB171F" w:rsidRDefault="002E650E">
      <w:r>
        <w:t>Every instance of text enclosed in &lt; &gt; indicates that text has been added where text does not exist in the documentary evidence.</w:t>
      </w:r>
    </w:p>
    <w:p w14:paraId="1C18C8EE" w14:textId="77777777" w:rsidR="00EB171F" w:rsidRDefault="002E650E">
      <w:r>
        <w:t>In an LDLT edition, that would be encoded as follows:</w:t>
      </w:r>
    </w:p>
    <w:p w14:paraId="7DE11631" w14:textId="77777777" w:rsidR="00EB171F" w:rsidRDefault="002E650E">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14:paraId="3F1D5DCC" w14:textId="77777777" w:rsidR="00EB171F" w:rsidRDefault="002E650E">
      <w:r>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64A428A9" w14:textId="77777777" w:rsidR="00EB171F" w:rsidRDefault="002E650E">
      <w:r>
        <w:t>If it is desirable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digital version, it will appear inside &lt; and &gt;.</w:t>
      </w:r>
    </w:p>
    <w:p w14:paraId="08B8B52A" w14:textId="77777777" w:rsidR="00EB171F" w:rsidRDefault="002E650E">
      <w:pPr>
        <w:pStyle w:val="Heading5"/>
      </w:pPr>
      <w:r>
        <w:t>Editorial Deletion</w:t>
      </w:r>
    </w:p>
    <w:p w14:paraId="310AB099" w14:textId="77777777" w:rsidR="00EB171F" w:rsidRDefault="002E650E">
      <w:r>
        <w:t>{ } = Text considered by the editor to be inauthentic, but nevertheless retained between braces in the edition to indicate that it is part of the text’s documentary history.</w:t>
      </w:r>
    </w:p>
    <w:p w14:paraId="0225BB19" w14:textId="77777777" w:rsidR="00EB171F" w:rsidRDefault="002E650E">
      <w:r>
        <w:t xml:space="preserve">Square brackets have 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square brackets have a different meaning for papyrologists and epigraphists (see “</w:t>
      </w:r>
      <w:r>
        <w:fldChar w:fldCharType="begin"/>
      </w:r>
      <w:r>
        <w:instrText>REF apparatus-criticus-omission-known-loss-characters \n \h</w:instrText>
      </w:r>
      <w:r>
        <w:fldChar w:fldCharType="separate"/>
      </w:r>
      <w:r>
        <w:t>Undetermined Amount Of Text Lost</w:t>
      </w:r>
      <w:r>
        <w:fldChar w:fldCharType="end"/>
      </w:r>
      <w:r>
        <w:t>” in these guidelines). Accordingly, LDLT editions follow West’s suggestion to use braces to indicate editorial deletions.</w:t>
      </w:r>
    </w:p>
    <w:p w14:paraId="7C875591" w14:textId="77777777" w:rsidR="00EB171F" w:rsidRDefault="002E650E">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6EEA9150" w14:textId="77777777" w:rsidR="00EB171F" w:rsidRDefault="002E650E">
      <w:pPr>
        <w:pStyle w:val="ListContinue"/>
        <w:numPr>
          <w:ilvl w:val="0"/>
          <w:numId w:val="2"/>
        </w:numPr>
      </w:pPr>
      <w:r>
        <w:t>&lt;</w:t>
      </w:r>
      <w:r>
        <w:rPr>
          <w:rFonts w:ascii="Courier" w:hAnsi="Courier"/>
        </w:rPr>
        <w:t>note</w:t>
      </w:r>
      <w:r>
        <w:t xml:space="preserve">&gt; contains information about the deletion (e.g., bibliography, comments). This allows editors to make the distinction between the usage of </w:t>
      </w:r>
      <w:r>
        <w:rPr>
          <w:i/>
        </w:rPr>
        <w:t>secl.</w:t>
      </w:r>
      <w:r>
        <w:t xml:space="preserve"> and </w:t>
      </w:r>
      <w:r>
        <w:rPr>
          <w:i/>
        </w:rPr>
        <w:t>del.</w:t>
      </w:r>
    </w:p>
    <w:p w14:paraId="37D5A1B9" w14:textId="77777777" w:rsidR="00EB171F" w:rsidRDefault="002E650E">
      <w:r>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correct the deletion of two words by previous scholars: ‘His, ut dixi, uxoribusque addictus non principem {se} sed ministrum egit, compendio cuiusque horum uel etiam studio aut libidine honores exercitus impunitates supplicia largitus {est} et quidem insciens plerumque et ignarus.’</w:t>
      </w:r>
    </w:p>
    <w:p w14:paraId="19AA1332" w14:textId="77777777" w:rsidR="00EB171F" w:rsidRDefault="002E650E">
      <w:r>
        <w:t xml:space="preserve">The entry for the first one in the apparatus criticus has the following: ‘se </w:t>
      </w:r>
      <w:r>
        <w:rPr>
          <w:i/>
        </w:rPr>
        <w:t>secl. Graev. 1697, 411 (Polak 1882, 12)</w:t>
      </w:r>
      <w:r>
        <w:t xml:space="preserve">’. The entry for the second one is as follows: ‘est </w:t>
      </w:r>
      <w:r>
        <w:rPr>
          <w:i/>
        </w:rPr>
        <w:t>del. Bent.</w:t>
      </w:r>
      <w:r>
        <w:t>’.</w:t>
      </w:r>
    </w:p>
    <w:p w14:paraId="2CAF289A" w14:textId="77777777" w:rsidR="00EB171F" w:rsidRDefault="002E650E">
      <w:r>
        <w:t>In an LDLT edition, the deletion would be encoded in the text as follows:</w:t>
      </w:r>
    </w:p>
    <w:p w14:paraId="56B561B4" w14:textId="77777777" w:rsidR="00EB171F" w:rsidRDefault="002E650E">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0772145B" w14:textId="77777777" w:rsidR="00EB171F" w:rsidRDefault="002E650E">
      <w:r>
        <w:t>The use of &lt;</w:t>
      </w:r>
      <w:r>
        <w:rPr>
          <w:rFonts w:ascii="Courier" w:hAnsi="Courier"/>
        </w:rPr>
        <w:t>surplus</w:t>
      </w:r>
      <w:r>
        <w:t>&gt; will cause the braces { } to be inserted on both sides of the word(s) to be deleted. The rest of the information is handled as a normal entry in the apparatus criticus.</w:t>
      </w:r>
    </w:p>
    <w:p w14:paraId="3E8391FE" w14:textId="77777777" w:rsidR="00EB171F" w:rsidRDefault="002E650E">
      <w:r>
        <w:t>If it is desirable to indicate in the apparatus criticus that a previous editor has proposed deleting some text, even 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58849A2F" w14:textId="77777777" w:rsidR="00EB171F" w:rsidRDefault="002E650E">
      <w:pPr>
        <w:pStyle w:val="Heading3"/>
      </w:pPr>
      <w:bookmarkStart w:id="100" w:name="apparatus-criticus-conjecture-and-emenda"/>
      <w:r>
        <w:t>Conjectured Lacunae</w:t>
      </w:r>
      <w:bookmarkEnd w:id="100"/>
    </w:p>
    <w:p w14:paraId="721BDFE7" w14:textId="77777777" w:rsidR="00EB171F" w:rsidRDefault="002E650E">
      <w:r>
        <w:t xml:space="preserve">&lt;***&gt; = A lacuna has been conjectured on the grounds of style, context, or carelessness of a copyist (e.g., </w:t>
      </w:r>
      <w:r>
        <w:rPr>
          <w:rStyle w:val="teiforeign"/>
          <w:lang w:val="fr"/>
        </w:rPr>
        <w:t>saut du même au même</w:t>
      </w:r>
      <w:r>
        <w:t>). No text has been supplied in its place.</w:t>
      </w:r>
    </w:p>
    <w:p w14:paraId="32699129" w14:textId="77777777" w:rsidR="00EB171F" w:rsidRDefault="002E650E">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16F2AFA2" w14:textId="77777777" w:rsidR="00EB171F" w:rsidRDefault="002E650E">
      <w:r>
        <w:t xml:space="preserve">For example, at the conclusion of section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lang w:val="uz-Cyrl-UZ"/>
        </w:rPr>
        <w:t>si in Caesaris complexum uenire posset ***</w:t>
      </w:r>
      <w:r>
        <w:t xml:space="preserve">. The apparatus criticus has the following annotation: </w:t>
      </w:r>
      <w:r>
        <w:rPr>
          <w:rStyle w:val="teiforeign"/>
          <w:lang w:val="uz-Cyrl-UZ"/>
        </w:rPr>
        <w:t>lacunam statuit Vascosanus</w:t>
      </w:r>
      <w:r>
        <w:t>.</w:t>
      </w:r>
    </w:p>
    <w:p w14:paraId="7748963E" w14:textId="77777777" w:rsidR="00EB171F" w:rsidRDefault="002E650E">
      <w:r>
        <w:t>In an LDLT edition, that should be encoded as follows:</w:t>
      </w:r>
    </w:p>
    <w:p w14:paraId="36B8B1CC" w14:textId="77777777" w:rsidR="00EB171F" w:rsidRDefault="002E650E">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6689C0E4" w14:textId="77777777" w:rsidR="00EB171F" w:rsidRDefault="002E650E">
      <w:r>
        <w:t xml:space="preserve">The same encoding should be used to indicate the conjectured lacuna of a number of lines of verse. For example, </w:t>
      </w:r>
      <w:r>
        <w:fldChar w:fldCharType="begin"/>
      </w:r>
      <w:r>
        <w:instrText>REF verdiere-calpurnius \n \h</w:instrText>
      </w:r>
      <w:r>
        <w:fldChar w:fldCharType="separate"/>
      </w:r>
      <w:r>
        <w:t>Verdière</w:t>
      </w:r>
      <w:r>
        <w:fldChar w:fldCharType="end"/>
      </w:r>
      <w:r>
        <w:t xml:space="preserve"> argues that nine verses have been omitted by the copyist of the archetype of all manuscripts of Calpurnius Siculus' eclogues. He prints nine lines of equally spaced dots in the text, and he writes in the apparatus criticus, ‘u. 1–9 </w:t>
      </w:r>
      <w:r>
        <w:rPr>
          <w:i/>
        </w:rPr>
        <w:t>librarii incuria cecidisse puto</w:t>
      </w:r>
      <w:r>
        <w:t>.’</w:t>
      </w:r>
    </w:p>
    <w:p w14:paraId="4DB9C63D" w14:textId="77777777" w:rsidR="00EB171F" w:rsidRDefault="002E650E">
      <w:r>
        <w:t>If the editor of an LDLT edition of Calpurnius accepts this argument, Verdière's conjecture would be encoded as follows:</w:t>
      </w:r>
    </w:p>
    <w:p w14:paraId="6AF70313"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213DE5D7" w14:textId="77777777" w:rsidR="00EB171F" w:rsidRDefault="002E650E">
      <w:r>
        <w:t>In the digital or print version, nine lines of &lt; *** &gt; would be printed at the beginning of the text, and the numbering of the lines that follow would begin with 10. The apparatus criticus would have the entry ‘u. 1–9 librarii incuria cecidisse putavit Verdière’.</w:t>
      </w:r>
    </w:p>
    <w:p w14:paraId="5EA73F59" w14:textId="77777777" w:rsidR="00EB171F" w:rsidRDefault="002E650E">
      <w:pPr>
        <w:pStyle w:val="Heading2"/>
      </w:pPr>
      <w:bookmarkStart w:id="101" w:name="apparatus-criticus-crux"/>
      <w:r>
        <w:t>Crux</w:t>
      </w:r>
      <w:bookmarkEnd w:id="101"/>
    </w:p>
    <w:p w14:paraId="513615CB" w14:textId="77777777" w:rsidR="00EB171F" w:rsidRDefault="002E650E">
      <w:r>
        <w:t>† † = Text deemed by the editor to be readable but not understandable, with no satisfactory alternative or convincing emendation.</w:t>
      </w:r>
    </w:p>
    <w:p w14:paraId="22EEEC22" w14:textId="77777777" w:rsidR="00EB171F" w:rsidRDefault="002E650E">
      <w:r>
        <w:t>&lt;</w:t>
      </w:r>
      <w:r>
        <w:rPr>
          <w:rFonts w:ascii="Courier" w:hAnsi="Courier"/>
        </w:rPr>
        <w:t>sic</w:t>
      </w:r>
      <w:r>
        <w:t>&gt; indicates that the text is readable but not understandable. In this usage it is not paired with &lt;</w:t>
      </w:r>
      <w:r>
        <w:rPr>
          <w:rFonts w:ascii="Courier" w:hAnsi="Courier"/>
        </w:rPr>
        <w:t>corr</w:t>
      </w:r>
      <w:r>
        <w:t>&gt;, its customary partner in the TEI guidelines, because the nature of a crux is that it cannot be corrected.</w:t>
      </w:r>
    </w:p>
    <w:p w14:paraId="42E59098" w14:textId="77777777" w:rsidR="00EB171F" w:rsidRDefault="002E650E">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lang w:val="uz-Cyrl-UZ"/>
        </w:rPr>
        <w:t>cruces</w:t>
      </w:r>
      <w:r>
        <w:t>:‘… “vale mel gentium †meculle†, ebur ex Etruria, lasar Arretinum, adamas Supernas, Tiberinum margaritum, Cilniorum smargde, iaspi figulorum, berulle Porsenae, carbunculum †habeas†, ἵνα συντέμω πάντα, ἄλλαγμα moecharum.”’</w:t>
      </w:r>
    </w:p>
    <w:p w14:paraId="7BE8F28E" w14:textId="77777777" w:rsidR="00EB171F" w:rsidRDefault="002E650E">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32AE1B89" w14:textId="77777777" w:rsidR="00EB171F" w:rsidRDefault="002E650E">
      <w:r>
        <w:t xml:space="preserve">The following example demonstrates how these </w:t>
      </w:r>
      <w:r>
        <w:rPr>
          <w:rStyle w:val="teiforeign"/>
          <w:lang w:val="uz-Cyrl-UZ"/>
        </w:rPr>
        <w:t>cruces</w:t>
      </w:r>
      <w:r>
        <w:t xml:space="preserve"> would be encoded in an LDLT edition:</w:t>
      </w:r>
    </w:p>
    <w:p w14:paraId="5C632A9D" w14:textId="77777777" w:rsidR="00EB171F" w:rsidRDefault="002E650E">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="grc"&gt;ἵνα συντέμω πάντα, ἄλλαγμα&lt;/</w:t>
      </w:r>
      <w:r>
        <w:rPr>
          <w:b/>
        </w:rPr>
        <w:t>foreign</w:t>
      </w:r>
      <w:r>
        <w:t>&gt;</w:t>
      </w:r>
      <w:r>
        <w:br/>
        <w:t>   moecharum.&lt;/</w:t>
      </w:r>
      <w:r>
        <w:rPr>
          <w:b/>
        </w:rPr>
        <w:t>quote</w:t>
      </w:r>
      <w:r>
        <w:t>&gt;</w:t>
      </w:r>
      <w:r>
        <w:br/>
        <w:t>&lt;/</w:t>
      </w:r>
      <w:r>
        <w:rPr>
          <w:b/>
        </w:rPr>
        <w:t>p</w:t>
      </w:r>
      <w:r>
        <w:t>&gt;</w:t>
      </w:r>
    </w:p>
    <w:p w14:paraId="6366ACB0" w14:textId="77777777" w:rsidR="00EB171F" w:rsidRDefault="002E650E">
      <w:r>
        <w:t>The use of &lt;</w:t>
      </w:r>
      <w:r>
        <w:rPr>
          <w:rFonts w:ascii="Courier" w:hAnsi="Courier"/>
        </w:rPr>
        <w:t>sic</w:t>
      </w:r>
      <w:r>
        <w:t>&gt; would cause the symbol † to be placed on both ends of each crux. The rest of the information would be handled in the normal manner for readings in the apparatus criticus.</w:t>
      </w:r>
    </w:p>
    <w:p w14:paraId="74FBCC1A" w14:textId="77777777" w:rsidR="00EB171F" w:rsidRDefault="002E650E">
      <w:pPr>
        <w:pStyle w:val="Heading2"/>
      </w:pPr>
      <w:bookmarkStart w:id="102" w:name="apparatus-criticus-analysis"/>
      <w:r>
        <w:t>Tagging Readings for Analysis</w:t>
      </w:r>
      <w:bookmarkEnd w:id="102"/>
    </w:p>
    <w:p w14:paraId="7AD1FE6C" w14:textId="77777777" w:rsidR="00EB171F" w:rsidRDefault="002E650E">
      <w:r>
        <w:t>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14:paraId="651A7489" w14:textId="77777777" w:rsidR="00EB171F" w:rsidRDefault="002E650E">
      <w:r>
        <w:t>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14:paraId="42F59CFC" w14:textId="77777777" w:rsidR="00EB171F" w:rsidRDefault="002E650E">
      <w:r>
        <w:rPr>
          <w:i/>
        </w:rPr>
        <w:t>@ana</w:t>
      </w:r>
      <w:r>
        <w:t xml:space="preserve"> (analysis) on &lt;</w:t>
      </w:r>
      <w:r>
        <w:rPr>
          <w:rFonts w:ascii="Courier" w:hAnsi="Courier"/>
        </w:rPr>
        <w:t>rdg</w:t>
      </w:r>
      <w:r>
        <w:t>&gt; applies one or more of the following values to a reading:</w:t>
      </w:r>
    </w:p>
    <w:p w14:paraId="63945AFE" w14:textId="77777777" w:rsidR="00EB171F" w:rsidRDefault="002E650E">
      <w:pPr>
        <w:pStyle w:val="ListContinue"/>
        <w:numPr>
          <w:ilvl w:val="0"/>
          <w:numId w:val="2"/>
        </w:numPr>
      </w:pPr>
      <w:r>
        <w:t>lexical: the reading differs from the lemma by offering an entirely different lexeme.</w:t>
      </w:r>
    </w:p>
    <w:p w14:paraId="4D73AE3F" w14:textId="77777777" w:rsidR="00EB171F" w:rsidRDefault="002E650E">
      <w:pPr>
        <w:pStyle w:val="ListContinue"/>
        <w:numPr>
          <w:ilvl w:val="0"/>
          <w:numId w:val="2"/>
        </w:numPr>
      </w:pPr>
      <w:r>
        <w:t>morphological: the reading differs from the lemma in its grammatical form.</w:t>
      </w:r>
    </w:p>
    <w:p w14:paraId="69F076E8" w14:textId="77777777" w:rsidR="00EB171F" w:rsidRDefault="002E650E">
      <w:pPr>
        <w:pStyle w:val="ListContinue"/>
        <w:numPr>
          <w:ilvl w:val="0"/>
          <w:numId w:val="2"/>
        </w:numPr>
      </w:pPr>
      <w:r>
        <w:t>ordinal: the reading changes the order in which units (letters, words, phrases, sentences, lines) occur in the lemma.</w:t>
      </w:r>
    </w:p>
    <w:p w14:paraId="490EA22F" w14:textId="77777777" w:rsidR="00EB171F" w:rsidRDefault="002E650E">
      <w:pPr>
        <w:pStyle w:val="ListContinue"/>
        <w:numPr>
          <w:ilvl w:val="0"/>
          <w:numId w:val="2"/>
        </w:numPr>
      </w:pPr>
      <w:r>
        <w:t>orthographical: the reading differs from the lemma only in spelling (i.e., not in any grammatically significant way).</w:t>
      </w:r>
    </w:p>
    <w:p w14:paraId="5170C13C" w14:textId="77777777" w:rsidR="00EB171F" w:rsidRDefault="002E650E">
      <w:pPr>
        <w:pStyle w:val="ListContinue"/>
        <w:numPr>
          <w:ilvl w:val="0"/>
          <w:numId w:val="2"/>
        </w:numPr>
      </w:pPr>
      <w:r>
        <w:t>syntactic: the reading differs from the lemma in its grammatical construction or arrangement.</w:t>
      </w:r>
    </w:p>
    <w:p w14:paraId="6DB204AB" w14:textId="77777777" w:rsidR="00EB171F" w:rsidRDefault="002E650E">
      <w:pPr>
        <w:pStyle w:val="ListContinue"/>
        <w:numPr>
          <w:ilvl w:val="0"/>
          <w:numId w:val="2"/>
        </w:numPr>
      </w:pPr>
      <w:r>
        <w:t>subtractive: omission of some unit of text through oversight, erasure, or some other cause.</w:t>
      </w:r>
    </w:p>
    <w:p w14:paraId="616A0736" w14:textId="77777777" w:rsidR="00EB171F" w:rsidRDefault="002E650E">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3BA37C75" w14:textId="77777777" w:rsidR="00EB171F" w:rsidRDefault="002E650E">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09EA662E" w14:textId="77777777" w:rsidR="00EB171F" w:rsidRDefault="002E650E">
      <w:pPr>
        <w:pStyle w:val="Heading2"/>
      </w:pPr>
      <w:bookmarkStart w:id="103" w:name="apparatus-criticus-editorial-notes"/>
      <w:r>
        <w:t>Editorial Notes</w:t>
      </w:r>
      <w:bookmarkEnd w:id="103"/>
    </w:p>
    <w:p w14:paraId="005EA5BE" w14:textId="77777777" w:rsidR="00EB171F" w:rsidRDefault="002E650E">
      <w:r>
        <w:t>These guidelines cover most of the types of information commonly found in a critical apparatus, but not all of them, since it would be impossible to anticipate everything any editor of a text would ever need to encode.</w:t>
      </w:r>
    </w:p>
    <w:p w14:paraId="4A0911E3" w14:textId="77777777" w:rsidR="00EB171F" w:rsidRDefault="002E650E">
      <w:r>
        <w:t>If a certain kind of annotation or comment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lang w:val="uz-Cyrl-UZ"/>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14:paraId="58FFFD38" w14:textId="77777777" w:rsidR="00EB171F" w:rsidRDefault="002E650E">
      <w:r>
        <w:t>These guidelines may also be extended as the community of users discovers and proposes additional encoding patterns to the staff of the LDLT.</w:t>
      </w:r>
    </w:p>
    <w:p w14:paraId="6FA227B4" w14:textId="77777777" w:rsidR="00EB171F" w:rsidRDefault="002E650E">
      <w:pPr>
        <w:pStyle w:val="Heading1"/>
      </w:pPr>
      <w:bookmarkStart w:id="104" w:name="textual-commentary"/>
      <w:r>
        <w:t>Commentary</w:t>
      </w:r>
      <w:bookmarkEnd w:id="104"/>
    </w:p>
    <w:p w14:paraId="3ADA26D7" w14:textId="77777777" w:rsidR="00EB171F" w:rsidRDefault="002E650E">
      <w:r>
        <w:t>Traditionally, extended commentary on textual matters has been published apart from the critical edition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5E10E916" w14:textId="77777777" w:rsidR="00EB171F" w:rsidRDefault="002E650E">
      <w:r>
        <w:t>This section demonstrates how to encode longer notes.</w:t>
      </w:r>
    </w:p>
    <w:p w14:paraId="49CAC8CF" w14:textId="77777777" w:rsidR="00EB171F" w:rsidRDefault="002E650E">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commentary so that a link can be inserted directly to the note.</w:t>
      </w:r>
    </w:p>
    <w:p w14:paraId="0386828C" w14:textId="77777777" w:rsidR="00EB171F" w:rsidRDefault="002E650E">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5A4AE410" w14:textId="77777777" w:rsidR="00EB171F" w:rsidRDefault="002E650E">
      <w:r>
        <w:t xml:space="preserve">For example, after Calp. 4.96, </w:t>
      </w:r>
      <w:r>
        <w:fldChar w:fldCharType="begin"/>
      </w:r>
      <w:r>
        <w:instrText>REF giarratano-calpurnius \n \h</w:instrText>
      </w:r>
      <w:r>
        <w:fldChar w:fldCharType="separate"/>
      </w:r>
      <w:r>
        <w:t>Giarratano</w:t>
      </w:r>
      <w:r>
        <w:fldChar w:fldCharType="end"/>
      </w:r>
      <w: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14:paraId="061C244A"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target</w:t>
      </w:r>
      <w:r>
        <w:t>="#lem-4.96-gap"&gt;quinque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="#lem-4.96-gap"</w:t>
      </w:r>
      <w:r>
        <w:br/>
        <w:t>  </w:t>
      </w:r>
      <w:r>
        <w:rPr>
          <w:b/>
        </w:rPr>
        <w:t>type</w:t>
      </w:r>
      <w:r>
        <w:t>="commentary"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(Zeitsch. f. d. oesterr. Gymn. XXXVI p. 619) XIII post III</w:t>
      </w:r>
      <w:r>
        <w:br/>
        <w:t>     collocavit ut v. 141 carmen amoebaeum concluderetur. Mihi quidem,</w:t>
      </w:r>
      <w:r>
        <w:br/>
        <w:t>     cum strophae I, et II, IV et V, VI et VII, IX et X, XII et XIII</w:t>
      </w:r>
      <w:r>
        <w:br/>
        <w:t>     invicem sibi respondeant, visum est lacunem post III constituere et</w:t>
      </w:r>
      <w:r>
        <w:br/>
        <w:t>     XI transponere ante VIII.&lt;/</w:t>
      </w:r>
      <w:r>
        <w:rPr>
          <w:b/>
        </w:rPr>
        <w:t>p</w:t>
      </w:r>
      <w:r>
        <w:t>&gt;</w:t>
      </w:r>
      <w:r>
        <w:br/>
        <w:t> &lt;/</w:t>
      </w:r>
      <w:r>
        <w:rPr>
          <w:b/>
        </w:rPr>
        <w:t>note</w:t>
      </w:r>
      <w:r>
        <w:t>&gt;</w:t>
      </w:r>
      <w:r>
        <w:br/>
        <w:t>&lt;/</w:t>
      </w:r>
      <w:r>
        <w:rPr>
          <w:b/>
        </w:rPr>
        <w:t>div</w:t>
      </w:r>
      <w:r>
        <w:t>&gt;</w:t>
      </w:r>
    </w:p>
    <w:p w14:paraId="00A8E2A2" w14:textId="77777777" w:rsidR="00EB171F" w:rsidRDefault="002E650E">
      <w:r>
        <w:t>This encoding will produce the following in a digital or print version:</w:t>
      </w:r>
    </w:p>
    <w:p w14:paraId="6A0B19B8" w14:textId="77777777" w:rsidR="00EB171F" w:rsidRDefault="002E650E">
      <w:pPr>
        <w:pStyle w:val="ListContinue"/>
        <w:numPr>
          <w:ilvl w:val="0"/>
          <w:numId w:val="2"/>
        </w:numPr>
      </w:pPr>
      <w:r>
        <w:t>five unnumbered lines of &lt; *** &gt;</w:t>
      </w:r>
    </w:p>
    <w:p w14:paraId="46E6A2E1" w14:textId="77777777" w:rsidR="00EB171F" w:rsidRDefault="002E650E">
      <w:pPr>
        <w:pStyle w:val="ListContinue"/>
        <w:numPr>
          <w:ilvl w:val="0"/>
          <w:numId w:val="2"/>
        </w:numPr>
      </w:pPr>
      <w:r>
        <w:t>The following note in the apparatus criticus: quinque vv. deesse puto.</w:t>
      </w:r>
    </w:p>
    <w:p w14:paraId="19035A6C" w14:textId="77777777" w:rsidR="00EB171F" w:rsidRDefault="002E650E">
      <w:pPr>
        <w:pStyle w:val="ListContinue"/>
        <w:numPr>
          <w:ilvl w:val="0"/>
          <w:numId w:val="2"/>
        </w:numPr>
      </w:pPr>
      <w:r>
        <w:t>The symbol ◊ after the note indicating further discussion is available in the textual commentary.</w:t>
      </w:r>
    </w:p>
    <w:p w14:paraId="30B09C0E" w14:textId="77777777" w:rsidR="00EB171F" w:rsidRDefault="002E650E">
      <w:pPr>
        <w:pStyle w:val="ListContinue"/>
        <w:numPr>
          <w:ilvl w:val="0"/>
          <w:numId w:val="2"/>
        </w:numPr>
      </w:pPr>
      <w:r>
        <w:t>A note in the textual commentary.</w:t>
      </w:r>
    </w:p>
    <w:p w14:paraId="025F8F1F" w14:textId="77777777" w:rsidR="00EB171F" w:rsidRDefault="002E650E">
      <w:r>
        <w:t>The digital version will have the additional feature of links from the apparatus to the commentary and from the commentary to the apparatus.</w:t>
      </w:r>
    </w:p>
    <w:p w14:paraId="2702370F" w14:textId="77777777" w:rsidR="00EB171F" w:rsidRDefault="002E650E">
      <w:pPr>
        <w:pStyle w:val="Heading1"/>
      </w:pPr>
      <w:bookmarkStart w:id="105" w:name="works-cited"/>
      <w:r>
        <w:t>Works Cited</w:t>
      </w:r>
      <w:bookmarkEnd w:id="105"/>
    </w:p>
    <w:p w14:paraId="1B070708" w14:textId="77777777" w:rsidR="00EB171F" w:rsidRDefault="002E650E">
      <w:r>
        <w:t>The following is a list of works cited in these guidelines.</w:t>
      </w:r>
    </w:p>
    <w:p w14:paraId="77A57A72" w14:textId="77777777" w:rsidR="00EB171F" w:rsidRDefault="00775EF9" w:rsidP="00775EF9">
      <w:pPr>
        <w:pStyle w:val="Heading2"/>
      </w:pPr>
      <w:r>
        <w:t>Editions</w:t>
      </w:r>
    </w:p>
    <w:p w14:paraId="22575EA1" w14:textId="77777777" w:rsidR="00EB171F" w:rsidRDefault="00775EF9" w:rsidP="00775EF9">
      <w:pPr>
        <w:pStyle w:val="Bibliography"/>
        <w:numPr>
          <w:ilvl w:val="0"/>
          <w:numId w:val="0"/>
        </w:numPr>
        <w:ind w:left="360" w:hanging="360"/>
      </w:pPr>
      <w:bookmarkStart w:id="106" w:name="bazán-scots"/>
      <w:r>
        <w:t xml:space="preserve">Bazán, C., K. Emery, T. Noone, R. Plevano, A. Traver, eds. </w:t>
      </w:r>
      <w:r>
        <w:rPr>
          <w:rStyle w:val="teititlem"/>
        </w:rPr>
        <w:t>B. Ioannis Duns Scoti</w:t>
      </w:r>
      <w:r w:rsidR="002E650E">
        <w:rPr>
          <w:rStyle w:val="teititlem"/>
        </w:rPr>
        <w:t xml:space="preserve"> </w:t>
      </w:r>
      <w:r>
        <w:rPr>
          <w:rStyle w:val="teititlem"/>
        </w:rPr>
        <w:t>Quaestiones Super Secundum et Tertium De Anima</w:t>
      </w:r>
      <w:r w:rsidR="002E650E">
        <w:t>.</w:t>
      </w:r>
      <w:r>
        <w:t xml:space="preserve"> B. Ioannis Duns Scoti Opera Philosophica  5. Washington, D.C.: The Catholic University of America Press, </w:t>
      </w:r>
      <w:r>
        <w:rPr>
          <w:rStyle w:val="date"/>
        </w:rPr>
        <w:t>2006</w:t>
      </w:r>
      <w:r>
        <w:t>.</w:t>
      </w:r>
      <w:bookmarkEnd w:id="106"/>
    </w:p>
    <w:p w14:paraId="0CD5F9AB" w14:textId="77777777" w:rsidR="00EB171F" w:rsidRDefault="002E650E" w:rsidP="00775EF9">
      <w:pPr>
        <w:pStyle w:val="Bibliography"/>
        <w:numPr>
          <w:ilvl w:val="0"/>
          <w:numId w:val="0"/>
        </w:numPr>
        <w:ind w:left="360" w:hanging="360"/>
      </w:pPr>
      <w:bookmarkStart w:id="107" w:name="damon-caesar"/>
      <w:r>
        <w:t xml:space="preserve">Damon, C., ed. </w:t>
      </w:r>
      <w:r>
        <w:rPr>
          <w:rStyle w:val="teititlem"/>
        </w:rPr>
        <w:t>C. Iuli Caesaris Commentariorum Libri III De Bello Civili</w:t>
      </w:r>
      <w:r>
        <w:t xml:space="preserve">. Oxford Classical Texts. Oxford: Clarendon Press, </w:t>
      </w:r>
      <w:r>
        <w:rPr>
          <w:rStyle w:val="date"/>
        </w:rPr>
        <w:t>2015</w:t>
      </w:r>
      <w:r>
        <w:t>.</w:t>
      </w:r>
      <w:bookmarkEnd w:id="107"/>
    </w:p>
    <w:p w14:paraId="07D7CAEC" w14:textId="77777777" w:rsidR="00EB171F" w:rsidRDefault="002E650E" w:rsidP="00775EF9">
      <w:pPr>
        <w:pStyle w:val="Bibliography"/>
        <w:numPr>
          <w:ilvl w:val="0"/>
          <w:numId w:val="0"/>
        </w:numPr>
        <w:ind w:left="360" w:hanging="360"/>
      </w:pPr>
      <w:bookmarkStart w:id="108" w:name="gelsomino-sequester"/>
      <w:r>
        <w:t xml:space="preserve">Gelsomino, Remo, ed. </w:t>
      </w:r>
      <w:r>
        <w:rPr>
          <w:rStyle w:val="teititlem"/>
        </w:rPr>
        <w:t>Vibius Sequester</w:t>
      </w:r>
      <w:r>
        <w:t xml:space="preserve">. Bibliotheca Scriptorum Graecorum et Romanorum Teubneriana. Leipzig: B. G. Teubner, </w:t>
      </w:r>
      <w:r>
        <w:rPr>
          <w:rStyle w:val="date"/>
        </w:rPr>
        <w:t>1967</w:t>
      </w:r>
      <w:r>
        <w:t>.</w:t>
      </w:r>
      <w:bookmarkEnd w:id="108"/>
    </w:p>
    <w:p w14:paraId="7C90833E" w14:textId="77777777" w:rsidR="00EB171F" w:rsidRDefault="002E650E" w:rsidP="00775EF9">
      <w:pPr>
        <w:pStyle w:val="Bibliography"/>
        <w:numPr>
          <w:ilvl w:val="0"/>
          <w:numId w:val="0"/>
        </w:numPr>
        <w:ind w:left="360" w:hanging="360"/>
      </w:pPr>
      <w:bookmarkStart w:id="109" w:name="giarratano-calpurnius"/>
      <w:r>
        <w:t xml:space="preserve">Giarratano, Caesar, ed. </w:t>
      </w:r>
      <w:r>
        <w:rPr>
          <w:rStyle w:val="teititlem"/>
        </w:rPr>
        <w:t>Calpurnii et Nemesiani Bucolica</w:t>
      </w:r>
      <w:r>
        <w:t xml:space="preserve">. Naples: Detken and Rocholl, </w:t>
      </w:r>
      <w:r>
        <w:rPr>
          <w:rStyle w:val="date"/>
        </w:rPr>
        <w:t>1910</w:t>
      </w:r>
      <w:r>
        <w:t>.</w:t>
      </w:r>
      <w:bookmarkEnd w:id="109"/>
    </w:p>
    <w:p w14:paraId="4F07D49D" w14:textId="77777777" w:rsidR="00EB171F" w:rsidRDefault="002E650E" w:rsidP="00775EF9">
      <w:pPr>
        <w:pStyle w:val="Bibliography"/>
        <w:numPr>
          <w:ilvl w:val="0"/>
          <w:numId w:val="0"/>
        </w:numPr>
        <w:ind w:left="360" w:hanging="360"/>
      </w:pPr>
      <w:bookmarkStart w:id="110" w:name="hall-ovid"/>
      <w:r>
        <w:t xml:space="preserve">Hall, J. B., ed. </w:t>
      </w:r>
      <w:r>
        <w:rPr>
          <w:rStyle w:val="teititlem"/>
        </w:rPr>
        <w:t>Ovidius: Tristia</w:t>
      </w:r>
      <w:r>
        <w:t xml:space="preserve">. Bibliotheca Scriptorum Graecorum et Romanorum Teubneriana. Stuttgart and Leipzig: B. G. Teubner, </w:t>
      </w:r>
      <w:r>
        <w:rPr>
          <w:rStyle w:val="date"/>
        </w:rPr>
        <w:t>1995</w:t>
      </w:r>
      <w:r>
        <w:t>.</w:t>
      </w:r>
      <w:bookmarkEnd w:id="110"/>
    </w:p>
    <w:p w14:paraId="7A7464DF" w14:textId="77777777" w:rsidR="00EB171F" w:rsidRDefault="002E650E" w:rsidP="00775EF9">
      <w:pPr>
        <w:pStyle w:val="Bibliography"/>
        <w:numPr>
          <w:ilvl w:val="0"/>
          <w:numId w:val="0"/>
        </w:numPr>
        <w:ind w:left="360" w:hanging="360"/>
      </w:pPr>
      <w:bookmarkStart w:id="111" w:name="kaster-macrobius"/>
      <w:r>
        <w:t xml:space="preserve">Kaster, Robert A., ed. </w:t>
      </w:r>
      <w:r>
        <w:rPr>
          <w:rStyle w:val="teititlem"/>
        </w:rPr>
        <w:t>Macrobii Ambrosii Theodosii Saturnalia</w:t>
      </w:r>
      <w:r>
        <w:t xml:space="preserve">. Oxford Classical Texts. Oxford: Clarendon Press, </w:t>
      </w:r>
      <w:r>
        <w:rPr>
          <w:rStyle w:val="date"/>
        </w:rPr>
        <w:t>2011</w:t>
      </w:r>
      <w:r>
        <w:t>.</w:t>
      </w:r>
      <w:bookmarkEnd w:id="111"/>
    </w:p>
    <w:p w14:paraId="5E4EB70C" w14:textId="77777777" w:rsidR="00EB171F" w:rsidRDefault="002E650E" w:rsidP="00775EF9">
      <w:pPr>
        <w:pStyle w:val="Bibliography"/>
        <w:numPr>
          <w:ilvl w:val="0"/>
          <w:numId w:val="0"/>
        </w:numPr>
        <w:ind w:left="360" w:hanging="360"/>
      </w:pPr>
      <w:bookmarkStart w:id="112" w:name="kaster-suetonius"/>
      <w:r>
        <w:t xml:space="preserve">———, ed. </w:t>
      </w:r>
      <w:r>
        <w:rPr>
          <w:rStyle w:val="teititlem"/>
        </w:rPr>
        <w:t>C. Suetoni Tranquilli De Vita Caesarum Libros VIII et De Grammaticis et Rhetoribus Librum</w:t>
      </w:r>
      <w:r>
        <w:t xml:space="preserve">. Oxford Classical Texts. Oxford: Clarendon Press, </w:t>
      </w:r>
      <w:r>
        <w:rPr>
          <w:rStyle w:val="date"/>
        </w:rPr>
        <w:t>2016</w:t>
      </w:r>
      <w:r>
        <w:t>.</w:t>
      </w:r>
      <w:bookmarkEnd w:id="112"/>
    </w:p>
    <w:p w14:paraId="0CD120E7" w14:textId="77777777" w:rsidR="00EB171F" w:rsidRDefault="002E650E" w:rsidP="00775EF9">
      <w:pPr>
        <w:pStyle w:val="Bibliography"/>
        <w:numPr>
          <w:ilvl w:val="0"/>
          <w:numId w:val="0"/>
        </w:numPr>
        <w:ind w:left="360" w:hanging="360"/>
      </w:pPr>
      <w:bookmarkStart w:id="113" w:name="lindsay-festus"/>
      <w:r>
        <w:t xml:space="preserve">Lindsay, W. M., ed. </w:t>
      </w:r>
      <w:r>
        <w:rPr>
          <w:rStyle w:val="teititlem"/>
        </w:rPr>
        <w:t>Festus: De Verborum Significatu cum Pauli Epitome</w:t>
      </w:r>
      <w:r>
        <w:t xml:space="preserve">. Bibliotheca Scriptorum Graecorum et Romanorum Teubneriana. Stuttgart and Leipzig: B. G. Teubner, </w:t>
      </w:r>
      <w:r>
        <w:rPr>
          <w:rStyle w:val="date"/>
        </w:rPr>
        <w:t>1913</w:t>
      </w:r>
      <w:r>
        <w:t>.</w:t>
      </w:r>
      <w:bookmarkEnd w:id="113"/>
    </w:p>
    <w:p w14:paraId="4DE7F3B7" w14:textId="77777777" w:rsidR="00EB171F" w:rsidRDefault="002E650E" w:rsidP="00775EF9">
      <w:pPr>
        <w:pStyle w:val="Bibliography"/>
        <w:numPr>
          <w:ilvl w:val="0"/>
          <w:numId w:val="0"/>
        </w:numPr>
        <w:ind w:left="360" w:hanging="360"/>
      </w:pPr>
      <w:bookmarkStart w:id="114" w:name="tarrant-ovid"/>
      <w:r>
        <w:t xml:space="preserve">Tarrant, R. J., ed. </w:t>
      </w:r>
      <w:r>
        <w:rPr>
          <w:rStyle w:val="teititlem"/>
        </w:rPr>
        <w:t>P. Ovidi Nasoni Metamorphoses</w:t>
      </w:r>
      <w:r>
        <w:t xml:space="preserve">. Oxford Classical Texts. Oxford: Clarendon Press, </w:t>
      </w:r>
      <w:r>
        <w:rPr>
          <w:rStyle w:val="date"/>
        </w:rPr>
        <w:t>2004</w:t>
      </w:r>
      <w:r>
        <w:t>.</w:t>
      </w:r>
      <w:bookmarkEnd w:id="114"/>
    </w:p>
    <w:p w14:paraId="567D9D5A" w14:textId="77777777" w:rsidR="00EB171F" w:rsidRDefault="002E650E" w:rsidP="00775EF9">
      <w:pPr>
        <w:pStyle w:val="Bibliography"/>
        <w:numPr>
          <w:ilvl w:val="0"/>
          <w:numId w:val="0"/>
        </w:numPr>
        <w:ind w:left="360" w:hanging="360"/>
      </w:pPr>
      <w:bookmarkStart w:id="115" w:name="verdiere-calpurnius"/>
      <w:r>
        <w:t xml:space="preserve">Verdière, Raoul, ed. </w:t>
      </w:r>
      <w:r>
        <w:rPr>
          <w:rStyle w:val="teititlem"/>
        </w:rPr>
        <w:t>T. Calpurnii Siculi De laude Pisonis et Bucolica et M. Annaei Lucani De laude Caesaris Einsidlensia quae dicuntur carmina</w:t>
      </w:r>
      <w:r>
        <w:t xml:space="preserve">. Collection Latomus  19. Berchem-Bruxelles: Latomus: Revue d’Études Latines, </w:t>
      </w:r>
      <w:r>
        <w:rPr>
          <w:rStyle w:val="date"/>
        </w:rPr>
        <w:t>1954</w:t>
      </w:r>
      <w:r>
        <w:t>.</w:t>
      </w:r>
      <w:bookmarkEnd w:id="115"/>
    </w:p>
    <w:p w14:paraId="2C0A78C9" w14:textId="77777777" w:rsidR="00EB171F" w:rsidRDefault="002E650E" w:rsidP="00775EF9">
      <w:pPr>
        <w:pStyle w:val="Heading2"/>
      </w:pPr>
      <w:r>
        <w:t>Guidelines</w:t>
      </w:r>
    </w:p>
    <w:p w14:paraId="28C890DC" w14:textId="77777777" w:rsidR="00EB171F" w:rsidRDefault="002E650E" w:rsidP="00775EF9">
      <w:pPr>
        <w:pStyle w:val="Bibliography"/>
        <w:numPr>
          <w:ilvl w:val="0"/>
          <w:numId w:val="0"/>
        </w:numPr>
        <w:ind w:left="360" w:hanging="360"/>
      </w:pPr>
      <w:bookmarkStart w:id="116" w:name="EpiDoc"/>
      <w:r>
        <w:t xml:space="preserve">Elliott, Tom, Gabriel Bodard, Hugh Cayless et al. </w:t>
      </w:r>
      <w:r>
        <w:rPr>
          <w:rStyle w:val="teititlem"/>
        </w:rPr>
        <w:t>EpiDoc: Epigraphic Documents in TEI XML</w:t>
      </w:r>
      <w:r>
        <w:t xml:space="preserve">. Online material, available: </w:t>
      </w:r>
      <w:hyperlink r:id="rId32">
        <w:r>
          <w:rPr>
            <w:rStyle w:val="Hyperlink"/>
          </w:rPr>
          <w:t>http://epidoc.sf.net</w:t>
        </w:r>
      </w:hyperlink>
      <w:r>
        <w:t xml:space="preserve"> (2016-09-17).</w:t>
      </w:r>
      <w:bookmarkEnd w:id="116"/>
    </w:p>
    <w:p w14:paraId="316A1998" w14:textId="77777777" w:rsidR="00EB171F" w:rsidRDefault="002E650E" w:rsidP="00775EF9">
      <w:pPr>
        <w:pStyle w:val="Bibliography"/>
        <w:numPr>
          <w:ilvl w:val="0"/>
          <w:numId w:val="0"/>
        </w:numPr>
        <w:ind w:left="360" w:hanging="360"/>
      </w:pPr>
      <w:bookmarkStart w:id="117" w:name="xml-id"/>
      <w:r>
        <w:t xml:space="preserve">Marsh, Jonathan  Daniel Veillard, Norman Walsh. </w:t>
      </w:r>
      <w:r>
        <w:rPr>
          <w:rStyle w:val="teititlem"/>
        </w:rPr>
        <w:t>xml:id Version 1.0</w:t>
      </w:r>
      <w:r>
        <w:t xml:space="preserve">  , W3C Recommendation 9 September 2005  </w:t>
      </w:r>
      <w:hyperlink r:id="rId33">
        <w:r>
          <w:rPr>
            <w:rStyle w:val="Hyperlink"/>
          </w:rPr>
          <w:t>https://www.w3.org/TR/xml-id/</w:t>
        </w:r>
      </w:hyperlink>
      <w:r>
        <w:t xml:space="preserve"> (2016-09-17)</w:t>
      </w:r>
      <w:bookmarkEnd w:id="117"/>
    </w:p>
    <w:p w14:paraId="4E64B59C" w14:textId="77777777" w:rsidR="00EB171F" w:rsidRDefault="002E650E" w:rsidP="00775EF9">
      <w:pPr>
        <w:pStyle w:val="Bibliography"/>
        <w:numPr>
          <w:ilvl w:val="0"/>
          <w:numId w:val="0"/>
        </w:numPr>
        <w:ind w:left="360" w:hanging="360"/>
      </w:pPr>
      <w:bookmarkStart w:id="118" w:name="TEI"/>
      <w:r>
        <w:t xml:space="preserve">TEI Consortium, eds. </w:t>
      </w:r>
      <w:r>
        <w:rPr>
          <w:rStyle w:val="teititlem"/>
        </w:rPr>
        <w:t>TEI P5: Guidelines for Electronic Text Encoding and Interchange</w:t>
      </w:r>
      <w:r>
        <w:t xml:space="preserve">. Version 3.0.0. Last updated on 29th March 2016, revision 89ba24e. TEI Consortium. </w:t>
      </w:r>
      <w:hyperlink r:id="rId34">
        <w:r>
          <w:rPr>
            <w:rStyle w:val="Hyperlink"/>
          </w:rPr>
          <w:t>http://www.tei-c.org/Guidelines/P5/</w:t>
        </w:r>
      </w:hyperlink>
      <w:r>
        <w:t xml:space="preserve"> (2016-09-17).</w:t>
      </w:r>
      <w:bookmarkEnd w:id="118"/>
    </w:p>
    <w:p w14:paraId="0897EFE7" w14:textId="77777777" w:rsidR="00EB171F" w:rsidRDefault="002E650E" w:rsidP="00775EF9">
      <w:pPr>
        <w:pStyle w:val="Heading2"/>
      </w:pPr>
      <w:r>
        <w:t>Other Works Cited</w:t>
      </w:r>
    </w:p>
    <w:p w14:paraId="47DB164F" w14:textId="77777777" w:rsidR="00EB171F" w:rsidRDefault="002E650E" w:rsidP="00775EF9">
      <w:pPr>
        <w:pStyle w:val="Bibliography"/>
        <w:numPr>
          <w:ilvl w:val="0"/>
          <w:numId w:val="0"/>
        </w:numPr>
        <w:ind w:left="360" w:hanging="360"/>
      </w:pPr>
      <w:bookmarkStart w:id="119" w:name="Chicago"/>
      <w:r>
        <w:t xml:space="preserve">University of Chicago Press Staff. </w:t>
      </w:r>
      <w:r>
        <w:rPr>
          <w:rStyle w:val="teititlem"/>
        </w:rPr>
        <w:t>The Chicago Manual of Style</w:t>
      </w:r>
      <w:r>
        <w:t xml:space="preserve">, 16th ed. Chicago: Chicago University Press, </w:t>
      </w:r>
      <w:r>
        <w:rPr>
          <w:rStyle w:val="date"/>
        </w:rPr>
        <w:t>2010</w:t>
      </w:r>
      <w:bookmarkEnd w:id="119"/>
    </w:p>
    <w:p w14:paraId="3AF3A0AD" w14:textId="77777777" w:rsidR="00EB171F" w:rsidRDefault="002E650E" w:rsidP="00775EF9">
      <w:pPr>
        <w:pStyle w:val="Bibliography"/>
        <w:numPr>
          <w:ilvl w:val="0"/>
          <w:numId w:val="0"/>
        </w:numPr>
        <w:ind w:left="360" w:hanging="360"/>
      </w:pPr>
      <w:bookmarkStart w:id="120" w:name="West"/>
      <w:r>
        <w:t xml:space="preserve">West, M. L.  </w:t>
      </w:r>
      <w:r>
        <w:rPr>
          <w:rStyle w:val="teititlem"/>
        </w:rPr>
        <w:t>Textual Criticism and Editorial Technique Applicable to Greek and Latin Texts</w:t>
      </w:r>
      <w:r>
        <w:t xml:space="preserve">. Stuttgart: B. G. Teubner, </w:t>
      </w:r>
      <w:r>
        <w:rPr>
          <w:rStyle w:val="date"/>
        </w:rPr>
        <w:t>1973</w:t>
      </w:r>
      <w:r>
        <w:t>.</w:t>
      </w:r>
      <w:bookmarkEnd w:id="120"/>
      <w:r w:rsidRPr="00775EF9">
        <w:rPr>
          <w:lang w:val="en"/>
        </w:rPr>
        <w:t xml:space="preserve"> </w:t>
      </w:r>
    </w:p>
    <w:sectPr w:rsidR="00EB171F">
      <w:headerReference w:type="even" r:id="rId35"/>
      <w:headerReference w:type="default" r:id="rId36"/>
      <w:footerReference w:type="even" r:id="rId37"/>
      <w:footerReference w:type="default" r:id="rId38"/>
      <w:headerReference w:type="first" r:id="rId39"/>
      <w:footerReference w:type="first" r:id="rId40"/>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61DF5" w14:textId="77777777" w:rsidR="002E650E" w:rsidRDefault="002E650E">
      <w:pPr>
        <w:spacing w:line="240" w:lineRule="auto"/>
      </w:pPr>
      <w:r>
        <w:separator/>
      </w:r>
    </w:p>
    <w:p w14:paraId="6567E89D" w14:textId="77777777" w:rsidR="002E650E" w:rsidRDefault="002E650E"/>
    <w:p w14:paraId="5E53BA1B" w14:textId="77777777" w:rsidR="002E650E" w:rsidRDefault="002E650E"/>
  </w:endnote>
  <w:endnote w:type="continuationSeparator" w:id="0">
    <w:p w14:paraId="1B94A79B" w14:textId="77777777" w:rsidR="002E650E" w:rsidRDefault="002E650E">
      <w:pPr>
        <w:spacing w:line="240" w:lineRule="auto"/>
      </w:pPr>
      <w:r>
        <w:continuationSeparator/>
      </w:r>
    </w:p>
    <w:p w14:paraId="30EE969D" w14:textId="77777777" w:rsidR="002E650E" w:rsidRDefault="002E650E"/>
    <w:p w14:paraId="4C14CC71" w14:textId="77777777" w:rsidR="002E650E" w:rsidRDefault="002E6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AttikaU">
    <w:panose1 w:val="02000000000000000000"/>
    <w:charset w:val="00"/>
    <w:family w:val="auto"/>
    <w:pitch w:val="variable"/>
    <w:sig w:usb0="C00000EF" w:usb1="1000E0EA" w:usb2="00000000" w:usb3="00000000" w:csb0="0000000B"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22621" w14:textId="77777777" w:rsidR="002E650E" w:rsidRDefault="002E650E">
    <w:pPr>
      <w:pStyle w:val="Footer"/>
    </w:pPr>
    <w:r>
      <w:fldChar w:fldCharType="begin"/>
    </w:r>
    <w:r>
      <w:instrText xml:space="preserve"> PAGE \* MERGEFORMAT </w:instrText>
    </w:r>
    <w:r>
      <w:fldChar w:fldCharType="separate"/>
    </w:r>
    <w:r w:rsidR="00E71AB2">
      <w:rPr>
        <w:noProof/>
      </w:rPr>
      <w:t>54</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31D09" w14:textId="77777777" w:rsidR="002E650E" w:rsidRDefault="002E650E">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E71AB2">
      <w:rPr>
        <w:noProof/>
      </w:rPr>
      <w:t>41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0AA1E" w14:textId="77777777" w:rsidR="002E650E" w:rsidRDefault="002E650E">
    <w:pPr>
      <w:pStyle w:val="Footer"/>
    </w:pPr>
    <w:r>
      <w:ptab w:relativeTo="margin" w:alignment="center" w:leader="none"/>
    </w:r>
    <w:r>
      <w:fldChar w:fldCharType="begin"/>
    </w:r>
    <w:r>
      <w:instrText xml:space="preserve"> PAGE \* MERGEFORMAT </w:instrText>
    </w:r>
    <w:r>
      <w:fldChar w:fldCharType="separate"/>
    </w:r>
    <w:r w:rsidR="00E71AB2">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7EDBB" w14:textId="77777777" w:rsidR="002E650E" w:rsidRDefault="002E650E">
      <w:pPr>
        <w:spacing w:line="240" w:lineRule="auto"/>
      </w:pPr>
      <w:r>
        <w:separator/>
      </w:r>
    </w:p>
  </w:footnote>
  <w:footnote w:type="continuationSeparator" w:id="0">
    <w:p w14:paraId="4EE37EC8" w14:textId="77777777" w:rsidR="002E650E" w:rsidRDefault="002E650E">
      <w:pPr>
        <w:spacing w:line="240" w:lineRule="auto"/>
      </w:pPr>
      <w:r>
        <w:continuationSeparator/>
      </w:r>
    </w:p>
    <w:p w14:paraId="0883B01A" w14:textId="77777777" w:rsidR="002E650E" w:rsidRDefault="002E650E"/>
    <w:p w14:paraId="3F078912" w14:textId="77777777" w:rsidR="002E650E" w:rsidRDefault="002E650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929A6" w14:textId="77777777" w:rsidR="002E650E" w:rsidRDefault="002E650E">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B6ECE" w14:textId="77777777" w:rsidR="002E650E" w:rsidRDefault="002E650E">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CD34" w14:textId="77777777" w:rsidR="002E650E" w:rsidRDefault="002E650E">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70FF"/>
    <w:multiLevelType w:val="multilevel"/>
    <w:tmpl w:val="6FF4786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BD381E"/>
    <w:multiLevelType w:val="multilevel"/>
    <w:tmpl w:val="15F4760C"/>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2">
    <w:nsid w:val="175C67A9"/>
    <w:multiLevelType w:val="hybridMultilevel"/>
    <w:tmpl w:val="22AA17F2"/>
    <w:lvl w:ilvl="0" w:tplc="0D189B84">
      <w:start w:val="1"/>
      <w:numFmt w:val="decimal"/>
      <w:pStyle w:val="Bibliography"/>
      <w:lvlText w:val="[%1]"/>
      <w:lvlJc w:val="left"/>
      <w:pPr>
        <w:ind w:left="1080" w:hanging="1080"/>
      </w:pPr>
      <w:rPr>
        <w:rFonts w:hint="default"/>
      </w:rPr>
    </w:lvl>
    <w:lvl w:ilvl="1" w:tplc="97E007C8">
      <w:start w:val="1"/>
      <w:numFmt w:val="lowerLetter"/>
      <w:lvlText w:val="%2."/>
      <w:lvlJc w:val="left"/>
      <w:pPr>
        <w:ind w:left="1440" w:hanging="360"/>
      </w:pPr>
    </w:lvl>
    <w:lvl w:ilvl="2" w:tplc="CB2622D4">
      <w:start w:val="1"/>
      <w:numFmt w:val="lowerRoman"/>
      <w:lvlText w:val="%3."/>
      <w:lvlJc w:val="right"/>
      <w:pPr>
        <w:ind w:left="2160" w:hanging="180"/>
      </w:pPr>
    </w:lvl>
    <w:lvl w:ilvl="3" w:tplc="6908B85C">
      <w:start w:val="1"/>
      <w:numFmt w:val="decimal"/>
      <w:lvlText w:val="%4."/>
      <w:lvlJc w:val="left"/>
      <w:pPr>
        <w:ind w:left="2880" w:hanging="360"/>
      </w:pPr>
    </w:lvl>
    <w:lvl w:ilvl="4" w:tplc="3EF0DCC6">
      <w:start w:val="1"/>
      <w:numFmt w:val="lowerLetter"/>
      <w:lvlText w:val="%5."/>
      <w:lvlJc w:val="left"/>
      <w:pPr>
        <w:ind w:left="3600" w:hanging="360"/>
      </w:pPr>
    </w:lvl>
    <w:lvl w:ilvl="5" w:tplc="4EE08188">
      <w:start w:val="1"/>
      <w:numFmt w:val="lowerRoman"/>
      <w:lvlText w:val="%6."/>
      <w:lvlJc w:val="right"/>
      <w:pPr>
        <w:ind w:left="4320" w:hanging="180"/>
      </w:pPr>
    </w:lvl>
    <w:lvl w:ilvl="6" w:tplc="C108EB38">
      <w:start w:val="1"/>
      <w:numFmt w:val="decimal"/>
      <w:lvlText w:val="%7."/>
      <w:lvlJc w:val="left"/>
      <w:pPr>
        <w:ind w:left="5040" w:hanging="360"/>
      </w:pPr>
    </w:lvl>
    <w:lvl w:ilvl="7" w:tplc="4CD4BB00">
      <w:start w:val="1"/>
      <w:numFmt w:val="lowerLetter"/>
      <w:lvlText w:val="%8."/>
      <w:lvlJc w:val="left"/>
      <w:pPr>
        <w:ind w:left="5760" w:hanging="360"/>
      </w:pPr>
    </w:lvl>
    <w:lvl w:ilvl="8" w:tplc="68DAFD16">
      <w:start w:val="1"/>
      <w:numFmt w:val="lowerRoman"/>
      <w:lvlText w:val="%9."/>
      <w:lvlJc w:val="right"/>
      <w:pPr>
        <w:ind w:left="6480" w:hanging="180"/>
      </w:pPr>
    </w:lvl>
  </w:abstractNum>
  <w:abstractNum w:abstractNumId="3">
    <w:nsid w:val="5CBB2BAD"/>
    <w:multiLevelType w:val="hybridMultilevel"/>
    <w:tmpl w:val="7F80EF20"/>
    <w:lvl w:ilvl="0" w:tplc="2B2C8096">
      <w:start w:val="1"/>
      <w:numFmt w:val="decimal"/>
      <w:pStyle w:val="Figuretitle"/>
      <w:suff w:val="space"/>
      <w:lvlText w:val="Figure %1"/>
      <w:lvlJc w:val="left"/>
      <w:pPr>
        <w:ind w:left="0" w:firstLine="0"/>
      </w:pPr>
      <w:rPr>
        <w:rFonts w:hint="default"/>
      </w:rPr>
    </w:lvl>
    <w:lvl w:ilvl="1" w:tplc="9CD42160">
      <w:start w:val="1"/>
      <w:numFmt w:val="lowerLetter"/>
      <w:lvlText w:val="%2."/>
      <w:lvlJc w:val="left"/>
      <w:pPr>
        <w:ind w:left="1440" w:hanging="360"/>
      </w:pPr>
    </w:lvl>
    <w:lvl w:ilvl="2" w:tplc="E668A2FA">
      <w:start w:val="1"/>
      <w:numFmt w:val="lowerRoman"/>
      <w:lvlText w:val="%3."/>
      <w:lvlJc w:val="right"/>
      <w:pPr>
        <w:ind w:left="2160" w:hanging="180"/>
      </w:pPr>
    </w:lvl>
    <w:lvl w:ilvl="3" w:tplc="BE4A9C46">
      <w:start w:val="1"/>
      <w:numFmt w:val="decimal"/>
      <w:lvlText w:val="%4."/>
      <w:lvlJc w:val="left"/>
      <w:pPr>
        <w:ind w:left="2880" w:hanging="360"/>
      </w:pPr>
    </w:lvl>
    <w:lvl w:ilvl="4" w:tplc="C5F8340A">
      <w:start w:val="1"/>
      <w:numFmt w:val="lowerLetter"/>
      <w:lvlText w:val="%5."/>
      <w:lvlJc w:val="left"/>
      <w:pPr>
        <w:ind w:left="3600" w:hanging="360"/>
      </w:pPr>
    </w:lvl>
    <w:lvl w:ilvl="5" w:tplc="EEC6A196">
      <w:start w:val="1"/>
      <w:numFmt w:val="lowerRoman"/>
      <w:lvlText w:val="%6."/>
      <w:lvlJc w:val="right"/>
      <w:pPr>
        <w:ind w:left="4320" w:hanging="180"/>
      </w:pPr>
    </w:lvl>
    <w:lvl w:ilvl="6" w:tplc="A0988924">
      <w:start w:val="1"/>
      <w:numFmt w:val="decimal"/>
      <w:lvlText w:val="%7."/>
      <w:lvlJc w:val="left"/>
      <w:pPr>
        <w:ind w:left="5040" w:hanging="360"/>
      </w:pPr>
    </w:lvl>
    <w:lvl w:ilvl="7" w:tplc="AFAC01C2">
      <w:start w:val="1"/>
      <w:numFmt w:val="lowerLetter"/>
      <w:lvlText w:val="%8."/>
      <w:lvlJc w:val="left"/>
      <w:pPr>
        <w:ind w:left="5760" w:hanging="360"/>
      </w:pPr>
    </w:lvl>
    <w:lvl w:ilvl="8" w:tplc="BBFC4B78">
      <w:start w:val="1"/>
      <w:numFmt w:val="lowerRoman"/>
      <w:lvlText w:val="%9."/>
      <w:lvlJc w:val="right"/>
      <w:pPr>
        <w:ind w:left="6480" w:hanging="180"/>
      </w:pPr>
    </w:lvl>
  </w:abstractNum>
  <w:abstractNum w:abstractNumId="4">
    <w:nsid w:val="67BA0D5E"/>
    <w:multiLevelType w:val="multilevel"/>
    <w:tmpl w:val="15CA60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B747448"/>
    <w:multiLevelType w:val="multilevel"/>
    <w:tmpl w:val="762ABF5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7D847F16"/>
    <w:multiLevelType w:val="hybridMultilevel"/>
    <w:tmpl w:val="934083E8"/>
    <w:lvl w:ilvl="0" w:tplc="CE9480E4">
      <w:start w:val="1"/>
      <w:numFmt w:val="decimal"/>
      <w:pStyle w:val="Tabletitle"/>
      <w:suff w:val="space"/>
      <w:lvlText w:val="Table %1"/>
      <w:lvlJc w:val="left"/>
      <w:pPr>
        <w:ind w:left="720" w:hanging="360"/>
      </w:pPr>
      <w:rPr>
        <w:rFonts w:hint="default"/>
      </w:rPr>
    </w:lvl>
    <w:lvl w:ilvl="1" w:tplc="4DC6F904">
      <w:start w:val="1"/>
      <w:numFmt w:val="lowerLetter"/>
      <w:lvlText w:val="%2."/>
      <w:lvlJc w:val="left"/>
      <w:pPr>
        <w:ind w:left="1440" w:hanging="360"/>
      </w:pPr>
    </w:lvl>
    <w:lvl w:ilvl="2" w:tplc="A42E0290">
      <w:start w:val="1"/>
      <w:numFmt w:val="lowerRoman"/>
      <w:lvlText w:val="%3."/>
      <w:lvlJc w:val="right"/>
      <w:pPr>
        <w:ind w:left="2160" w:hanging="180"/>
      </w:pPr>
    </w:lvl>
    <w:lvl w:ilvl="3" w:tplc="9196B590">
      <w:start w:val="1"/>
      <w:numFmt w:val="decimal"/>
      <w:lvlText w:val="%4."/>
      <w:lvlJc w:val="left"/>
      <w:pPr>
        <w:ind w:left="2880" w:hanging="360"/>
      </w:pPr>
    </w:lvl>
    <w:lvl w:ilvl="4" w:tplc="C37A9D78">
      <w:start w:val="1"/>
      <w:numFmt w:val="lowerLetter"/>
      <w:lvlText w:val="%5."/>
      <w:lvlJc w:val="left"/>
      <w:pPr>
        <w:ind w:left="3600" w:hanging="360"/>
      </w:pPr>
    </w:lvl>
    <w:lvl w:ilvl="5" w:tplc="876247B0">
      <w:start w:val="1"/>
      <w:numFmt w:val="lowerRoman"/>
      <w:lvlText w:val="%6."/>
      <w:lvlJc w:val="right"/>
      <w:pPr>
        <w:ind w:left="4320" w:hanging="180"/>
      </w:pPr>
    </w:lvl>
    <w:lvl w:ilvl="6" w:tplc="9D567A88">
      <w:start w:val="1"/>
      <w:numFmt w:val="decimal"/>
      <w:lvlText w:val="%7."/>
      <w:lvlJc w:val="left"/>
      <w:pPr>
        <w:ind w:left="5040" w:hanging="360"/>
      </w:pPr>
    </w:lvl>
    <w:lvl w:ilvl="7" w:tplc="1B281D66">
      <w:start w:val="1"/>
      <w:numFmt w:val="lowerLetter"/>
      <w:lvlText w:val="%8."/>
      <w:lvlJc w:val="left"/>
      <w:pPr>
        <w:ind w:left="5760" w:hanging="360"/>
      </w:pPr>
    </w:lvl>
    <w:lvl w:ilvl="8" w:tplc="21B445DA">
      <w:start w:val="1"/>
      <w:numFmt w:val="lowerRoman"/>
      <w:lvlText w:val="%9."/>
      <w:lvlJc w:val="right"/>
      <w:pPr>
        <w:ind w:left="6480" w:hanging="180"/>
      </w:pPr>
    </w:lvl>
  </w:abstractNum>
  <w:abstractNum w:abstractNumId="7">
    <w:nsid w:val="7DB56991"/>
    <w:multiLevelType w:val="multilevel"/>
    <w:tmpl w:val="510CCF8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2E22A3"/>
    <w:rsid w:val="002E650E"/>
    <w:rsid w:val="003127D0"/>
    <w:rsid w:val="00327914"/>
    <w:rsid w:val="003C6DCA"/>
    <w:rsid w:val="003F778E"/>
    <w:rsid w:val="00455454"/>
    <w:rsid w:val="005127E0"/>
    <w:rsid w:val="00775EF9"/>
    <w:rsid w:val="00840B24"/>
    <w:rsid w:val="00A60BA2"/>
    <w:rsid w:val="00B94F4E"/>
    <w:rsid w:val="00CA7EB8"/>
    <w:rsid w:val="00CC1ADD"/>
    <w:rsid w:val="00CE3E79"/>
    <w:rsid w:val="00D61A5B"/>
    <w:rsid w:val="00E55617"/>
    <w:rsid w:val="00E71AB2"/>
    <w:rsid w:val="00EB171F"/>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422">
      <w:bodyDiv w:val="1"/>
      <w:marLeft w:val="0"/>
      <w:marRight w:val="0"/>
      <w:marTop w:val="0"/>
      <w:marBottom w:val="0"/>
      <w:divBdr>
        <w:top w:val="none" w:sz="0" w:space="0" w:color="auto"/>
        <w:left w:val="none" w:sz="0" w:space="0" w:color="auto"/>
        <w:bottom w:val="none" w:sz="0" w:space="0" w:color="auto"/>
        <w:right w:val="none" w:sz="0" w:space="0" w:color="auto"/>
      </w:divBdr>
    </w:div>
    <w:div w:id="738749128">
      <w:bodyDiv w:val="1"/>
      <w:marLeft w:val="0"/>
      <w:marRight w:val="0"/>
      <w:marTop w:val="0"/>
      <w:marBottom w:val="0"/>
      <w:divBdr>
        <w:top w:val="none" w:sz="0" w:space="0" w:color="auto"/>
        <w:left w:val="none" w:sz="0" w:space="0" w:color="auto"/>
        <w:bottom w:val="none" w:sz="0" w:space="0" w:color="auto"/>
        <w:right w:val="none" w:sz="0" w:space="0" w:color="auto"/>
      </w:divBdr>
    </w:div>
    <w:div w:id="19917158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bibliography-manuscripts-families" TargetMode="External"/><Relationship Id="rId21" Type="http://schemas.openxmlformats.org/officeDocument/2006/relationships/hyperlink" Target="https://www.zotero.org/" TargetMode="External"/><Relationship Id="rId22" Type="http://schemas.openxmlformats.org/officeDocument/2006/relationships/hyperlink" Target="https://books.google.com/books?id=8SwUAAAAQAAJ&amp;pg=PP5" TargetMode="External"/><Relationship Id="rId23" Type="http://schemas.openxmlformats.org/officeDocument/2006/relationships/hyperlink" Target="https://viaf.org" TargetMode="External"/><Relationship Id="rId24" Type="http://schemas.openxmlformats.org/officeDocument/2006/relationships/hyperlink" Target="http://www.tei-c.org/release/doc/tei-p5-doc/en/html/VE.html" TargetMode="External"/><Relationship Id="rId25" Type="http://schemas.openxmlformats.org/officeDocument/2006/relationships/hyperlink" Target="http://www.tei-c.org/release/doc/tei-p5-doc/en/html/CO.html" TargetMode="External"/><Relationship Id="rId26" Type="http://schemas.openxmlformats.org/officeDocument/2006/relationships/hyperlink" Target="http://www.loc.gov/standards/iso639-2/php/English_list.php" TargetMode="External"/><Relationship Id="rId27" Type="http://schemas.openxmlformats.org/officeDocument/2006/relationships/hyperlink" Target="http://pleiades.stoa.org" TargetMode="External"/><Relationship Id="rId28" Type="http://schemas.openxmlformats.org/officeDocument/2006/relationships/hyperlink" Target="http://pleiades.stoa.org" TargetMode="External"/><Relationship Id="rId29" Type="http://schemas.openxmlformats.org/officeDocument/2006/relationships/hyperlink" Target="http://www.tei-c.org/release/doc/tei-p5-doc/en/html/TC.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epidoc.sf.net" TargetMode="External"/><Relationship Id="rId9" Type="http://schemas.openxmlformats.org/officeDocument/2006/relationships/hyperlink" Target="http://lombardpress.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pparatus-criticus-analysis" TargetMode="External"/><Relationship Id="rId33" Type="http://schemas.openxmlformats.org/officeDocument/2006/relationships/hyperlink" Target="https://www.w3.org/TR/xml-id/" TargetMode="External"/><Relationship Id="rId34" Type="http://schemas.openxmlformats.org/officeDocument/2006/relationships/hyperlink" Target="http://www.tei-c.org/Guidelines/P5/"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s://mellon.org/" TargetMode="External"/><Relationship Id="rId11" Type="http://schemas.openxmlformats.org/officeDocument/2006/relationships/hyperlink" Target="https://www.oxygenxml.com/" TargetMode="External"/><Relationship Id="rId12" Type="http://schemas.openxmlformats.org/officeDocument/2006/relationships/hyperlink" Target="https://atom.io/" TargetMode="External"/><Relationship Id="rId13" Type="http://schemas.openxmlformats.org/officeDocument/2006/relationships/hyperlink" Target="https://atom.io/packages/linter-autocomplete-jing" TargetMode="External"/><Relationship Id="rId14" Type="http://schemas.openxmlformats.org/officeDocument/2006/relationships/hyperlink" Target="https://digitallatin.github.io/guidelines/template.xml" TargetMode="External"/><Relationship Id="rId15" Type="http://schemas.openxmlformats.org/officeDocument/2006/relationships/hyperlink" Target="http://www.tei-c.org/release/doc/tei-p5-doc/en/html/ref-table.html" TargetMode="External"/><Relationship Id="rId16" Type="http://schemas.openxmlformats.org/officeDocument/2006/relationships/hyperlink" Target="http://www.zotero.org"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http://www.tei-c.org/release/doc/tei-p5-doc/en/html/MS.html" TargetMode="External"/><Relationship Id="rId19" Type="http://schemas.openxmlformats.org/officeDocument/2006/relationships/hyperlink" Target="http://www.tei-c.org/release/doc/tei-p5-doc/en/html/MS.html"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55</Pages>
  <Words>26830</Words>
  <Characters>152931</Characters>
  <Application>Microsoft Macintosh Word</Application>
  <DocSecurity>0</DocSecurity>
  <Lines>1274</Lines>
  <Paragraphs>358</Paragraphs>
  <ScaleCrop>false</ScaleCrop>
  <Company>Text Encoding Initiative</Company>
  <LinksUpToDate>false</LinksUpToDate>
  <CharactersWithSpaces>179403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
  <cp:lastModifiedBy>Samuel Huskey</cp:lastModifiedBy>
  <cp:revision>7</cp:revision>
  <dcterms:created xsi:type="dcterms:W3CDTF">2013-10-04T10:00:00Z</dcterms:created>
  <dcterms:modified xsi:type="dcterms:W3CDTF">2017-05-29T19:17:00Z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