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6B7F6" w14:textId="4E42F4B0" w:rsidR="00EB2725" w:rsidRDefault="000C21C3" w:rsidP="00535BF7">
      <w:pPr>
        <w:pStyle w:val="Heading1"/>
        <w:spacing w:after="240" w:line="276" w:lineRule="auto"/>
        <w:rPr>
          <w:color w:val="auto"/>
        </w:rPr>
      </w:pPr>
      <w:r w:rsidRPr="0090576B">
        <w:rPr>
          <w:color w:val="auto"/>
          <w:szCs w:val="24"/>
        </w:rPr>
        <w:fldChar w:fldCharType="begin"/>
      </w:r>
      <w:r w:rsidR="001E27CE" w:rsidRPr="0090576B">
        <w:rPr>
          <w:color w:val="auto"/>
          <w:szCs w:val="24"/>
        </w:rPr>
        <w:instrText xml:space="preserve"> SEQ CHAPTER \h \r 1</w:instrText>
      </w:r>
      <w:r w:rsidRPr="0090576B">
        <w:rPr>
          <w:color w:val="auto"/>
          <w:szCs w:val="24"/>
        </w:rPr>
        <w:fldChar w:fldCharType="end"/>
      </w:r>
      <w:r w:rsidR="001E27CE" w:rsidRPr="0090576B">
        <w:rPr>
          <w:color w:val="auto"/>
          <w:szCs w:val="26"/>
        </w:rPr>
        <w:t>Accumulation and Resistance in the 21st Century</w:t>
      </w:r>
    </w:p>
    <w:p w14:paraId="091C367B" w14:textId="77777777" w:rsidR="007F71C3" w:rsidRPr="00EB2725" w:rsidRDefault="0090576B" w:rsidP="00535BF7">
      <w:pPr>
        <w:pStyle w:val="Heading1"/>
        <w:spacing w:after="240" w:line="276" w:lineRule="auto"/>
        <w:rPr>
          <w:color w:val="auto"/>
        </w:rPr>
      </w:pPr>
      <w:r w:rsidRPr="0090576B">
        <w:rPr>
          <w:color w:val="auto"/>
        </w:rPr>
        <w:t>Andrew Ross</w:t>
      </w:r>
    </w:p>
    <w:p w14:paraId="1A62C58F" w14:textId="77777777" w:rsidR="00535BF7" w:rsidRDefault="00535BF7" w:rsidP="00535BF7">
      <w:pPr>
        <w:widowControl/>
        <w:spacing w:after="240" w:line="276" w:lineRule="auto"/>
        <w:rPr>
          <w:bCs/>
          <w:sz w:val="26"/>
          <w:szCs w:val="26"/>
        </w:rPr>
      </w:pPr>
    </w:p>
    <w:p w14:paraId="5A41AD41" w14:textId="353E1EB0" w:rsidR="00A15BF6" w:rsidRDefault="00535BF7" w:rsidP="00535BF7">
      <w:pPr>
        <w:widowControl/>
        <w:spacing w:after="240" w:line="276" w:lineRule="auto"/>
        <w:rPr>
          <w:bCs/>
          <w:sz w:val="26"/>
          <w:szCs w:val="26"/>
        </w:rPr>
      </w:pPr>
      <w:r>
        <w:rPr>
          <w:bCs/>
          <w:sz w:val="26"/>
          <w:szCs w:val="26"/>
        </w:rPr>
        <w:t>Thanks to Thomas Pi</w:t>
      </w:r>
      <w:r w:rsidR="001E27CE" w:rsidRPr="0090576B">
        <w:rPr>
          <w:bCs/>
          <w:sz w:val="26"/>
          <w:szCs w:val="26"/>
        </w:rPr>
        <w:t>ketty and Emmanuel Saez, a lot of attention has been focused recently on wealth accumulation at the top. The income data they have gathered shows that the primary source of accumulation for the 1</w:t>
      </w:r>
      <w:r w:rsidR="00B83DB9">
        <w:rPr>
          <w:bCs/>
          <w:sz w:val="26"/>
          <w:szCs w:val="26"/>
        </w:rPr>
        <w:t xml:space="preserve"> </w:t>
      </w:r>
      <w:r w:rsidR="00A57BB0">
        <w:rPr>
          <w:bCs/>
          <w:sz w:val="26"/>
          <w:szCs w:val="26"/>
        </w:rPr>
        <w:t xml:space="preserve">percent </w:t>
      </w:r>
      <w:r w:rsidR="001E27CE" w:rsidRPr="0090576B">
        <w:rPr>
          <w:bCs/>
          <w:sz w:val="26"/>
          <w:szCs w:val="26"/>
        </w:rPr>
        <w:t>now comes in the form of economic rents (from debt-leveraging, capital gains, manipulation of paper claims through derivatives, and other forms of financial engineering).</w:t>
      </w:r>
      <w:r w:rsidR="00BD6A7F">
        <w:rPr>
          <w:rStyle w:val="FootnoteReference"/>
          <w:bCs/>
          <w:sz w:val="26"/>
          <w:szCs w:val="26"/>
        </w:rPr>
        <w:footnoteReference w:id="1"/>
      </w:r>
      <w:r w:rsidR="001E27CE" w:rsidRPr="0090576B">
        <w:rPr>
          <w:bCs/>
          <w:sz w:val="26"/>
          <w:szCs w:val="26"/>
        </w:rPr>
        <w:t xml:space="preserve"> The corresponding accumulation of household debt (you can’t have one without the other) has been neglected, however, despite evidence that it continues to increase, posing a threat to the capacity of democracies to protect their citizenry from economic harms imposed by the creditor class</w:t>
      </w:r>
      <w:r w:rsidR="00C5681F">
        <w:rPr>
          <w:bCs/>
          <w:sz w:val="26"/>
          <w:szCs w:val="26"/>
        </w:rPr>
        <w:t>.</w:t>
      </w:r>
      <w:r w:rsidR="00BD6A7F">
        <w:rPr>
          <w:rStyle w:val="FootnoteReference"/>
          <w:bCs/>
          <w:sz w:val="26"/>
          <w:szCs w:val="26"/>
        </w:rPr>
        <w:footnoteReference w:id="2"/>
      </w:r>
      <w:r w:rsidR="001E27CE" w:rsidRPr="0090576B">
        <w:rPr>
          <w:bCs/>
          <w:sz w:val="26"/>
          <w:szCs w:val="26"/>
        </w:rPr>
        <w:t xml:space="preserve"> </w:t>
      </w:r>
    </w:p>
    <w:p w14:paraId="24A07A32" w14:textId="174A73C6" w:rsidR="00A15BF6" w:rsidRDefault="001E27CE" w:rsidP="00535BF7">
      <w:pPr>
        <w:widowControl/>
        <w:spacing w:after="240" w:line="276" w:lineRule="auto"/>
        <w:rPr>
          <w:bCs/>
          <w:sz w:val="26"/>
          <w:szCs w:val="26"/>
        </w:rPr>
      </w:pPr>
      <w:r w:rsidRPr="0090576B">
        <w:rPr>
          <w:bCs/>
          <w:sz w:val="26"/>
          <w:szCs w:val="26"/>
        </w:rPr>
        <w:t xml:space="preserve">For a while, there seemed to be some good news on this front. Overall household debt was on the decrease from its </w:t>
      </w:r>
      <w:r w:rsidR="00A15BF6" w:rsidRPr="0090576B">
        <w:rPr>
          <w:bCs/>
          <w:sz w:val="26"/>
          <w:szCs w:val="26"/>
        </w:rPr>
        <w:t>sky-high</w:t>
      </w:r>
      <w:r w:rsidRPr="0090576B">
        <w:rPr>
          <w:bCs/>
          <w:sz w:val="26"/>
          <w:szCs w:val="26"/>
        </w:rPr>
        <w:t xml:space="preserve"> levels just before the financial crash. In the U.S., debt service, which reached more than 14 percent of after-tax income by the end of 2007, had fallen to 10.5 percent by April 2013</w:t>
      </w:r>
      <w:r w:rsidR="00C5681F">
        <w:rPr>
          <w:bCs/>
          <w:sz w:val="26"/>
          <w:szCs w:val="26"/>
        </w:rPr>
        <w:t>.</w:t>
      </w:r>
      <w:r w:rsidR="00E75C2B">
        <w:rPr>
          <w:rStyle w:val="FootnoteReference"/>
          <w:bCs/>
          <w:sz w:val="26"/>
          <w:szCs w:val="26"/>
        </w:rPr>
        <w:footnoteReference w:customMarkFollows="1" w:id="3"/>
        <w:t>3</w:t>
      </w:r>
      <w:r w:rsidR="006C63C6">
        <w:rPr>
          <w:bCs/>
          <w:sz w:val="26"/>
          <w:szCs w:val="26"/>
        </w:rPr>
        <w:t xml:space="preserve"> </w:t>
      </w:r>
      <w:r w:rsidRPr="0090576B">
        <w:rPr>
          <w:bCs/>
          <w:sz w:val="26"/>
          <w:szCs w:val="26"/>
        </w:rPr>
        <w:t>Much of the deleveragi</w:t>
      </w:r>
      <w:r w:rsidR="00CC53AE">
        <w:rPr>
          <w:bCs/>
          <w:sz w:val="26"/>
          <w:szCs w:val="26"/>
        </w:rPr>
        <w:t>ng was due to low interest rates,</w:t>
      </w:r>
      <w:r w:rsidRPr="0090576B">
        <w:rPr>
          <w:bCs/>
          <w:sz w:val="26"/>
          <w:szCs w:val="26"/>
        </w:rPr>
        <w:t xml:space="preserve"> and to a reduction in mortgage debt, though it is not clear how much of the decrease came from banks writing off delinquent loans rather than from faithful repayment. In the third quarter of 2013, this decline ended, and mortgage deb</w:t>
      </w:r>
      <w:r w:rsidR="00FA1D25">
        <w:rPr>
          <w:bCs/>
          <w:sz w:val="26"/>
          <w:szCs w:val="26"/>
        </w:rPr>
        <w:t>t started to rise again, by $56 billion</w:t>
      </w:r>
      <w:r w:rsidRPr="0090576B">
        <w:rPr>
          <w:bCs/>
          <w:sz w:val="26"/>
          <w:szCs w:val="26"/>
        </w:rPr>
        <w:t>. The fourth quarter showed a 1.9</w:t>
      </w:r>
      <w:r w:rsidR="00FA1D25">
        <w:rPr>
          <w:bCs/>
          <w:sz w:val="26"/>
          <w:szCs w:val="26"/>
        </w:rPr>
        <w:t xml:space="preserve"> percent</w:t>
      </w:r>
      <w:r w:rsidRPr="0090576B">
        <w:rPr>
          <w:bCs/>
          <w:sz w:val="26"/>
          <w:szCs w:val="26"/>
        </w:rPr>
        <w:t xml:space="preserve"> leap in mortgages and 3.9</w:t>
      </w:r>
      <w:r w:rsidR="00FA1D25">
        <w:rPr>
          <w:bCs/>
          <w:sz w:val="26"/>
          <w:szCs w:val="26"/>
        </w:rPr>
        <w:t xml:space="preserve"> percent</w:t>
      </w:r>
      <w:r w:rsidRPr="0090576B">
        <w:rPr>
          <w:bCs/>
          <w:sz w:val="26"/>
          <w:szCs w:val="26"/>
        </w:rPr>
        <w:t xml:space="preserve"> in non-housing household debt. Auto loans and credit card balances also started to move upward, and the trend continued through the first quarter of 2014, with an advance of 1.1 percent, taking overall U.S. household debt to $11.65 trillion. Similar figures were recorded for most of the industrialized economies, though none could compare with the U</w:t>
      </w:r>
      <w:r w:rsidR="00FA1D25">
        <w:rPr>
          <w:bCs/>
          <w:sz w:val="26"/>
          <w:szCs w:val="26"/>
        </w:rPr>
        <w:t>.</w:t>
      </w:r>
      <w:r w:rsidRPr="0090576B">
        <w:rPr>
          <w:bCs/>
          <w:sz w:val="26"/>
          <w:szCs w:val="26"/>
        </w:rPr>
        <w:t>S</w:t>
      </w:r>
      <w:r w:rsidR="00FA1D25">
        <w:rPr>
          <w:bCs/>
          <w:sz w:val="26"/>
          <w:szCs w:val="26"/>
        </w:rPr>
        <w:t>.</w:t>
      </w:r>
      <w:r w:rsidRPr="0090576B">
        <w:rPr>
          <w:bCs/>
          <w:sz w:val="26"/>
          <w:szCs w:val="26"/>
        </w:rPr>
        <w:t>’s outlier figures on the student debt burden, which has not abated at all in the six years since 2008, and is now approaching 1.3 trillion, with default rat</w:t>
      </w:r>
      <w:r w:rsidR="00597CBB">
        <w:rPr>
          <w:bCs/>
          <w:sz w:val="26"/>
          <w:szCs w:val="26"/>
        </w:rPr>
        <w:t>es averaging a million a year.</w:t>
      </w:r>
    </w:p>
    <w:p w14:paraId="3B7C9300" w14:textId="7C0132DA" w:rsidR="00A15BF6" w:rsidRDefault="001E27CE" w:rsidP="00535BF7">
      <w:pPr>
        <w:widowControl/>
        <w:spacing w:after="240" w:line="276" w:lineRule="auto"/>
        <w:rPr>
          <w:bCs/>
          <w:sz w:val="26"/>
          <w:szCs w:val="26"/>
        </w:rPr>
      </w:pPr>
      <w:r w:rsidRPr="0090576B">
        <w:rPr>
          <w:bCs/>
          <w:sz w:val="26"/>
          <w:szCs w:val="26"/>
        </w:rPr>
        <w:t xml:space="preserve">If these numbers continue to rise, as it seems likely, then it’s clear that the bottom of the debt deflation trend turned out to be not very deep. Once people are persuaded it is </w:t>
      </w:r>
      <w:r w:rsidRPr="0090576B">
        <w:rPr>
          <w:bCs/>
          <w:sz w:val="26"/>
          <w:szCs w:val="26"/>
        </w:rPr>
        <w:lastRenderedPageBreak/>
        <w:t>safe to start borrowing again, then interest rates will be hiked</w:t>
      </w:r>
      <w:r w:rsidR="00B83DB9">
        <w:rPr>
          <w:bCs/>
          <w:sz w:val="26"/>
          <w:szCs w:val="26"/>
        </w:rPr>
        <w:t xml:space="preserve"> </w:t>
      </w:r>
      <w:r w:rsidR="0055414B">
        <w:rPr>
          <w:bCs/>
          <w:sz w:val="26"/>
          <w:szCs w:val="26"/>
        </w:rPr>
        <w:t>–</w:t>
      </w:r>
      <w:r w:rsidR="00B83DB9">
        <w:rPr>
          <w:bCs/>
          <w:sz w:val="26"/>
          <w:szCs w:val="26"/>
        </w:rPr>
        <w:t xml:space="preserve"> </w:t>
      </w:r>
      <w:r w:rsidRPr="0090576B">
        <w:rPr>
          <w:bCs/>
          <w:sz w:val="26"/>
          <w:szCs w:val="26"/>
        </w:rPr>
        <w:t>an invitation for the banks to stop hoarding their cash reserves and embark on a new season of predatory lending. This invitation to the banks is backed by the proven willingness of governments to bail them out even in the face of high rates of personal default and mass immiseration among the citizenry. Such assurances that the banks will always be made whole are critical to any creditor’s calculation that higher levels of debt service are sustainable. The gap between the deflated bottom and projected, or aspirational, levels of rent extraction is now large enough for them to jump back into the lending game, an outcome that no amount of quantitative easing has been able to bring about.</w:t>
      </w:r>
      <w:r w:rsidR="00597CBB">
        <w:rPr>
          <w:bCs/>
          <w:sz w:val="26"/>
          <w:szCs w:val="26"/>
        </w:rPr>
        <w:t xml:space="preserve"> </w:t>
      </w:r>
    </w:p>
    <w:p w14:paraId="352041BD" w14:textId="77777777" w:rsidR="007F71C3" w:rsidRDefault="001E27CE" w:rsidP="00535BF7">
      <w:pPr>
        <w:widowControl/>
        <w:spacing w:after="240" w:line="276" w:lineRule="auto"/>
        <w:rPr>
          <w:bCs/>
          <w:sz w:val="26"/>
          <w:szCs w:val="26"/>
        </w:rPr>
      </w:pPr>
      <w:r w:rsidRPr="0090576B">
        <w:rPr>
          <w:bCs/>
          <w:sz w:val="26"/>
          <w:szCs w:val="26"/>
        </w:rPr>
        <w:t>Equally serviceable is the gathering consensus among economists</w:t>
      </w:r>
      <w:r w:rsidR="00535BF7">
        <w:rPr>
          <w:bCs/>
          <w:sz w:val="26"/>
          <w:szCs w:val="26"/>
        </w:rPr>
        <w:t xml:space="preserve"> – </w:t>
      </w:r>
      <w:r w:rsidRPr="0090576B">
        <w:rPr>
          <w:bCs/>
          <w:sz w:val="26"/>
          <w:szCs w:val="26"/>
        </w:rPr>
        <w:t>even those critical of neoliberalism</w:t>
      </w:r>
      <w:r w:rsidR="00535BF7">
        <w:rPr>
          <w:bCs/>
          <w:sz w:val="26"/>
          <w:szCs w:val="26"/>
        </w:rPr>
        <w:t xml:space="preserve"> – </w:t>
      </w:r>
      <w:r w:rsidRPr="0090576B">
        <w:rPr>
          <w:bCs/>
          <w:sz w:val="26"/>
          <w:szCs w:val="26"/>
        </w:rPr>
        <w:t xml:space="preserve">that the so-called </w:t>
      </w:r>
      <w:r w:rsidR="00C71DDF">
        <w:rPr>
          <w:bCs/>
          <w:sz w:val="26"/>
          <w:szCs w:val="26"/>
        </w:rPr>
        <w:t>‘</w:t>
      </w:r>
      <w:r w:rsidRPr="0090576B">
        <w:rPr>
          <w:bCs/>
          <w:sz w:val="26"/>
          <w:szCs w:val="26"/>
        </w:rPr>
        <w:t>debt overhang</w:t>
      </w:r>
      <w:r w:rsidR="00C71DDF">
        <w:rPr>
          <w:bCs/>
          <w:sz w:val="26"/>
          <w:szCs w:val="26"/>
        </w:rPr>
        <w:t>’</w:t>
      </w:r>
      <w:r w:rsidRPr="0090576B">
        <w:rPr>
          <w:bCs/>
          <w:sz w:val="26"/>
          <w:szCs w:val="26"/>
        </w:rPr>
        <w:t xml:space="preserve"> from the 2008 crash has largely been resolved and that it is not only safe to begin borrowing again but also it is necessary if GDP-driven growth is to get back to business as usual. This is not particularly good analysis nor is it good advice. A debt overhang is one of these dodgy concepts economists use to rationalize an otherwise unsustainable or high-risk condition. And as for GDP-driven growth, all the evidence shows that any such economic program is a recipe for ecological collapse.</w:t>
      </w:r>
    </w:p>
    <w:p w14:paraId="3186C83A" w14:textId="77777777" w:rsidR="00ED5EBC" w:rsidRPr="00C5681F" w:rsidRDefault="00ED5EBC" w:rsidP="00535BF7">
      <w:pPr>
        <w:widowControl/>
        <w:spacing w:after="240" w:line="276" w:lineRule="auto"/>
        <w:rPr>
          <w:b/>
          <w:bCs/>
          <w:sz w:val="26"/>
          <w:szCs w:val="26"/>
        </w:rPr>
      </w:pPr>
    </w:p>
    <w:p w14:paraId="1ABC275F" w14:textId="77777777" w:rsidR="00A15BF6" w:rsidRPr="00535BF7" w:rsidRDefault="00ED5EBC" w:rsidP="00597CBB">
      <w:pPr>
        <w:pStyle w:val="Heading2"/>
      </w:pPr>
      <w:r w:rsidRPr="00C5681F">
        <w:t>Rise of Creditocracy</w:t>
      </w:r>
    </w:p>
    <w:p w14:paraId="3F3F3A3C" w14:textId="77777777" w:rsidR="007F71C3" w:rsidRPr="0090576B" w:rsidRDefault="001E27CE" w:rsidP="00535BF7">
      <w:pPr>
        <w:widowControl/>
        <w:spacing w:after="240" w:line="276" w:lineRule="auto"/>
        <w:rPr>
          <w:bCs/>
          <w:sz w:val="26"/>
          <w:szCs w:val="26"/>
        </w:rPr>
      </w:pPr>
      <w:r w:rsidRPr="0090576B">
        <w:rPr>
          <w:bCs/>
          <w:sz w:val="26"/>
          <w:szCs w:val="26"/>
        </w:rPr>
        <w:t>Today we live</w:t>
      </w:r>
      <w:r w:rsidR="00C71DDF">
        <w:rPr>
          <w:bCs/>
          <w:sz w:val="26"/>
          <w:szCs w:val="26"/>
        </w:rPr>
        <w:t xml:space="preserve"> in</w:t>
      </w:r>
      <w:r w:rsidRPr="0090576B">
        <w:rPr>
          <w:bCs/>
          <w:sz w:val="26"/>
          <w:szCs w:val="26"/>
        </w:rPr>
        <w:t xml:space="preserve"> the kind of so</w:t>
      </w:r>
      <w:r w:rsidR="006C63C6">
        <w:rPr>
          <w:bCs/>
          <w:sz w:val="26"/>
          <w:szCs w:val="26"/>
        </w:rPr>
        <w:t>ciety</w:t>
      </w:r>
      <w:r w:rsidR="00535BF7">
        <w:rPr>
          <w:bCs/>
          <w:sz w:val="26"/>
          <w:szCs w:val="26"/>
        </w:rPr>
        <w:t xml:space="preserve"> </w:t>
      </w:r>
      <w:r w:rsidR="0055414B">
        <w:rPr>
          <w:bCs/>
          <w:sz w:val="26"/>
          <w:szCs w:val="26"/>
        </w:rPr>
        <w:t>–</w:t>
      </w:r>
      <w:r w:rsidR="00535BF7">
        <w:rPr>
          <w:bCs/>
          <w:sz w:val="26"/>
          <w:szCs w:val="26"/>
        </w:rPr>
        <w:t xml:space="preserve"> </w:t>
      </w:r>
      <w:r w:rsidR="006C63C6">
        <w:rPr>
          <w:bCs/>
          <w:sz w:val="26"/>
          <w:szCs w:val="26"/>
        </w:rPr>
        <w:t>I call it a creditocracy</w:t>
      </w:r>
      <w:r w:rsidR="00535BF7">
        <w:rPr>
          <w:bCs/>
          <w:sz w:val="26"/>
          <w:szCs w:val="26"/>
        </w:rPr>
        <w:t xml:space="preserve"> – </w:t>
      </w:r>
      <w:r w:rsidRPr="0090576B">
        <w:rPr>
          <w:bCs/>
          <w:sz w:val="26"/>
          <w:szCs w:val="26"/>
        </w:rPr>
        <w:t xml:space="preserve">where pretty much everybody is up to their neck in debt that can never be repaid, nor is supposed to be. </w:t>
      </w:r>
    </w:p>
    <w:p w14:paraId="77A9D7A6" w14:textId="742EE928" w:rsidR="00A15BF6" w:rsidRDefault="001E27CE" w:rsidP="00535BF7">
      <w:pPr>
        <w:widowControl/>
        <w:spacing w:after="240" w:line="276" w:lineRule="auto"/>
        <w:rPr>
          <w:bCs/>
          <w:sz w:val="26"/>
          <w:szCs w:val="26"/>
        </w:rPr>
      </w:pPr>
      <w:r w:rsidRPr="0090576B">
        <w:rPr>
          <w:bCs/>
          <w:sz w:val="26"/>
          <w:szCs w:val="26"/>
        </w:rPr>
        <w:t xml:space="preserve">The gut liberal response is to say, </w:t>
      </w:r>
      <w:r w:rsidR="00C11BED">
        <w:rPr>
          <w:bCs/>
          <w:sz w:val="26"/>
          <w:szCs w:val="26"/>
        </w:rPr>
        <w:t>‘</w:t>
      </w:r>
      <w:r w:rsidRPr="0090576B">
        <w:rPr>
          <w:bCs/>
          <w:sz w:val="26"/>
          <w:szCs w:val="26"/>
        </w:rPr>
        <w:t>That’s not fair, no one should have debts that can never be repaid, and besides, why would banks want that?</w:t>
      </w:r>
      <w:r w:rsidR="00C11BED">
        <w:rPr>
          <w:bCs/>
          <w:sz w:val="26"/>
          <w:szCs w:val="26"/>
        </w:rPr>
        <w:t>’</w:t>
      </w:r>
      <w:r w:rsidRPr="0090576B">
        <w:rPr>
          <w:bCs/>
          <w:sz w:val="26"/>
          <w:szCs w:val="26"/>
        </w:rPr>
        <w:t xml:space="preserve"> This is to miss the point entirely. It’s important to understand that our creditors don’t want us to pay off our debts entirel</w:t>
      </w:r>
      <w:r w:rsidR="00C11BED">
        <w:rPr>
          <w:bCs/>
          <w:sz w:val="26"/>
          <w:szCs w:val="26"/>
        </w:rPr>
        <w:t>y –</w:t>
      </w:r>
      <w:r w:rsidR="00B83DB9">
        <w:rPr>
          <w:bCs/>
          <w:sz w:val="26"/>
          <w:szCs w:val="26"/>
        </w:rPr>
        <w:t xml:space="preserve"> </w:t>
      </w:r>
      <w:r w:rsidR="00C11BED">
        <w:rPr>
          <w:bCs/>
          <w:sz w:val="26"/>
          <w:szCs w:val="26"/>
        </w:rPr>
        <w:t xml:space="preserve">for </w:t>
      </w:r>
      <w:r w:rsidRPr="0090576B">
        <w:rPr>
          <w:bCs/>
          <w:sz w:val="26"/>
          <w:szCs w:val="26"/>
        </w:rPr>
        <w:t xml:space="preserve">the same reason that credit card issuers don’t want us to pay off our credit card balance every month. Customers who do this diligently are known in the industry as </w:t>
      </w:r>
      <w:r w:rsidR="00C11BED">
        <w:rPr>
          <w:bCs/>
          <w:sz w:val="26"/>
          <w:szCs w:val="26"/>
        </w:rPr>
        <w:t>‘</w:t>
      </w:r>
      <w:r w:rsidRPr="0090576B">
        <w:rPr>
          <w:bCs/>
          <w:sz w:val="26"/>
          <w:szCs w:val="26"/>
        </w:rPr>
        <w:t>deadbeats</w:t>
      </w:r>
      <w:r w:rsidR="00C11BED">
        <w:rPr>
          <w:bCs/>
          <w:sz w:val="26"/>
          <w:szCs w:val="26"/>
        </w:rPr>
        <w:t>’,</w:t>
      </w:r>
      <w:r w:rsidRPr="0090576B">
        <w:rPr>
          <w:bCs/>
          <w:sz w:val="26"/>
          <w:szCs w:val="26"/>
        </w:rPr>
        <w:t xml:space="preserve"> because they appear to get credit for free. The ideal citizens in a creditocracy are the revolvers who cannot make ends meet</w:t>
      </w:r>
      <w:r w:rsidR="00B83DB9">
        <w:rPr>
          <w:bCs/>
          <w:sz w:val="26"/>
          <w:szCs w:val="26"/>
        </w:rPr>
        <w:t>,</w:t>
      </w:r>
      <w:r w:rsidRPr="0090576B">
        <w:rPr>
          <w:bCs/>
          <w:sz w:val="26"/>
          <w:szCs w:val="26"/>
        </w:rPr>
        <w:t xml:space="preserve"> and who pay the minimum along with merchant fees and penalties every month, rolling over their cred</w:t>
      </w:r>
      <w:r w:rsidR="00535BF7">
        <w:rPr>
          <w:bCs/>
          <w:sz w:val="26"/>
          <w:szCs w:val="26"/>
        </w:rPr>
        <w:t>it from month to month.</w:t>
      </w:r>
    </w:p>
    <w:p w14:paraId="49C302ED" w14:textId="77777777" w:rsidR="007F71C3" w:rsidRPr="0090576B" w:rsidRDefault="001E27CE" w:rsidP="00535BF7">
      <w:pPr>
        <w:widowControl/>
        <w:spacing w:after="240" w:line="276" w:lineRule="auto"/>
        <w:rPr>
          <w:sz w:val="24"/>
          <w:szCs w:val="24"/>
        </w:rPr>
      </w:pPr>
      <w:r w:rsidRPr="0090576B">
        <w:rPr>
          <w:bCs/>
          <w:sz w:val="26"/>
          <w:szCs w:val="26"/>
        </w:rPr>
        <w:t>Creditors’ profits come from extending our debt service as long as they possibly can. After all, if we pay down our debts, we are no longer serviceable to the banks. The goal is to keep us on the hook until we die, and even beyond the grave in the case of student debts that are co-signed by parents or grandparents. Not surprisingly, there has been a marked generational shift in the debt burden toward the elderly. In the postwar model of life-cycle lending, it was more or less assumed that middle-class borrowers would earn the right, in their senior years, to live debt-free, and it was a source of pride among the elderly, especially debt-abhorrent Depression babies, to have never paid a finance fee. That is no longer the case, and not just because debt-tolerant boomers have entered the ranks of the retired. Patterns of capitalist profit have shifted, and are more tied to lifelong financial extraction.</w:t>
      </w:r>
    </w:p>
    <w:p w14:paraId="59540F3E" w14:textId="6FF04FC0" w:rsidR="007F71C3" w:rsidRPr="0090576B" w:rsidRDefault="001E27CE" w:rsidP="00535BF7">
      <w:pPr>
        <w:widowControl/>
        <w:spacing w:after="240" w:line="276" w:lineRule="auto"/>
        <w:rPr>
          <w:bCs/>
          <w:sz w:val="26"/>
          <w:szCs w:val="26"/>
        </w:rPr>
      </w:pPr>
      <w:r w:rsidRPr="0090576B">
        <w:rPr>
          <w:bCs/>
          <w:sz w:val="26"/>
          <w:szCs w:val="26"/>
        </w:rPr>
        <w:t>The major banks are bigger and more profitable than before the 2008 crash. The exposure of American banks to derivatives alone has increased to $232 trillion, almost a third more than before 2008 when the escalation of these risky bets helped to bring on the financial crash.</w:t>
      </w:r>
      <w:r w:rsidRPr="0090576B">
        <w:rPr>
          <w:sz w:val="26"/>
          <w:szCs w:val="26"/>
        </w:rPr>
        <w:t xml:space="preserve"> </w:t>
      </w:r>
      <w:r w:rsidR="00535BF7">
        <w:rPr>
          <w:bCs/>
          <w:sz w:val="26"/>
          <w:szCs w:val="26"/>
        </w:rPr>
        <w:t>The big six U</w:t>
      </w:r>
      <w:r w:rsidR="00B83DB9">
        <w:rPr>
          <w:bCs/>
          <w:sz w:val="26"/>
          <w:szCs w:val="26"/>
        </w:rPr>
        <w:t>.</w:t>
      </w:r>
      <w:r w:rsidRPr="0090576B">
        <w:rPr>
          <w:bCs/>
          <w:sz w:val="26"/>
          <w:szCs w:val="26"/>
        </w:rPr>
        <w:t>S</w:t>
      </w:r>
      <w:r w:rsidR="00B83DB9">
        <w:rPr>
          <w:bCs/>
          <w:sz w:val="26"/>
          <w:szCs w:val="26"/>
        </w:rPr>
        <w:t>.</w:t>
      </w:r>
      <w:r w:rsidRPr="0090576B">
        <w:rPr>
          <w:bCs/>
          <w:sz w:val="26"/>
          <w:szCs w:val="26"/>
        </w:rPr>
        <w:t xml:space="preserve"> banks collectively are carrying a debt load of $8.7 trillion. With that combination of debt overhead, exposure to dodgy derivatives, leverage over the national economy, and continued weak regulatory oversight, there is a very high risk of a repeat of the 2008 meltdown. Indeed, many industry insiders believe that an equally ruinous relapse is already in the making. Legislators are all but powerle</w:t>
      </w:r>
      <w:r w:rsidR="00FA1D25">
        <w:rPr>
          <w:bCs/>
          <w:sz w:val="26"/>
          <w:szCs w:val="26"/>
        </w:rPr>
        <w:t xml:space="preserve">ss to bring the banks to heel. </w:t>
      </w:r>
      <w:r w:rsidRPr="0090576B">
        <w:rPr>
          <w:bCs/>
          <w:sz w:val="26"/>
          <w:szCs w:val="26"/>
        </w:rPr>
        <w:t>U</w:t>
      </w:r>
      <w:r w:rsidR="00527038">
        <w:rPr>
          <w:bCs/>
          <w:sz w:val="26"/>
          <w:szCs w:val="26"/>
        </w:rPr>
        <w:t>.</w:t>
      </w:r>
      <w:r w:rsidRPr="0090576B">
        <w:rPr>
          <w:bCs/>
          <w:sz w:val="26"/>
          <w:szCs w:val="26"/>
        </w:rPr>
        <w:t>S</w:t>
      </w:r>
      <w:r w:rsidR="00527038">
        <w:rPr>
          <w:bCs/>
          <w:sz w:val="26"/>
          <w:szCs w:val="26"/>
        </w:rPr>
        <w:t>.</w:t>
      </w:r>
      <w:r w:rsidRPr="0090576B">
        <w:rPr>
          <w:bCs/>
          <w:sz w:val="26"/>
          <w:szCs w:val="26"/>
        </w:rPr>
        <w:t xml:space="preserve"> Attorney General </w:t>
      </w:r>
      <w:r w:rsidR="00527038">
        <w:rPr>
          <w:bCs/>
          <w:sz w:val="26"/>
          <w:szCs w:val="26"/>
        </w:rPr>
        <w:t xml:space="preserve">Eric </w:t>
      </w:r>
      <w:r w:rsidRPr="0090576B">
        <w:rPr>
          <w:bCs/>
          <w:sz w:val="26"/>
          <w:szCs w:val="26"/>
        </w:rPr>
        <w:t xml:space="preserve">Holder himself acknowledged publicly last year in testimony to </w:t>
      </w:r>
      <w:r w:rsidR="00C11BED" w:rsidRPr="0090576B">
        <w:rPr>
          <w:bCs/>
          <w:sz w:val="26"/>
          <w:szCs w:val="26"/>
        </w:rPr>
        <w:t>the Senate</w:t>
      </w:r>
      <w:r w:rsidRPr="0090576B">
        <w:rPr>
          <w:bCs/>
          <w:sz w:val="26"/>
          <w:szCs w:val="26"/>
        </w:rPr>
        <w:t xml:space="preserve"> Judiciary Committee that when banks acquire so much concentrated power, it is </w:t>
      </w:r>
      <w:r w:rsidR="00C11BED">
        <w:rPr>
          <w:bCs/>
          <w:sz w:val="26"/>
          <w:szCs w:val="26"/>
        </w:rPr>
        <w:t>‘</w:t>
      </w:r>
      <w:r w:rsidRPr="0090576B">
        <w:rPr>
          <w:bCs/>
          <w:sz w:val="26"/>
          <w:szCs w:val="26"/>
        </w:rPr>
        <w:t xml:space="preserve">difficult for us to prosecute them… if you do bring a criminal charge, it will have a negative impact on the national economy, perhaps even the </w:t>
      </w:r>
      <w:r w:rsidR="00B624D3">
        <w:rPr>
          <w:bCs/>
          <w:sz w:val="26"/>
          <w:szCs w:val="26"/>
        </w:rPr>
        <w:t>world</w:t>
      </w:r>
      <w:r w:rsidR="00B624D3" w:rsidRPr="0090576B">
        <w:rPr>
          <w:bCs/>
          <w:sz w:val="26"/>
          <w:szCs w:val="26"/>
        </w:rPr>
        <w:t xml:space="preserve"> </w:t>
      </w:r>
      <w:r w:rsidRPr="0090576B">
        <w:rPr>
          <w:bCs/>
          <w:sz w:val="26"/>
          <w:szCs w:val="26"/>
        </w:rPr>
        <w:t>economy</w:t>
      </w:r>
      <w:r w:rsidR="00C11BED">
        <w:rPr>
          <w:bCs/>
          <w:sz w:val="26"/>
          <w:szCs w:val="26"/>
        </w:rPr>
        <w:t>’.</w:t>
      </w:r>
      <w:r w:rsidR="00B624D3">
        <w:rPr>
          <w:rStyle w:val="FootnoteReference"/>
          <w:bCs/>
          <w:sz w:val="26"/>
          <w:szCs w:val="26"/>
        </w:rPr>
        <w:footnoteReference w:id="4"/>
      </w:r>
      <w:r w:rsidRPr="0090576B">
        <w:rPr>
          <w:bCs/>
          <w:sz w:val="26"/>
          <w:szCs w:val="26"/>
        </w:rPr>
        <w:t xml:space="preserve"> </w:t>
      </w:r>
    </w:p>
    <w:p w14:paraId="08D9B2DD" w14:textId="77777777" w:rsidR="007F71C3" w:rsidRPr="0090576B" w:rsidRDefault="001E27CE" w:rsidP="00535BF7">
      <w:pPr>
        <w:widowControl/>
        <w:spacing w:after="240" w:line="276" w:lineRule="auto"/>
        <w:rPr>
          <w:bCs/>
          <w:sz w:val="26"/>
          <w:szCs w:val="26"/>
        </w:rPr>
      </w:pPr>
      <w:r w:rsidRPr="0090576B">
        <w:rPr>
          <w:bCs/>
          <w:sz w:val="26"/>
          <w:szCs w:val="26"/>
        </w:rPr>
        <w:t>Holder’s admission that the government lacked the wherewithal to punish bankers for their widely-publicized record of extortion was a significant milestone, particularly for a democracy that has long struggled to contain the damage inflicted by plutocrats in its midst. But the ability of Wall Street barons to hold the government in thrall is nothing new.</w:t>
      </w:r>
      <w:r w:rsidR="00AA2DD2">
        <w:rPr>
          <w:rStyle w:val="FootnoteReference"/>
          <w:bCs/>
          <w:sz w:val="26"/>
          <w:szCs w:val="26"/>
        </w:rPr>
        <w:footnoteReference w:customMarkFollows="1" w:id="5"/>
        <w:t>4</w:t>
      </w:r>
      <w:r w:rsidRPr="0090576B">
        <w:rPr>
          <w:bCs/>
          <w:sz w:val="26"/>
          <w:szCs w:val="26"/>
        </w:rPr>
        <w:t xml:space="preserve"> In a 1933 letter, Franklin D. Roosevelt wrote: </w:t>
      </w:r>
      <w:r w:rsidR="00DB3631">
        <w:rPr>
          <w:bCs/>
          <w:sz w:val="26"/>
          <w:szCs w:val="26"/>
        </w:rPr>
        <w:t>‘</w:t>
      </w:r>
      <w:r w:rsidRPr="0090576B">
        <w:rPr>
          <w:bCs/>
          <w:sz w:val="26"/>
          <w:szCs w:val="26"/>
        </w:rPr>
        <w:t>The real truth of the matter is, as you and I know, that a financial element in the large centers has owned the government ever s</w:t>
      </w:r>
      <w:r w:rsidR="006C63C6">
        <w:rPr>
          <w:bCs/>
          <w:sz w:val="26"/>
          <w:szCs w:val="26"/>
        </w:rPr>
        <w:t>ince the days of Andrew Jackson</w:t>
      </w:r>
      <w:r w:rsidR="00C5681F">
        <w:rPr>
          <w:bCs/>
          <w:sz w:val="26"/>
          <w:szCs w:val="26"/>
        </w:rPr>
        <w:t>.</w:t>
      </w:r>
      <w:r w:rsidR="00DB3631">
        <w:rPr>
          <w:bCs/>
          <w:sz w:val="26"/>
          <w:szCs w:val="26"/>
        </w:rPr>
        <w:t>’</w:t>
      </w:r>
      <w:r w:rsidR="00DB3631">
        <w:rPr>
          <w:rStyle w:val="FootnoteReference"/>
          <w:bCs/>
          <w:sz w:val="26"/>
          <w:szCs w:val="26"/>
        </w:rPr>
        <w:footnoteReference w:customMarkFollows="1" w:id="6"/>
        <w:t>5</w:t>
      </w:r>
      <w:r w:rsidR="006C63C6">
        <w:rPr>
          <w:bCs/>
          <w:sz w:val="26"/>
          <w:szCs w:val="26"/>
        </w:rPr>
        <w:t xml:space="preserve"> </w:t>
      </w:r>
      <w:r w:rsidRPr="0090576B">
        <w:rPr>
          <w:bCs/>
          <w:sz w:val="26"/>
          <w:szCs w:val="26"/>
        </w:rPr>
        <w:t xml:space="preserve">Owning lawmakers may be a venerable prerogative for American financiers, but the rise of a full-blown creditocracy is more recent. Financialization had to creep into every corner of the household economy before the authority of the creditor class took on a sovereign, unassailable character. </w:t>
      </w:r>
    </w:p>
    <w:p w14:paraId="22AF8CFF" w14:textId="52D5A42F" w:rsidR="007F71C3" w:rsidRPr="0090576B" w:rsidRDefault="001E27CE" w:rsidP="00535BF7">
      <w:pPr>
        <w:widowControl/>
        <w:spacing w:after="240" w:line="276" w:lineRule="auto"/>
        <w:rPr>
          <w:bCs/>
          <w:sz w:val="26"/>
          <w:szCs w:val="26"/>
        </w:rPr>
      </w:pPr>
      <w:r w:rsidRPr="0090576B">
        <w:rPr>
          <w:bCs/>
          <w:sz w:val="26"/>
          <w:szCs w:val="26"/>
        </w:rPr>
        <w:t xml:space="preserve">In other words, it is not enough for every social good to be turned into a transactional commodity, as is the case in a rampant market civilization. A creditocracy emerges when the cost of access to each of these goods, no matter how staple, has to be debt-financed, and when indebtedness becomes the precondition not just for material improvements in the quality of life, but for the basic requirements of life. Financiers seek to wrap debt around every possible asset and income stream, placing a tollbooth on every revenue source, ensuring a flow of interest from each. Furthermore, when fresh sources of credit are routinely needed to service existing debt (neatly captured in the 1990s bumper sticker, </w:t>
      </w:r>
      <w:r w:rsidR="001E7642">
        <w:rPr>
          <w:bCs/>
          <w:sz w:val="26"/>
          <w:szCs w:val="26"/>
        </w:rPr>
        <w:t>‘</w:t>
      </w:r>
      <w:r w:rsidR="00ED7BD5">
        <w:rPr>
          <w:bCs/>
          <w:sz w:val="26"/>
          <w:szCs w:val="26"/>
        </w:rPr>
        <w:t>I Use MasterCard to Pay Visa</w:t>
      </w:r>
      <w:r w:rsidR="001E7642">
        <w:rPr>
          <w:bCs/>
          <w:sz w:val="26"/>
          <w:szCs w:val="26"/>
        </w:rPr>
        <w:t>’</w:t>
      </w:r>
      <w:r w:rsidRPr="0090576B">
        <w:rPr>
          <w:bCs/>
          <w:sz w:val="26"/>
          <w:szCs w:val="26"/>
        </w:rPr>
        <w:t>),</w:t>
      </w:r>
      <w:r w:rsidR="001E7642">
        <w:rPr>
          <w:rStyle w:val="FootnoteReference"/>
          <w:bCs/>
          <w:sz w:val="26"/>
          <w:szCs w:val="26"/>
        </w:rPr>
        <w:footnoteReference w:customMarkFollows="1" w:id="7"/>
        <w:t>6</w:t>
      </w:r>
      <w:r w:rsidRPr="0090576B">
        <w:rPr>
          <w:bCs/>
          <w:sz w:val="26"/>
          <w:szCs w:val="26"/>
        </w:rPr>
        <w:t xml:space="preserve"> we can be sure we are entering a more advanced phase of creditor rule. </w:t>
      </w:r>
    </w:p>
    <w:p w14:paraId="43C0DBC4" w14:textId="6E3564EC" w:rsidR="007F71C3" w:rsidRPr="0090576B" w:rsidRDefault="00535BF7" w:rsidP="00535BF7">
      <w:pPr>
        <w:widowControl/>
        <w:spacing w:after="240" w:line="276" w:lineRule="auto"/>
        <w:rPr>
          <w:bCs/>
          <w:sz w:val="26"/>
          <w:szCs w:val="26"/>
        </w:rPr>
      </w:pPr>
      <w:r>
        <w:rPr>
          <w:bCs/>
          <w:sz w:val="26"/>
          <w:szCs w:val="26"/>
        </w:rPr>
        <w:t xml:space="preserve">This kind of arrangement – </w:t>
      </w:r>
      <w:r w:rsidR="001E27CE" w:rsidRPr="0090576B">
        <w:rPr>
          <w:bCs/>
          <w:sz w:val="26"/>
          <w:szCs w:val="26"/>
        </w:rPr>
        <w:t>borrowing to cover existing debt service</w:t>
      </w:r>
      <w:r>
        <w:rPr>
          <w:bCs/>
          <w:sz w:val="26"/>
          <w:szCs w:val="26"/>
        </w:rPr>
        <w:t xml:space="preserve"> – </w:t>
      </w:r>
      <w:r w:rsidR="001E27CE" w:rsidRPr="0090576B">
        <w:rPr>
          <w:bCs/>
          <w:sz w:val="26"/>
          <w:szCs w:val="26"/>
        </w:rPr>
        <w:t xml:space="preserve">was formally institutionalized in the </w:t>
      </w:r>
      <w:r w:rsidR="00B302BF">
        <w:rPr>
          <w:bCs/>
          <w:sz w:val="26"/>
          <w:szCs w:val="26"/>
        </w:rPr>
        <w:t>so-called debt trap of the 1970</w:t>
      </w:r>
      <w:r w:rsidR="001E27CE" w:rsidRPr="0090576B">
        <w:rPr>
          <w:bCs/>
          <w:sz w:val="26"/>
          <w:szCs w:val="26"/>
        </w:rPr>
        <w:t>s and 1980s, which put paid to the development</w:t>
      </w:r>
      <w:r w:rsidR="00B624D3">
        <w:rPr>
          <w:bCs/>
          <w:sz w:val="26"/>
          <w:szCs w:val="26"/>
        </w:rPr>
        <w:t>al</w:t>
      </w:r>
      <w:r w:rsidR="001E27CE" w:rsidRPr="0090576B">
        <w:rPr>
          <w:bCs/>
          <w:sz w:val="26"/>
          <w:szCs w:val="26"/>
        </w:rPr>
        <w:t xml:space="preserve"> aspirations of so many global South countries. IMF loan installments were offered, not to support social or economic development, </w:t>
      </w:r>
      <w:r w:rsidR="00EC2D32" w:rsidRPr="0090576B">
        <w:rPr>
          <w:bCs/>
          <w:sz w:val="26"/>
          <w:szCs w:val="26"/>
        </w:rPr>
        <w:t>but specifically</w:t>
      </w:r>
      <w:r w:rsidR="001E27CE" w:rsidRPr="0090576B">
        <w:rPr>
          <w:bCs/>
          <w:sz w:val="26"/>
          <w:szCs w:val="26"/>
        </w:rPr>
        <w:t xml:space="preserve"> to ensure Northern creditors would continue to see debt service on their older loans. When the debt trap migrated to the North, the same formula got a good airing during the Eurozone crisis, especially in Greece, where the </w:t>
      </w:r>
      <w:r w:rsidR="00EC2D32">
        <w:rPr>
          <w:bCs/>
          <w:sz w:val="26"/>
          <w:szCs w:val="26"/>
        </w:rPr>
        <w:t>‘</w:t>
      </w:r>
      <w:r w:rsidR="001E27CE" w:rsidRPr="0090576B">
        <w:rPr>
          <w:bCs/>
          <w:sz w:val="26"/>
          <w:szCs w:val="26"/>
        </w:rPr>
        <w:t>rescue package</w:t>
      </w:r>
      <w:r w:rsidR="00EC2D32">
        <w:rPr>
          <w:bCs/>
          <w:sz w:val="26"/>
          <w:szCs w:val="26"/>
        </w:rPr>
        <w:t>’</w:t>
      </w:r>
      <w:r w:rsidR="001E27CE" w:rsidRPr="0090576B">
        <w:rPr>
          <w:bCs/>
          <w:sz w:val="26"/>
          <w:szCs w:val="26"/>
        </w:rPr>
        <w:t xml:space="preserve"> offered by the troika was expressly aimed at making German, French, and Swiss bankers whole.</w:t>
      </w:r>
      <w:r w:rsidR="00597CBB">
        <w:rPr>
          <w:bCs/>
          <w:sz w:val="26"/>
          <w:szCs w:val="26"/>
        </w:rPr>
        <w:t xml:space="preserve"> </w:t>
      </w:r>
    </w:p>
    <w:p w14:paraId="58BBD2D5" w14:textId="078B3445" w:rsidR="00A15BF6" w:rsidRDefault="001E27CE" w:rsidP="00535BF7">
      <w:pPr>
        <w:widowControl/>
        <w:spacing w:after="240" w:line="276" w:lineRule="auto"/>
        <w:rPr>
          <w:bCs/>
          <w:sz w:val="26"/>
          <w:szCs w:val="26"/>
        </w:rPr>
      </w:pPr>
      <w:r w:rsidRPr="0090576B">
        <w:rPr>
          <w:bCs/>
          <w:sz w:val="26"/>
          <w:szCs w:val="26"/>
        </w:rPr>
        <w:t>But for the working poor, this kind of permanent indebtedness is a very familiar arrangement, and has long outlived its classic expression under feudalism, indenture, and slavery. Each of these systems of debt bondage gave birth to successor institutions</w:t>
      </w:r>
      <w:r w:rsidR="00535BF7">
        <w:rPr>
          <w:bCs/>
          <w:sz w:val="26"/>
          <w:szCs w:val="26"/>
        </w:rPr>
        <w:t xml:space="preserve"> – </w:t>
      </w:r>
      <w:r w:rsidRPr="0090576B">
        <w:rPr>
          <w:bCs/>
          <w:sz w:val="26"/>
          <w:szCs w:val="26"/>
        </w:rPr>
        <w:t>sharecropping, company scrip, loan sharking</w:t>
      </w:r>
      <w:r w:rsidR="00535BF7">
        <w:rPr>
          <w:bCs/>
          <w:sz w:val="26"/>
          <w:szCs w:val="26"/>
        </w:rPr>
        <w:t xml:space="preserve"> – </w:t>
      </w:r>
      <w:r w:rsidRPr="0090576B">
        <w:rPr>
          <w:bCs/>
          <w:sz w:val="26"/>
          <w:szCs w:val="26"/>
        </w:rPr>
        <w:t xml:space="preserve">and their legacy is alive and well today on the subprime landscape of fringe finance, where </w:t>
      </w:r>
      <w:r w:rsidR="00EC2D32">
        <w:rPr>
          <w:bCs/>
          <w:sz w:val="26"/>
          <w:szCs w:val="26"/>
        </w:rPr>
        <w:t>‘</w:t>
      </w:r>
      <w:r w:rsidRPr="0090576B">
        <w:rPr>
          <w:bCs/>
          <w:sz w:val="26"/>
          <w:szCs w:val="26"/>
        </w:rPr>
        <w:t>poverty banks</w:t>
      </w:r>
      <w:r w:rsidR="00EC2D32">
        <w:rPr>
          <w:bCs/>
          <w:sz w:val="26"/>
          <w:szCs w:val="26"/>
        </w:rPr>
        <w:t>’</w:t>
      </w:r>
      <w:r w:rsidRPr="0090576B">
        <w:rPr>
          <w:bCs/>
          <w:sz w:val="26"/>
          <w:szCs w:val="26"/>
        </w:rPr>
        <w:t xml:space="preserve"> operate in every o</w:t>
      </w:r>
      <w:r w:rsidR="00535BF7">
        <w:rPr>
          <w:bCs/>
          <w:sz w:val="26"/>
          <w:szCs w:val="26"/>
        </w:rPr>
        <w:t xml:space="preserve">ther storefront on Loan Alley. </w:t>
      </w:r>
      <w:r w:rsidRPr="0090576B">
        <w:rPr>
          <w:bCs/>
          <w:sz w:val="26"/>
          <w:szCs w:val="26"/>
        </w:rPr>
        <w:t>But the bonds generated by household debt have also spread upwards in recent decades, and now affect the majority of the population, tethering two generations of the college-educated. In the U</w:t>
      </w:r>
      <w:r w:rsidR="002F674C">
        <w:rPr>
          <w:bCs/>
          <w:sz w:val="26"/>
          <w:szCs w:val="26"/>
        </w:rPr>
        <w:t>.</w:t>
      </w:r>
      <w:r w:rsidRPr="0090576B">
        <w:rPr>
          <w:bCs/>
          <w:sz w:val="26"/>
          <w:szCs w:val="26"/>
        </w:rPr>
        <w:t>S</w:t>
      </w:r>
      <w:r w:rsidR="002F674C">
        <w:rPr>
          <w:bCs/>
          <w:sz w:val="26"/>
          <w:szCs w:val="26"/>
        </w:rPr>
        <w:t>.</w:t>
      </w:r>
      <w:r w:rsidRPr="0090576B">
        <w:rPr>
          <w:bCs/>
          <w:sz w:val="26"/>
          <w:szCs w:val="26"/>
        </w:rPr>
        <w:t>, 77 percent of households are in serious debt, and one in seven Americans is being, or has be</w:t>
      </w:r>
      <w:r w:rsidR="006C63C6">
        <w:rPr>
          <w:bCs/>
          <w:sz w:val="26"/>
          <w:szCs w:val="26"/>
        </w:rPr>
        <w:t>en, pursued by a debt collector</w:t>
      </w:r>
      <w:r w:rsidR="00C5681F">
        <w:rPr>
          <w:bCs/>
          <w:sz w:val="26"/>
          <w:szCs w:val="26"/>
        </w:rPr>
        <w:t>.</w:t>
      </w:r>
      <w:r w:rsidR="00EC2D32">
        <w:rPr>
          <w:rStyle w:val="FootnoteReference"/>
          <w:bCs/>
          <w:sz w:val="26"/>
          <w:szCs w:val="26"/>
        </w:rPr>
        <w:footnoteReference w:customMarkFollows="1" w:id="8"/>
        <w:t>6</w:t>
      </w:r>
      <w:r w:rsidR="006C63C6">
        <w:rPr>
          <w:bCs/>
          <w:sz w:val="26"/>
          <w:szCs w:val="26"/>
        </w:rPr>
        <w:t xml:space="preserve"> </w:t>
      </w:r>
      <w:r w:rsidR="006C63C6">
        <w:rPr>
          <w:bCs/>
          <w:sz w:val="26"/>
          <w:szCs w:val="26"/>
        </w:rPr>
        <w:tab/>
      </w:r>
    </w:p>
    <w:p w14:paraId="38940D0C" w14:textId="77777777" w:rsidR="00A15BF6" w:rsidRDefault="00A15BF6" w:rsidP="00535BF7">
      <w:pPr>
        <w:widowControl/>
        <w:spacing w:after="240" w:line="276" w:lineRule="auto"/>
        <w:rPr>
          <w:bCs/>
          <w:sz w:val="26"/>
          <w:szCs w:val="26"/>
        </w:rPr>
      </w:pPr>
    </w:p>
    <w:p w14:paraId="22C54CC5" w14:textId="52E27F76" w:rsidR="007F71C3" w:rsidRPr="0090576B" w:rsidRDefault="001E27CE" w:rsidP="00535BF7">
      <w:pPr>
        <w:widowControl/>
        <w:spacing w:after="240" w:line="276" w:lineRule="auto"/>
        <w:rPr>
          <w:bCs/>
          <w:sz w:val="26"/>
          <w:szCs w:val="26"/>
        </w:rPr>
      </w:pPr>
      <w:r w:rsidRPr="0090576B">
        <w:rPr>
          <w:bCs/>
          <w:sz w:val="26"/>
          <w:szCs w:val="26"/>
        </w:rPr>
        <w:t>Even those without personal loans are debtors, because public debts, especially municipal obligations, have been structured in such a way that the service costs to Wall Street are now routinely passed on to all of us in the form of austerity policies. And</w:t>
      </w:r>
      <w:r w:rsidR="008F3949">
        <w:rPr>
          <w:bCs/>
          <w:sz w:val="26"/>
          <w:szCs w:val="26"/>
        </w:rPr>
        <w:t xml:space="preserve"> what about the beneficiaries? </w:t>
      </w:r>
      <w:r w:rsidRPr="0090576B">
        <w:rPr>
          <w:bCs/>
          <w:sz w:val="26"/>
          <w:szCs w:val="26"/>
        </w:rPr>
        <w:t xml:space="preserve">The tipping point for a creditocracy occurs when </w:t>
      </w:r>
      <w:r w:rsidR="00EC2D32">
        <w:rPr>
          <w:bCs/>
          <w:sz w:val="26"/>
          <w:szCs w:val="26"/>
        </w:rPr>
        <w:t>‘</w:t>
      </w:r>
      <w:r w:rsidRPr="0090576B">
        <w:rPr>
          <w:bCs/>
          <w:sz w:val="26"/>
          <w:szCs w:val="26"/>
        </w:rPr>
        <w:t>economic rents</w:t>
      </w:r>
      <w:r w:rsidR="00EC2D32">
        <w:rPr>
          <w:bCs/>
          <w:sz w:val="26"/>
          <w:szCs w:val="26"/>
        </w:rPr>
        <w:t>’</w:t>
      </w:r>
      <w:r w:rsidRPr="0090576B">
        <w:rPr>
          <w:bCs/>
          <w:sz w:val="26"/>
          <w:szCs w:val="26"/>
        </w:rPr>
        <w:t xml:space="preserve"> are no longer merely a supplementary source of income for the creditor class, but have become the most reliable and effective instrument for the amassing of wealth and influence. In that respect, a full-blown creditocracy may be considered distinct from earlier forms of monopoly capitalism in which profits from production dominated.</w:t>
      </w:r>
      <w:r w:rsidR="00597CBB">
        <w:rPr>
          <w:bCs/>
          <w:sz w:val="26"/>
          <w:szCs w:val="26"/>
        </w:rPr>
        <w:t xml:space="preserve"> </w:t>
      </w:r>
    </w:p>
    <w:p w14:paraId="061ED904" w14:textId="0CD3116C" w:rsidR="00535BF7" w:rsidRDefault="001E27CE" w:rsidP="00535BF7">
      <w:pPr>
        <w:widowControl/>
        <w:spacing w:after="240" w:line="276" w:lineRule="auto"/>
        <w:rPr>
          <w:bCs/>
          <w:sz w:val="26"/>
          <w:szCs w:val="26"/>
        </w:rPr>
      </w:pPr>
      <w:r w:rsidRPr="0090576B">
        <w:rPr>
          <w:bCs/>
          <w:sz w:val="26"/>
          <w:szCs w:val="26"/>
        </w:rPr>
        <w:t>There are many ways of illustrating this historic development. Consider the balance of power between banks and government.</w:t>
      </w:r>
      <w:r w:rsidR="00597CBB">
        <w:rPr>
          <w:bCs/>
          <w:sz w:val="26"/>
          <w:szCs w:val="26"/>
        </w:rPr>
        <w:t xml:space="preserve"> </w:t>
      </w:r>
      <w:r w:rsidRPr="0090576B">
        <w:rPr>
          <w:bCs/>
          <w:sz w:val="26"/>
          <w:szCs w:val="26"/>
        </w:rPr>
        <w:t>In 1895, J.P. Morgan was called upon to save the U.S. Treasury from default (and again in 1907), and yet the shoe was on the other foot by 2008, when the Treasury was forced to bail out JPMorgan Chase, and few doubt that it would be obliged to do so again today. The shift is also displayed in how corporations make profits. Jumbo firms, like GE and GM, that commanded the economy on the strength of their industrial production have become much more dependent, for their revenue, on their firms’ respective finance arms. Companies are no longer regarded primarily as worthy recipients of productive loans for tangible outputs but as targets for leveraged buy-outs, to be loaded down with debt and ruthlessly used to extract finance fees and interest. The difference between Mitt Romney’s career, at Bain Capital, and his father’s, at the American Motor Company, neatly summarizes the transition from industrial to financial capitalism</w:t>
      </w:r>
      <w:r w:rsidR="00C5681F">
        <w:rPr>
          <w:bCs/>
          <w:sz w:val="26"/>
          <w:szCs w:val="26"/>
        </w:rPr>
        <w:t>.</w:t>
      </w:r>
      <w:r w:rsidR="00EC2D32">
        <w:rPr>
          <w:rStyle w:val="FootnoteReference"/>
          <w:bCs/>
          <w:sz w:val="26"/>
          <w:szCs w:val="26"/>
        </w:rPr>
        <w:footnoteReference w:customMarkFollows="1" w:id="9"/>
        <w:t>7</w:t>
      </w:r>
      <w:r w:rsidR="006C63C6">
        <w:rPr>
          <w:bCs/>
          <w:sz w:val="26"/>
          <w:szCs w:val="26"/>
        </w:rPr>
        <w:t xml:space="preserve"> </w:t>
      </w:r>
      <w:r w:rsidRPr="0090576B">
        <w:rPr>
          <w:bCs/>
          <w:sz w:val="26"/>
          <w:szCs w:val="26"/>
        </w:rPr>
        <w:t xml:space="preserve">As for ordinary individuals, we are now under constant financial surveillance by the major credit bureaus (Equifax, Experian, and TransUnion), whose credit reports, scores, and ratings of our conduct as debtors control the gateways to so many areas of economic need and want. Operating outside of public oversight, these agencies answer only to the requirements of the creditor class, and the profiles they assign to us are like ID tags, marking our rank and class, in the present and in the years to come, since they are used to predict future behavior. </w:t>
      </w:r>
    </w:p>
    <w:p w14:paraId="687831D0" w14:textId="51A2D45C" w:rsidR="007F71C3" w:rsidRPr="0090576B" w:rsidRDefault="001E27CE" w:rsidP="00535BF7">
      <w:pPr>
        <w:widowControl/>
        <w:spacing w:after="240" w:line="276" w:lineRule="auto"/>
        <w:rPr>
          <w:bCs/>
          <w:sz w:val="26"/>
          <w:szCs w:val="26"/>
        </w:rPr>
      </w:pPr>
      <w:r w:rsidRPr="0090576B">
        <w:rPr>
          <w:bCs/>
          <w:sz w:val="26"/>
          <w:szCs w:val="26"/>
        </w:rPr>
        <w:t>We know that more and more of the 99 percent are suffering from undue debt burdens</w:t>
      </w:r>
      <w:r w:rsidR="00535BF7">
        <w:rPr>
          <w:bCs/>
          <w:sz w:val="26"/>
          <w:szCs w:val="26"/>
        </w:rPr>
        <w:t xml:space="preserve"> – </w:t>
      </w:r>
      <w:r w:rsidR="00DB37E0">
        <w:rPr>
          <w:bCs/>
          <w:sz w:val="26"/>
          <w:szCs w:val="26"/>
        </w:rPr>
        <w:t>f</w:t>
      </w:r>
      <w:r w:rsidRPr="0090576B">
        <w:rPr>
          <w:bCs/>
          <w:sz w:val="26"/>
          <w:szCs w:val="26"/>
        </w:rPr>
        <w:t>inancial claims that can never be repaid</w:t>
      </w:r>
      <w:r w:rsidR="00535BF7">
        <w:rPr>
          <w:bCs/>
          <w:sz w:val="26"/>
          <w:szCs w:val="26"/>
        </w:rPr>
        <w:t xml:space="preserve"> – </w:t>
      </w:r>
      <w:r w:rsidR="00DB37E0">
        <w:rPr>
          <w:bCs/>
          <w:sz w:val="26"/>
          <w:szCs w:val="26"/>
        </w:rPr>
        <w:t xml:space="preserve">but </w:t>
      </w:r>
      <w:r w:rsidRPr="0090576B">
        <w:rPr>
          <w:bCs/>
          <w:sz w:val="26"/>
          <w:szCs w:val="26"/>
        </w:rPr>
        <w:t xml:space="preserve">is it so clear who belongs to the class of creditors? Following Margaret Thatcher’s promotion of </w:t>
      </w:r>
      <w:r w:rsidR="00AB1032">
        <w:rPr>
          <w:bCs/>
          <w:sz w:val="26"/>
          <w:szCs w:val="26"/>
        </w:rPr>
        <w:t>‘</w:t>
      </w:r>
      <w:r w:rsidRPr="0090576B">
        <w:rPr>
          <w:bCs/>
          <w:sz w:val="26"/>
          <w:szCs w:val="26"/>
        </w:rPr>
        <w:t>pension fund capitalism</w:t>
      </w:r>
      <w:r w:rsidR="00AB1032">
        <w:rPr>
          <w:bCs/>
          <w:sz w:val="26"/>
          <w:szCs w:val="26"/>
        </w:rPr>
        <w:t>’</w:t>
      </w:r>
      <w:r w:rsidRPr="0090576B">
        <w:rPr>
          <w:bCs/>
          <w:sz w:val="26"/>
          <w:szCs w:val="26"/>
        </w:rPr>
        <w:t xml:space="preserve">, the pension funds of workers have been drawn into the financial markets. Indeed, these funds now hold a significant portion of the public debt, especially municipal debt, currently being used as a justification for pushing through austerity policies. In a formal and legal sense, the workers are creditors, and they stand to lose if the debts are written off indiscriminately in a bankruptcy proceeding. In accord with the </w:t>
      </w:r>
      <w:r w:rsidR="00AB1032">
        <w:rPr>
          <w:bCs/>
          <w:sz w:val="26"/>
          <w:szCs w:val="26"/>
        </w:rPr>
        <w:t>‘</w:t>
      </w:r>
      <w:r w:rsidRPr="0090576B">
        <w:rPr>
          <w:bCs/>
          <w:sz w:val="26"/>
          <w:szCs w:val="26"/>
        </w:rPr>
        <w:t>popular capitalist</w:t>
      </w:r>
      <w:r w:rsidR="00AB1032">
        <w:rPr>
          <w:bCs/>
          <w:sz w:val="26"/>
          <w:szCs w:val="26"/>
        </w:rPr>
        <w:t>’</w:t>
      </w:r>
      <w:r w:rsidRPr="0090576B">
        <w:rPr>
          <w:bCs/>
          <w:sz w:val="26"/>
          <w:szCs w:val="26"/>
        </w:rPr>
        <w:t xml:space="preserve"> mentality encouraged by Thatcher and her neoliberal successors, their investments, like all others, are exposed to risk. Indeed, pension funds managers are forced to make speculative investments to meet their long term promises (as much as 8</w:t>
      </w:r>
      <w:r w:rsidR="00FA1D25">
        <w:rPr>
          <w:bCs/>
          <w:sz w:val="26"/>
          <w:szCs w:val="26"/>
        </w:rPr>
        <w:t xml:space="preserve"> percent</w:t>
      </w:r>
      <w:r w:rsidRPr="0090576B">
        <w:rPr>
          <w:bCs/>
          <w:sz w:val="26"/>
          <w:szCs w:val="26"/>
        </w:rPr>
        <w:t xml:space="preserve"> in annual returns) to contributors, and so they entrust the money to Wall Street hucksters looking to charge high fees and offload high-risk</w:t>
      </w:r>
      <w:r w:rsidR="006C63C6">
        <w:rPr>
          <w:bCs/>
          <w:sz w:val="26"/>
          <w:szCs w:val="26"/>
        </w:rPr>
        <w:t xml:space="preserve"> derivatives. Corporate pension </w:t>
      </w:r>
      <w:r w:rsidRPr="0090576B">
        <w:rPr>
          <w:bCs/>
          <w:sz w:val="26"/>
          <w:szCs w:val="26"/>
        </w:rPr>
        <w:t>funds are routinely looted by corporate raiders, and state pension funds have become an especially ripe target for employers or governments looking to borrow cash, or turn them over to hedge funds and private equity funds.</w:t>
      </w:r>
      <w:r w:rsidR="00597CBB">
        <w:rPr>
          <w:bCs/>
          <w:sz w:val="26"/>
          <w:szCs w:val="26"/>
        </w:rPr>
        <w:t xml:space="preserve"> </w:t>
      </w:r>
    </w:p>
    <w:p w14:paraId="661BDDB7" w14:textId="62F68B26" w:rsidR="007F71C3" w:rsidRPr="0090576B" w:rsidRDefault="001E27CE" w:rsidP="00535BF7">
      <w:pPr>
        <w:widowControl/>
        <w:spacing w:after="240" w:line="276" w:lineRule="auto"/>
        <w:rPr>
          <w:bCs/>
          <w:sz w:val="26"/>
          <w:szCs w:val="26"/>
        </w:rPr>
      </w:pPr>
      <w:r w:rsidRPr="0090576B">
        <w:rPr>
          <w:bCs/>
          <w:sz w:val="26"/>
          <w:szCs w:val="26"/>
        </w:rPr>
        <w:t>But investing savings for retirement has little bearing on workers’ primary identity as waged labor, though contradictions clearly arise when the investments are handled by Wall Street funds that inflict damage on workers’ interests in general.</w:t>
      </w:r>
      <w:r w:rsidR="00597CBB">
        <w:rPr>
          <w:bCs/>
          <w:sz w:val="26"/>
          <w:szCs w:val="26"/>
        </w:rPr>
        <w:t xml:space="preserve"> </w:t>
      </w:r>
      <w:r w:rsidRPr="0090576B">
        <w:rPr>
          <w:bCs/>
          <w:sz w:val="26"/>
          <w:szCs w:val="26"/>
        </w:rPr>
        <w:t xml:space="preserve">Even if the annuities do turn out as promised, decades hence, the recipients have not been generating their main income from investment, as is the case for the principal beneficiaries of a creditocracy. Workers who are part of the </w:t>
      </w:r>
      <w:r w:rsidR="002E3051">
        <w:rPr>
          <w:bCs/>
          <w:sz w:val="26"/>
          <w:szCs w:val="26"/>
        </w:rPr>
        <w:t>‘</w:t>
      </w:r>
      <w:r w:rsidRPr="0090576B">
        <w:rPr>
          <w:bCs/>
          <w:sz w:val="26"/>
          <w:szCs w:val="26"/>
        </w:rPr>
        <w:t>real</w:t>
      </w:r>
      <w:r w:rsidR="002E3051">
        <w:rPr>
          <w:bCs/>
          <w:sz w:val="26"/>
          <w:szCs w:val="26"/>
        </w:rPr>
        <w:t>’</w:t>
      </w:r>
      <w:r w:rsidRPr="0090576B">
        <w:rPr>
          <w:bCs/>
          <w:sz w:val="26"/>
          <w:szCs w:val="26"/>
        </w:rPr>
        <w:t xml:space="preserve"> economy, and whose household debts have risen while their wages stagnated, do not really inhabit the same world as the players who live off unearned income in the undertaxed world of financial engineering. For sure, the diversification of pension funds, and the growth of 401(k) retirement plans, means that many more of us who do productive work are tied into the world of finance than was once the case. But this circumstance has not substantially altered our sense of being in the world, and it is far outweighed by our ensnarement, like everyone else we know, in the bankers’ debt trap. </w:t>
      </w:r>
    </w:p>
    <w:p w14:paraId="56159790" w14:textId="77777777" w:rsidR="007F71C3" w:rsidRDefault="001E27CE" w:rsidP="00535BF7">
      <w:pPr>
        <w:widowControl/>
        <w:spacing w:after="240" w:line="276" w:lineRule="auto"/>
        <w:rPr>
          <w:bCs/>
          <w:sz w:val="26"/>
          <w:szCs w:val="26"/>
        </w:rPr>
      </w:pPr>
      <w:r w:rsidRPr="0090576B">
        <w:rPr>
          <w:bCs/>
          <w:sz w:val="26"/>
          <w:szCs w:val="26"/>
        </w:rPr>
        <w:t>Banks, hedge funds, private equity firms and other entities that operate in the shadow banking system have an interest in gathering influence and immunity for themselves, but they are first and foremost tools of accumulation for their owners, clients, shareholders, and direct beneficiaries. As such, their business is to grab as much as the economic surplus as they can by keeping everyone else in debt, for as long as possible. The fact is that debts, especially at compound interest, multiply at a much faster rate than the ability to repay. Original lenders know this fact, which is why they sell on the loans as fast they can.</w:t>
      </w:r>
    </w:p>
    <w:p w14:paraId="1564403D" w14:textId="77777777" w:rsidR="00E24D3A" w:rsidRDefault="00E24D3A" w:rsidP="00535BF7">
      <w:pPr>
        <w:widowControl/>
        <w:spacing w:after="240" w:line="276" w:lineRule="auto"/>
        <w:rPr>
          <w:b/>
          <w:bCs/>
          <w:sz w:val="26"/>
          <w:szCs w:val="26"/>
        </w:rPr>
      </w:pPr>
    </w:p>
    <w:p w14:paraId="42011E3B" w14:textId="77777777" w:rsidR="00535BF7" w:rsidRDefault="00ED5EBC" w:rsidP="00597CBB">
      <w:pPr>
        <w:pStyle w:val="Heading2"/>
      </w:pPr>
      <w:r w:rsidRPr="00C5681F">
        <w:t>Democracy and Debt</w:t>
      </w:r>
    </w:p>
    <w:p w14:paraId="3FF18E82" w14:textId="77777777" w:rsidR="007F71C3" w:rsidRPr="00535BF7" w:rsidRDefault="001E27CE" w:rsidP="00535BF7">
      <w:pPr>
        <w:widowControl/>
        <w:spacing w:after="240" w:line="276" w:lineRule="auto"/>
        <w:rPr>
          <w:b/>
          <w:bCs/>
          <w:sz w:val="26"/>
          <w:szCs w:val="26"/>
        </w:rPr>
      </w:pPr>
      <w:r w:rsidRPr="0090576B">
        <w:rPr>
          <w:bCs/>
          <w:sz w:val="26"/>
          <w:szCs w:val="26"/>
        </w:rPr>
        <w:t>Managing the lifelong burden of debt service is now an existential condition for the majority, but what about its impact on citizenship? How can a democracy survive when it is on the road to debt serfdom? The history of the struggle for political liberty is closely tied to the growth of credit. As James MacDonald has argued, the democratic institutions of liberal societies were able to survive and flourish because government bonds made it possible to borrow cheaply, especially in times of war</w:t>
      </w:r>
      <w:r w:rsidR="00C5681F">
        <w:rPr>
          <w:bCs/>
          <w:sz w:val="26"/>
          <w:szCs w:val="26"/>
        </w:rPr>
        <w:t>.</w:t>
      </w:r>
      <w:r w:rsidR="00546A86">
        <w:rPr>
          <w:rStyle w:val="FootnoteReference"/>
          <w:bCs/>
          <w:sz w:val="26"/>
          <w:szCs w:val="26"/>
        </w:rPr>
        <w:footnoteReference w:customMarkFollows="1" w:id="10"/>
        <w:t>8</w:t>
      </w:r>
      <w:r w:rsidR="006C63C6">
        <w:rPr>
          <w:bCs/>
          <w:sz w:val="26"/>
          <w:szCs w:val="26"/>
        </w:rPr>
        <w:t xml:space="preserve"> </w:t>
      </w:r>
      <w:r w:rsidRPr="0090576B">
        <w:rPr>
          <w:bCs/>
          <w:sz w:val="26"/>
          <w:szCs w:val="26"/>
        </w:rPr>
        <w:t xml:space="preserve">But today’s bond markets, which are globally networked and susceptible to speculative bets from hedge funds, are more likely to </w:t>
      </w:r>
      <w:r w:rsidR="007438A3">
        <w:rPr>
          <w:bCs/>
          <w:sz w:val="26"/>
          <w:szCs w:val="26"/>
        </w:rPr>
        <w:t>‘</w:t>
      </w:r>
      <w:r w:rsidRPr="0090576B">
        <w:rPr>
          <w:bCs/>
          <w:sz w:val="26"/>
          <w:szCs w:val="26"/>
        </w:rPr>
        <w:t>judge</w:t>
      </w:r>
      <w:r w:rsidR="007438A3">
        <w:rPr>
          <w:bCs/>
          <w:sz w:val="26"/>
          <w:szCs w:val="26"/>
        </w:rPr>
        <w:t>’</w:t>
      </w:r>
      <w:r w:rsidRPr="0090576B">
        <w:rPr>
          <w:bCs/>
          <w:sz w:val="26"/>
          <w:szCs w:val="26"/>
        </w:rPr>
        <w:t xml:space="preserve">, </w:t>
      </w:r>
      <w:r w:rsidR="007438A3">
        <w:rPr>
          <w:bCs/>
          <w:sz w:val="26"/>
          <w:szCs w:val="26"/>
        </w:rPr>
        <w:t>‘</w:t>
      </w:r>
      <w:r w:rsidRPr="0090576B">
        <w:rPr>
          <w:bCs/>
          <w:sz w:val="26"/>
          <w:szCs w:val="26"/>
        </w:rPr>
        <w:t>discipline</w:t>
      </w:r>
      <w:r w:rsidR="007438A3">
        <w:rPr>
          <w:bCs/>
          <w:sz w:val="26"/>
          <w:szCs w:val="26"/>
        </w:rPr>
        <w:t>’</w:t>
      </w:r>
      <w:r w:rsidRPr="0090576B">
        <w:rPr>
          <w:bCs/>
          <w:sz w:val="26"/>
          <w:szCs w:val="26"/>
        </w:rPr>
        <w:t xml:space="preserve">, and </w:t>
      </w:r>
      <w:r w:rsidR="007438A3">
        <w:rPr>
          <w:bCs/>
          <w:sz w:val="26"/>
          <w:szCs w:val="26"/>
        </w:rPr>
        <w:t>‘</w:t>
      </w:r>
      <w:r w:rsidRPr="0090576B">
        <w:rPr>
          <w:bCs/>
          <w:sz w:val="26"/>
          <w:szCs w:val="26"/>
        </w:rPr>
        <w:t>reward</w:t>
      </w:r>
      <w:r w:rsidR="007438A3">
        <w:rPr>
          <w:bCs/>
          <w:sz w:val="26"/>
          <w:szCs w:val="26"/>
        </w:rPr>
        <w:t>’</w:t>
      </w:r>
      <w:r w:rsidRPr="0090576B">
        <w:rPr>
          <w:bCs/>
          <w:sz w:val="26"/>
          <w:szCs w:val="26"/>
        </w:rPr>
        <w:t xml:space="preserve"> policymakers than to faithfully serve their ends. Central banks increasingly act to ensure the solvency of banks, and not sovereign governments struggling with public deficits. The right of creditors to be made whole now routinely overrides the responsibility of elected national representatives to carry out the popular will, resulting in </w:t>
      </w:r>
      <w:r w:rsidR="007438A3">
        <w:rPr>
          <w:bCs/>
          <w:sz w:val="26"/>
          <w:szCs w:val="26"/>
        </w:rPr>
        <w:t>‘</w:t>
      </w:r>
      <w:r w:rsidRPr="0090576B">
        <w:rPr>
          <w:bCs/>
          <w:sz w:val="26"/>
          <w:szCs w:val="26"/>
        </w:rPr>
        <w:t>failed democracies</w:t>
      </w:r>
      <w:r w:rsidR="007438A3">
        <w:rPr>
          <w:bCs/>
          <w:sz w:val="26"/>
          <w:szCs w:val="26"/>
        </w:rPr>
        <w:t>’</w:t>
      </w:r>
      <w:r w:rsidRPr="0090576B">
        <w:rPr>
          <w:bCs/>
          <w:sz w:val="26"/>
          <w:szCs w:val="26"/>
        </w:rPr>
        <w:t xml:space="preserve"> all over the world. Everywhere we look</w:t>
      </w:r>
      <w:r w:rsidR="007438A3" w:rsidRPr="0090576B">
        <w:rPr>
          <w:bCs/>
          <w:sz w:val="26"/>
          <w:szCs w:val="26"/>
        </w:rPr>
        <w:t>, officials</w:t>
      </w:r>
      <w:r w:rsidRPr="0090576B">
        <w:rPr>
          <w:bCs/>
          <w:sz w:val="26"/>
          <w:szCs w:val="26"/>
        </w:rPr>
        <w:t xml:space="preserve"> are being pressured to use governments as collection agents for foreign </w:t>
      </w:r>
      <w:r w:rsidR="007438A3" w:rsidRPr="0090576B">
        <w:rPr>
          <w:bCs/>
          <w:sz w:val="26"/>
          <w:szCs w:val="26"/>
        </w:rPr>
        <w:t>bondholders</w:t>
      </w:r>
      <w:r w:rsidRPr="0090576B">
        <w:rPr>
          <w:bCs/>
          <w:sz w:val="26"/>
          <w:szCs w:val="26"/>
        </w:rPr>
        <w:t xml:space="preserve"> or pass on the costs of bankers’ speculative investments to the most vulnerable populations. This is not just an economic arrangement, it is also a relationship of power, with devastating impact upon popular sovereignty.</w:t>
      </w:r>
      <w:r w:rsidR="00C5681F">
        <w:rPr>
          <w:bCs/>
          <w:sz w:val="26"/>
          <w:szCs w:val="26"/>
        </w:rPr>
        <w:t xml:space="preserve"> </w:t>
      </w:r>
      <w:r w:rsidRPr="0090576B">
        <w:rPr>
          <w:bCs/>
          <w:sz w:val="26"/>
          <w:szCs w:val="26"/>
        </w:rPr>
        <w:t xml:space="preserve">Even Mario Monti, the placid technocrat appointed in 2012 as Italian prime minister in order </w:t>
      </w:r>
      <w:r w:rsidR="00C5681F">
        <w:rPr>
          <w:bCs/>
          <w:sz w:val="26"/>
          <w:szCs w:val="26"/>
        </w:rPr>
        <w:t xml:space="preserve">to </w:t>
      </w:r>
      <w:r w:rsidRPr="0090576B">
        <w:rPr>
          <w:bCs/>
          <w:sz w:val="26"/>
          <w:szCs w:val="26"/>
        </w:rPr>
        <w:t xml:space="preserve">dampen popular opposition to financial power, spoke out against what he called the emergence of </w:t>
      </w:r>
      <w:r w:rsidR="007438A3">
        <w:rPr>
          <w:bCs/>
          <w:sz w:val="26"/>
          <w:szCs w:val="26"/>
        </w:rPr>
        <w:t>‘</w:t>
      </w:r>
      <w:r w:rsidRPr="0090576B">
        <w:rPr>
          <w:bCs/>
          <w:sz w:val="26"/>
          <w:szCs w:val="26"/>
        </w:rPr>
        <w:t>creditocracy</w:t>
      </w:r>
      <w:r w:rsidR="007438A3">
        <w:rPr>
          <w:bCs/>
          <w:sz w:val="26"/>
          <w:szCs w:val="26"/>
        </w:rPr>
        <w:t>’</w:t>
      </w:r>
      <w:r w:rsidRPr="0090576B">
        <w:rPr>
          <w:bCs/>
          <w:sz w:val="26"/>
          <w:szCs w:val="26"/>
        </w:rPr>
        <w:t xml:space="preserve"> in Europe. He was referring </w:t>
      </w:r>
      <w:r w:rsidR="007438A3" w:rsidRPr="0090576B">
        <w:rPr>
          <w:bCs/>
          <w:sz w:val="26"/>
          <w:szCs w:val="26"/>
        </w:rPr>
        <w:t>specifically to</w:t>
      </w:r>
      <w:r w:rsidRPr="0090576B">
        <w:rPr>
          <w:bCs/>
          <w:sz w:val="26"/>
          <w:szCs w:val="26"/>
        </w:rPr>
        <w:t xml:space="preserve"> how sovereign governance was being circumvented by the priority given to foreign bondholders, as represented through the big German, French, Swiss, and Dutch banks.</w:t>
      </w:r>
    </w:p>
    <w:p w14:paraId="30F4D93C" w14:textId="452A4BD4" w:rsidR="007F71C3" w:rsidRPr="0090576B" w:rsidRDefault="001E27CE" w:rsidP="00535BF7">
      <w:pPr>
        <w:widowControl/>
        <w:spacing w:after="240" w:line="276" w:lineRule="auto"/>
        <w:rPr>
          <w:bCs/>
          <w:sz w:val="26"/>
          <w:szCs w:val="26"/>
        </w:rPr>
      </w:pPr>
      <w:r w:rsidRPr="0090576B">
        <w:rPr>
          <w:bCs/>
          <w:sz w:val="26"/>
          <w:szCs w:val="26"/>
        </w:rPr>
        <w:t xml:space="preserve">The historical record shows that a society unable to check the power of the creditor class will quickly see the onset of debt bondage; democracies segue into oligarchies, credit becomes a blunt instrument for absorbing more and more economic surplus, and rents are extracted from non-productive assets. Are we heading down this path, once again? Or is </w:t>
      </w:r>
      <w:r w:rsidR="00ED7BD5">
        <w:rPr>
          <w:bCs/>
          <w:sz w:val="26"/>
          <w:szCs w:val="26"/>
        </w:rPr>
        <w:t>it</w:t>
      </w:r>
      <w:r w:rsidRPr="0090576B">
        <w:rPr>
          <w:bCs/>
          <w:sz w:val="26"/>
          <w:szCs w:val="26"/>
        </w:rPr>
        <w:t xml:space="preserve"> just loose talk? Many commentators are saying as much when they point to the revival of debtors’ prisons, speak of student debt as a form of indenture, and compare banking practices, on Wall Street as well as on Loan Alley, to the most extreme forms of usury. So, too, the revival of interest in a debt jubilee, not only in developing countries, but here in the global North, is evocative of macro-solutions hatched in the ancient world by rulers who were so desperate to restore the balance of popular power in their favor that they abolished all existing debts, freed debt slaves, and returned land to original owners.</w:t>
      </w:r>
    </w:p>
    <w:p w14:paraId="3C3E9BA1" w14:textId="77777777" w:rsidR="007F71C3" w:rsidRPr="0090576B" w:rsidRDefault="001E27CE" w:rsidP="00535BF7">
      <w:pPr>
        <w:widowControl/>
        <w:spacing w:after="240" w:line="276" w:lineRule="auto"/>
        <w:rPr>
          <w:bCs/>
          <w:sz w:val="26"/>
          <w:szCs w:val="26"/>
        </w:rPr>
      </w:pPr>
      <w:r w:rsidRPr="0090576B">
        <w:rPr>
          <w:bCs/>
          <w:sz w:val="26"/>
          <w:szCs w:val="26"/>
        </w:rPr>
        <w:t xml:space="preserve">This kind of talk is indicative of the extremity of the current debt crisis. All the evidence shows that drastic relief measures are needed, and that a new kind of non-extractive economy, benefitting from what Keynes called the </w:t>
      </w:r>
      <w:r w:rsidR="007438A3">
        <w:rPr>
          <w:bCs/>
          <w:sz w:val="26"/>
          <w:szCs w:val="26"/>
        </w:rPr>
        <w:t>‘</w:t>
      </w:r>
      <w:r w:rsidRPr="0090576B">
        <w:rPr>
          <w:bCs/>
          <w:sz w:val="26"/>
          <w:szCs w:val="26"/>
        </w:rPr>
        <w:t>euthanasia of the rentier</w:t>
      </w:r>
      <w:r w:rsidR="007438A3">
        <w:rPr>
          <w:bCs/>
          <w:sz w:val="26"/>
          <w:szCs w:val="26"/>
        </w:rPr>
        <w:t>’</w:t>
      </w:r>
      <w:r w:rsidRPr="0090576B">
        <w:rPr>
          <w:bCs/>
          <w:sz w:val="26"/>
          <w:szCs w:val="26"/>
        </w:rPr>
        <w:t>, ought to be built. Pursuing that alternative path</w:t>
      </w:r>
      <w:r w:rsidR="00535BF7">
        <w:rPr>
          <w:bCs/>
          <w:sz w:val="26"/>
          <w:szCs w:val="26"/>
        </w:rPr>
        <w:t xml:space="preserve"> – </w:t>
      </w:r>
      <w:r w:rsidRPr="0090576B">
        <w:rPr>
          <w:bCs/>
          <w:sz w:val="26"/>
          <w:szCs w:val="26"/>
        </w:rPr>
        <w:t>to a society guided by the productive use of credit</w:t>
      </w:r>
      <w:r w:rsidR="00535BF7">
        <w:rPr>
          <w:bCs/>
          <w:sz w:val="26"/>
          <w:szCs w:val="26"/>
        </w:rPr>
        <w:t xml:space="preserve"> – </w:t>
      </w:r>
      <w:r w:rsidRPr="0090576B">
        <w:rPr>
          <w:bCs/>
          <w:sz w:val="26"/>
          <w:szCs w:val="26"/>
        </w:rPr>
        <w:t xml:space="preserve">may be the only way of salvaging democracy. But for establishment economists, even those who question the credo of neoliberalism, there is no crisis, only a debt </w:t>
      </w:r>
      <w:r w:rsidR="007438A3">
        <w:rPr>
          <w:bCs/>
          <w:sz w:val="26"/>
          <w:szCs w:val="26"/>
        </w:rPr>
        <w:t>‘</w:t>
      </w:r>
      <w:r w:rsidRPr="0090576B">
        <w:rPr>
          <w:bCs/>
          <w:sz w:val="26"/>
          <w:szCs w:val="26"/>
        </w:rPr>
        <w:t>overhang</w:t>
      </w:r>
      <w:r w:rsidR="007438A3">
        <w:rPr>
          <w:bCs/>
          <w:sz w:val="26"/>
          <w:szCs w:val="26"/>
        </w:rPr>
        <w:t>’</w:t>
      </w:r>
      <w:r w:rsidRPr="0090576B">
        <w:rPr>
          <w:bCs/>
          <w:sz w:val="26"/>
          <w:szCs w:val="26"/>
        </w:rPr>
        <w:t xml:space="preserve"> that needs to be reduced to manageable levels before the normal pattern of debt-financed growth can reassert itself. </w:t>
      </w:r>
    </w:p>
    <w:p w14:paraId="48E5383E" w14:textId="3E214CB2" w:rsidR="00ED5EBC" w:rsidRDefault="001E27CE" w:rsidP="00535BF7">
      <w:pPr>
        <w:widowControl/>
        <w:spacing w:after="240" w:line="276" w:lineRule="auto"/>
        <w:rPr>
          <w:bCs/>
          <w:sz w:val="26"/>
          <w:szCs w:val="26"/>
        </w:rPr>
      </w:pPr>
      <w:r w:rsidRPr="0090576B">
        <w:rPr>
          <w:bCs/>
          <w:sz w:val="26"/>
          <w:szCs w:val="26"/>
        </w:rPr>
        <w:t>There is no easy return to that debt-growth formula. After incomes stagnated in the 1970s, respectable growth rates could only be achieved through a series</w:t>
      </w:r>
      <w:r w:rsidR="005A6C68">
        <w:rPr>
          <w:bCs/>
          <w:sz w:val="26"/>
          <w:szCs w:val="26"/>
        </w:rPr>
        <w:t xml:space="preserve"> of speculative asset bubbles. </w:t>
      </w:r>
      <w:r w:rsidRPr="0090576B">
        <w:rPr>
          <w:bCs/>
          <w:sz w:val="26"/>
          <w:szCs w:val="26"/>
        </w:rPr>
        <w:t>Each time the bubble burst, we could see how the formula rested on an insubstantial foundation. As far as lasting prosperity goes, we can say that much of the growt</w:t>
      </w:r>
      <w:r w:rsidR="006C63C6">
        <w:rPr>
          <w:bCs/>
          <w:sz w:val="26"/>
          <w:szCs w:val="26"/>
        </w:rPr>
        <w:t>h was fake, producing only phon</w:t>
      </w:r>
      <w:r w:rsidRPr="0090576B">
        <w:rPr>
          <w:bCs/>
          <w:sz w:val="26"/>
          <w:szCs w:val="26"/>
        </w:rPr>
        <w:t xml:space="preserve">y wealth, and that future efforts to inflate prices will end the same way. </w:t>
      </w:r>
      <w:r w:rsidR="00B624D3">
        <w:rPr>
          <w:bCs/>
          <w:sz w:val="26"/>
          <w:szCs w:val="26"/>
        </w:rPr>
        <w:t>Also</w:t>
      </w:r>
      <w:r w:rsidR="00B624D3" w:rsidRPr="0090576B">
        <w:rPr>
          <w:bCs/>
          <w:sz w:val="26"/>
          <w:szCs w:val="26"/>
        </w:rPr>
        <w:t xml:space="preserve"> </w:t>
      </w:r>
      <w:r w:rsidRPr="0090576B">
        <w:rPr>
          <w:bCs/>
          <w:sz w:val="26"/>
          <w:szCs w:val="26"/>
        </w:rPr>
        <w:t xml:space="preserve">from an ecological perspective, this pattern is entirely unsustainable. There now exists a mountain of scientific evidence, beginning with the seminal 1974 report, </w:t>
      </w:r>
      <w:r w:rsidRPr="0090576B">
        <w:rPr>
          <w:bCs/>
          <w:i/>
          <w:iCs/>
          <w:sz w:val="26"/>
          <w:szCs w:val="26"/>
        </w:rPr>
        <w:t xml:space="preserve">Limits to Growth, </w:t>
      </w:r>
      <w:r w:rsidRPr="0090576B">
        <w:rPr>
          <w:bCs/>
          <w:sz w:val="26"/>
          <w:szCs w:val="26"/>
        </w:rPr>
        <w:t xml:space="preserve">which testifies to the calamitous impact of GDP-driven growth on the biosphere. Restoring business as usual, once that pesky </w:t>
      </w:r>
      <w:r w:rsidR="007438A3">
        <w:rPr>
          <w:bCs/>
          <w:sz w:val="26"/>
          <w:szCs w:val="26"/>
        </w:rPr>
        <w:t>‘</w:t>
      </w:r>
      <w:r w:rsidRPr="0090576B">
        <w:rPr>
          <w:bCs/>
          <w:sz w:val="26"/>
          <w:szCs w:val="26"/>
        </w:rPr>
        <w:t>overhang</w:t>
      </w:r>
      <w:r w:rsidR="007438A3">
        <w:rPr>
          <w:bCs/>
          <w:sz w:val="26"/>
          <w:szCs w:val="26"/>
        </w:rPr>
        <w:t>’</w:t>
      </w:r>
      <w:r w:rsidRPr="0090576B">
        <w:rPr>
          <w:bCs/>
          <w:sz w:val="26"/>
          <w:szCs w:val="26"/>
        </w:rPr>
        <w:t xml:space="preserve"> disappears, can only be a recipe for eco-collapse.</w:t>
      </w:r>
    </w:p>
    <w:p w14:paraId="1CAB8AAD" w14:textId="77777777" w:rsidR="007F71C3" w:rsidRPr="0090576B" w:rsidRDefault="001E27CE" w:rsidP="00535BF7">
      <w:pPr>
        <w:widowControl/>
        <w:spacing w:after="240" w:line="276" w:lineRule="auto"/>
        <w:rPr>
          <w:bCs/>
          <w:sz w:val="26"/>
          <w:szCs w:val="26"/>
        </w:rPr>
      </w:pPr>
      <w:r w:rsidRPr="0090576B">
        <w:rPr>
          <w:bCs/>
          <w:sz w:val="26"/>
          <w:szCs w:val="26"/>
        </w:rPr>
        <w:t xml:space="preserve">As with any unjust social arrangement, a creditocracy has to be stripped of its legitimacy in the public mind before its actual hold on power is dissolved. How far along this road have we come? Given the battering that bankers have taken over the past five years, it’s a testament to their self-projected mystique that they still command even a fraction of their standing as indispensable members of society. Every other day brings a fresh headline about their misconduct and profiteering, as swindle after swindle is uncovered. The judicial investigations multiply, producing few convictions (and only of junior employees) but an ever-longer roster of fines, refunds, and other penalties. Some of the settlements to end the criminal </w:t>
      </w:r>
      <w:r w:rsidR="00E24D3A">
        <w:rPr>
          <w:bCs/>
          <w:sz w:val="26"/>
          <w:szCs w:val="26"/>
        </w:rPr>
        <w:t xml:space="preserve">and civil charges are massive. </w:t>
      </w:r>
      <w:r w:rsidRPr="0090576B">
        <w:rPr>
          <w:bCs/>
          <w:sz w:val="26"/>
          <w:szCs w:val="26"/>
        </w:rPr>
        <w:t>JPMorgan Chase, for example, negotiated a $13 billion settlement the U.S. Justice Department over packing mortgage-backed securities with dodgy home loans. Notably, less than $3 billion was claimed in fines and only $4 billion in relief for homeowners, while more than $6 billion was allocated for investors who suffered losses</w:t>
      </w:r>
      <w:r w:rsidR="00C5681F">
        <w:rPr>
          <w:bCs/>
          <w:sz w:val="26"/>
          <w:szCs w:val="26"/>
        </w:rPr>
        <w:t>.</w:t>
      </w:r>
      <w:r w:rsidR="007438A3">
        <w:rPr>
          <w:rStyle w:val="FootnoteReference"/>
          <w:bCs/>
          <w:sz w:val="26"/>
          <w:szCs w:val="26"/>
        </w:rPr>
        <w:footnoteReference w:customMarkFollows="1" w:id="11"/>
        <w:t>9</w:t>
      </w:r>
      <w:r w:rsidR="00C5681F">
        <w:rPr>
          <w:bCs/>
          <w:sz w:val="26"/>
          <w:szCs w:val="26"/>
        </w:rPr>
        <w:t xml:space="preserve"> </w:t>
      </w:r>
      <w:r w:rsidRPr="0090576B">
        <w:rPr>
          <w:bCs/>
          <w:sz w:val="26"/>
          <w:szCs w:val="26"/>
        </w:rPr>
        <w:t>Bank of America settled for $17</w:t>
      </w:r>
      <w:r w:rsidR="00BA6D1A">
        <w:rPr>
          <w:bCs/>
          <w:sz w:val="26"/>
          <w:szCs w:val="26"/>
        </w:rPr>
        <w:t xml:space="preserve"> </w:t>
      </w:r>
      <w:r w:rsidRPr="0090576B">
        <w:rPr>
          <w:bCs/>
          <w:sz w:val="26"/>
          <w:szCs w:val="26"/>
        </w:rPr>
        <w:t>billion under similar terms. But the profits of these banks and their peers are so large that such penalties are shrugged off as the cost of doing business. Public trust, the crucial quality that banks have customarily relied on in order to trade, has long been decimated; we have come to regard their ingenious financial products as little more than scams, and we know that the bill for all of their risky conduct will likely end up with us. Yet the banks retain their cachet as essential institutions, and most importantly, their lobbying firepower ensures that legislators will look out for their interests.</w:t>
      </w:r>
    </w:p>
    <w:p w14:paraId="7BF3D4C1" w14:textId="5DD1CD28" w:rsidR="007F71C3" w:rsidRPr="0090576B" w:rsidRDefault="001E27CE" w:rsidP="00535BF7">
      <w:pPr>
        <w:widowControl/>
        <w:spacing w:after="240" w:line="276" w:lineRule="auto"/>
        <w:rPr>
          <w:bCs/>
          <w:sz w:val="26"/>
          <w:szCs w:val="26"/>
        </w:rPr>
      </w:pPr>
      <w:r w:rsidRPr="0090576B">
        <w:rPr>
          <w:bCs/>
          <w:sz w:val="26"/>
          <w:szCs w:val="26"/>
        </w:rPr>
        <w:t xml:space="preserve">In </w:t>
      </w:r>
      <w:r w:rsidRPr="0090576B">
        <w:rPr>
          <w:bCs/>
          <w:i/>
          <w:iCs/>
          <w:sz w:val="26"/>
          <w:szCs w:val="26"/>
        </w:rPr>
        <w:t>The Bankers’ New Clothes</w:t>
      </w:r>
      <w:r w:rsidRPr="0090576B">
        <w:rPr>
          <w:bCs/>
          <w:sz w:val="26"/>
          <w:szCs w:val="26"/>
        </w:rPr>
        <w:t xml:space="preserve">, Anat Admati and Martin Hellwig argue that </w:t>
      </w:r>
      <w:r w:rsidR="00BA6D1A">
        <w:rPr>
          <w:bCs/>
          <w:sz w:val="26"/>
          <w:szCs w:val="26"/>
        </w:rPr>
        <w:t>‘</w:t>
      </w:r>
      <w:r w:rsidRPr="0090576B">
        <w:rPr>
          <w:bCs/>
          <w:sz w:val="26"/>
          <w:szCs w:val="26"/>
        </w:rPr>
        <w:t>there is a pervasive myth that banks and banking are special and different from all other companies in the economy. Anyone who questions the mystique and the claims that are made is at risk of being declared incompetent to participate in the discussion</w:t>
      </w:r>
      <w:r w:rsidR="00C5681F">
        <w:rPr>
          <w:bCs/>
          <w:sz w:val="26"/>
          <w:szCs w:val="26"/>
        </w:rPr>
        <w:t>.</w:t>
      </w:r>
      <w:r w:rsidR="00154A95">
        <w:rPr>
          <w:bCs/>
          <w:sz w:val="26"/>
          <w:szCs w:val="26"/>
        </w:rPr>
        <w:t>’</w:t>
      </w:r>
      <w:r w:rsidR="00BA6D1A">
        <w:rPr>
          <w:rStyle w:val="FootnoteReference"/>
          <w:bCs/>
          <w:sz w:val="26"/>
          <w:szCs w:val="26"/>
        </w:rPr>
        <w:footnoteReference w:customMarkFollows="1" w:id="12"/>
        <w:t>10</w:t>
      </w:r>
      <w:r w:rsidR="00C5681F">
        <w:rPr>
          <w:bCs/>
          <w:sz w:val="26"/>
          <w:szCs w:val="26"/>
        </w:rPr>
        <w:t xml:space="preserve"> </w:t>
      </w:r>
      <w:r w:rsidRPr="0090576B">
        <w:rPr>
          <w:bCs/>
          <w:sz w:val="26"/>
          <w:szCs w:val="26"/>
        </w:rPr>
        <w:t>Finance, we are encouraged to believe, is too complex for lay people to understand. One of the outcomes of this mystique is that too many of us are trapped in the payback mindset. Though we may be more and more aware of the irresponsibility and fraud of big creditors who won’t pay their own debts, and who offload all their risky loans to others, we still accept that it is immoral to fail to repay our debts to them. Of course, there are lawyers, courts, and police standing at the ready to enforce this payback morality, and a ruined credit score to live with in the case of a default. But these are instruments of coercion; they serve as backups if th</w:t>
      </w:r>
      <w:r w:rsidR="005A6C68">
        <w:rPr>
          <w:bCs/>
          <w:sz w:val="26"/>
          <w:szCs w:val="26"/>
        </w:rPr>
        <w:t xml:space="preserve">e mechanism of consent falters. </w:t>
      </w:r>
      <w:r w:rsidRPr="0090576B">
        <w:rPr>
          <w:bCs/>
          <w:sz w:val="26"/>
          <w:szCs w:val="26"/>
        </w:rPr>
        <w:t>When the psychology of the debtor shifts, as it is now slowly doing, from resignation to reluctance, or even resistance, then the authority of the creditors’ self-interested moralism begins to lose its sway. Then, and only then, are we able to honestly question whether we owe anything at all to people and institutions that, were it not for the figment of the banker’s new clothes, would rightly be seen as engaged in extortion.</w:t>
      </w:r>
      <w:r w:rsidR="00597CBB">
        <w:rPr>
          <w:bCs/>
          <w:sz w:val="26"/>
          <w:szCs w:val="26"/>
        </w:rPr>
        <w:t xml:space="preserve"> </w:t>
      </w:r>
    </w:p>
    <w:p w14:paraId="5435DC02" w14:textId="77777777" w:rsidR="00535BF7" w:rsidRDefault="00535BF7" w:rsidP="00535BF7">
      <w:pPr>
        <w:pStyle w:val="Heading2"/>
        <w:spacing w:after="240" w:line="276" w:lineRule="auto"/>
        <w:rPr>
          <w:rFonts w:ascii="Times New Roman" w:hAnsi="Times New Roman"/>
          <w:color w:val="auto"/>
        </w:rPr>
      </w:pPr>
    </w:p>
    <w:p w14:paraId="31462825" w14:textId="77777777" w:rsidR="001A7A15" w:rsidRDefault="001A7A15" w:rsidP="00597CBB">
      <w:pPr>
        <w:pStyle w:val="Heading2"/>
      </w:pPr>
      <w:r w:rsidRPr="001A7A15">
        <w:t>Abolishing the Debt Sentence</w:t>
      </w:r>
    </w:p>
    <w:p w14:paraId="6B7EF119" w14:textId="6C73E142" w:rsidR="007F71C3" w:rsidRPr="0090576B" w:rsidRDefault="001E27CE" w:rsidP="00535BF7">
      <w:pPr>
        <w:widowControl/>
        <w:spacing w:after="240" w:line="276" w:lineRule="auto"/>
        <w:rPr>
          <w:bCs/>
          <w:sz w:val="26"/>
          <w:szCs w:val="26"/>
        </w:rPr>
      </w:pPr>
      <w:r w:rsidRPr="0090576B">
        <w:rPr>
          <w:bCs/>
          <w:sz w:val="26"/>
          <w:szCs w:val="26"/>
        </w:rPr>
        <w:t>More public education is needed about how creditor rule is upheld, and it is in that spirit that we must make the case for the refusal of household debts. When a government cannot protect its people from the harms inflicted by rent extractors, and when debt burdens become an existential threat to a free citizenry, then the refusal to pay is a defensible act of civil disobedience. For those aiming to reinvent democracy, this refusal is nothing short of a responsibility. The case for debt cancellation in developing countries has already been made by groups within or allied to the Debt Jubilee movement</w:t>
      </w:r>
      <w:r w:rsidR="00C5681F">
        <w:rPr>
          <w:bCs/>
          <w:sz w:val="26"/>
          <w:szCs w:val="26"/>
        </w:rPr>
        <w:t>.</w:t>
      </w:r>
      <w:r w:rsidR="00782568">
        <w:rPr>
          <w:rStyle w:val="FootnoteReference"/>
          <w:bCs/>
          <w:sz w:val="26"/>
          <w:szCs w:val="26"/>
        </w:rPr>
        <w:footnoteReference w:customMarkFollows="1" w:id="13"/>
        <w:t>11</w:t>
      </w:r>
      <w:r w:rsidR="00C5681F">
        <w:rPr>
          <w:bCs/>
          <w:sz w:val="26"/>
          <w:szCs w:val="26"/>
        </w:rPr>
        <w:t xml:space="preserve"> </w:t>
      </w:r>
      <w:r w:rsidRPr="0090576B">
        <w:rPr>
          <w:bCs/>
          <w:sz w:val="26"/>
          <w:szCs w:val="26"/>
        </w:rPr>
        <w:t>These advocates have devised moral and legal arguments for repudiating the external debts of governments, and have had some success in delivering relief for some of the world’s poorest po</w:t>
      </w:r>
      <w:r w:rsidR="00ED7BD5">
        <w:rPr>
          <w:bCs/>
          <w:sz w:val="26"/>
          <w:szCs w:val="26"/>
        </w:rPr>
        <w:t>pulations. Public debts in the G</w:t>
      </w:r>
      <w:r w:rsidRPr="0090576B">
        <w:rPr>
          <w:bCs/>
          <w:sz w:val="26"/>
          <w:szCs w:val="26"/>
        </w:rPr>
        <w:t>lobal North are now at the core of the austerity policies being implemented from the battered periphery of the Eurozone to the beleaguered cohort of ex-industrial cities like Detroit and Baltimore. The process of questioning which of these debts is legitimate</w:t>
      </w:r>
      <w:r w:rsidR="00ED7BD5">
        <w:rPr>
          <w:bCs/>
          <w:sz w:val="26"/>
          <w:szCs w:val="26"/>
        </w:rPr>
        <w:t xml:space="preserve"> </w:t>
      </w:r>
      <w:r w:rsidR="0055414B">
        <w:rPr>
          <w:bCs/>
          <w:sz w:val="26"/>
          <w:szCs w:val="26"/>
        </w:rPr>
        <w:t>–</w:t>
      </w:r>
      <w:r w:rsidR="00ED7BD5">
        <w:rPr>
          <w:bCs/>
          <w:sz w:val="26"/>
          <w:szCs w:val="26"/>
        </w:rPr>
        <w:t xml:space="preserve"> </w:t>
      </w:r>
      <w:r w:rsidRPr="0090576B">
        <w:rPr>
          <w:bCs/>
          <w:sz w:val="26"/>
          <w:szCs w:val="26"/>
        </w:rPr>
        <w:t>and deserving of repayment</w:t>
      </w:r>
      <w:r w:rsidR="00ED7BD5">
        <w:rPr>
          <w:bCs/>
          <w:sz w:val="26"/>
          <w:szCs w:val="26"/>
        </w:rPr>
        <w:t xml:space="preserve"> </w:t>
      </w:r>
      <w:r w:rsidRPr="0090576B">
        <w:rPr>
          <w:bCs/>
          <w:sz w:val="26"/>
          <w:szCs w:val="26"/>
        </w:rPr>
        <w:t>–</w:t>
      </w:r>
      <w:r w:rsidR="00ED7BD5">
        <w:rPr>
          <w:bCs/>
          <w:sz w:val="26"/>
          <w:szCs w:val="26"/>
        </w:rPr>
        <w:t xml:space="preserve"> </w:t>
      </w:r>
      <w:r w:rsidRPr="0090576B">
        <w:rPr>
          <w:bCs/>
          <w:sz w:val="26"/>
          <w:szCs w:val="26"/>
        </w:rPr>
        <w:t>and which are unfair impositions</w:t>
      </w:r>
      <w:r w:rsidR="00ED7BD5">
        <w:rPr>
          <w:bCs/>
          <w:sz w:val="26"/>
          <w:szCs w:val="26"/>
        </w:rPr>
        <w:t xml:space="preserve"> </w:t>
      </w:r>
      <w:r w:rsidRPr="0090576B">
        <w:rPr>
          <w:bCs/>
          <w:sz w:val="26"/>
          <w:szCs w:val="26"/>
        </w:rPr>
        <w:t>to be rightfully rejected</w:t>
      </w:r>
      <w:r w:rsidR="00ED7BD5">
        <w:rPr>
          <w:bCs/>
          <w:sz w:val="26"/>
          <w:szCs w:val="26"/>
        </w:rPr>
        <w:t xml:space="preserve"> </w:t>
      </w:r>
      <w:r w:rsidR="0055414B">
        <w:rPr>
          <w:bCs/>
          <w:sz w:val="26"/>
          <w:szCs w:val="26"/>
        </w:rPr>
        <w:t>–</w:t>
      </w:r>
      <w:r w:rsidR="00ED7BD5">
        <w:rPr>
          <w:bCs/>
          <w:sz w:val="26"/>
          <w:szCs w:val="26"/>
        </w:rPr>
        <w:t xml:space="preserve"> </w:t>
      </w:r>
      <w:r w:rsidRPr="0090576B">
        <w:rPr>
          <w:bCs/>
          <w:sz w:val="26"/>
          <w:szCs w:val="26"/>
        </w:rPr>
        <w:t>is already underway</w:t>
      </w:r>
      <w:r w:rsidR="00C5681F">
        <w:rPr>
          <w:bCs/>
          <w:sz w:val="26"/>
          <w:szCs w:val="26"/>
        </w:rPr>
        <w:t>.</w:t>
      </w:r>
      <w:r w:rsidR="00CD5A47">
        <w:rPr>
          <w:rStyle w:val="FootnoteReference"/>
          <w:bCs/>
          <w:sz w:val="26"/>
          <w:szCs w:val="26"/>
        </w:rPr>
        <w:footnoteReference w:customMarkFollows="1" w:id="14"/>
        <w:t>12</w:t>
      </w:r>
      <w:r w:rsidR="006C63C6">
        <w:rPr>
          <w:bCs/>
          <w:sz w:val="26"/>
          <w:szCs w:val="26"/>
        </w:rPr>
        <w:t xml:space="preserve"> </w:t>
      </w:r>
      <w:r w:rsidRPr="0090576B">
        <w:rPr>
          <w:bCs/>
          <w:sz w:val="26"/>
          <w:szCs w:val="26"/>
        </w:rPr>
        <w:t xml:space="preserve">Now is the time to extend this initiative to household debts, especially those taken on simply to gain access to basic social goods. </w:t>
      </w:r>
    </w:p>
    <w:p w14:paraId="7FF44E3B" w14:textId="77777777" w:rsidR="00D01FE5" w:rsidRDefault="001E27CE" w:rsidP="00D01FE5">
      <w:pPr>
        <w:widowControl/>
        <w:spacing w:after="240" w:line="276" w:lineRule="auto"/>
        <w:rPr>
          <w:sz w:val="26"/>
          <w:szCs w:val="26"/>
        </w:rPr>
      </w:pPr>
      <w:r w:rsidRPr="0090576B">
        <w:rPr>
          <w:bCs/>
          <w:sz w:val="26"/>
          <w:szCs w:val="26"/>
        </w:rPr>
        <w:t>In what follows, I summarize some of the arguments underpinning the case for debt refusal. Most appeal to broad moral principles, as opposed to quantifiable rules, but there is no reason why these principles could not be applied in a way that would produce some hard numbers</w:t>
      </w:r>
      <w:r w:rsidR="007E26FE">
        <w:rPr>
          <w:bCs/>
          <w:sz w:val="26"/>
          <w:szCs w:val="26"/>
        </w:rPr>
        <w:t>:</w:t>
      </w:r>
    </w:p>
    <w:p w14:paraId="5A6A1AE7" w14:textId="77777777" w:rsidR="00577883" w:rsidRPr="0090576B" w:rsidDel="00577883" w:rsidRDefault="001E27CE" w:rsidP="00535BF7">
      <w:pPr>
        <w:pStyle w:val="53"/>
        <w:widowControl/>
        <w:numPr>
          <w:ilvl w:val="0"/>
          <w:numId w:val="2"/>
        </w:numPr>
        <w:spacing w:after="240" w:line="276" w:lineRule="auto"/>
        <w:jc w:val="left"/>
        <w:rPr>
          <w:bCs/>
          <w:sz w:val="26"/>
          <w:szCs w:val="26"/>
        </w:rPr>
      </w:pPr>
      <w:r w:rsidRPr="0090576B">
        <w:rPr>
          <w:bCs/>
          <w:sz w:val="26"/>
          <w:szCs w:val="26"/>
        </w:rPr>
        <w:t>Loans which either benefit the creditor only, or inflict social and environmental damage on individuals, famili</w:t>
      </w:r>
      <w:r w:rsidR="00F6369F">
        <w:rPr>
          <w:bCs/>
          <w:sz w:val="26"/>
          <w:szCs w:val="26"/>
        </w:rPr>
        <w:t xml:space="preserve">es, and communities, should be </w:t>
      </w:r>
      <w:r w:rsidRPr="0090576B">
        <w:rPr>
          <w:bCs/>
          <w:sz w:val="26"/>
          <w:szCs w:val="26"/>
        </w:rPr>
        <w:t xml:space="preserve">renegotiated to compensate for harms. </w:t>
      </w:r>
      <w:r w:rsidR="00577883">
        <w:rPr>
          <w:bCs/>
          <w:sz w:val="26"/>
          <w:szCs w:val="26"/>
        </w:rPr>
        <w:tab/>
      </w:r>
    </w:p>
    <w:p w14:paraId="3396F84B" w14:textId="77777777" w:rsidR="00CC53AE" w:rsidRPr="00F6369F" w:rsidRDefault="001E27CE" w:rsidP="00535BF7">
      <w:pPr>
        <w:pStyle w:val="53"/>
        <w:widowControl/>
        <w:numPr>
          <w:ilvl w:val="0"/>
          <w:numId w:val="2"/>
        </w:numPr>
        <w:tabs>
          <w:tab w:val="left" w:pos="5984"/>
        </w:tabs>
        <w:spacing w:after="240" w:line="276" w:lineRule="auto"/>
        <w:jc w:val="left"/>
        <w:rPr>
          <w:bCs/>
          <w:sz w:val="26"/>
          <w:szCs w:val="26"/>
        </w:rPr>
      </w:pPr>
      <w:r w:rsidRPr="0090576B">
        <w:rPr>
          <w:bCs/>
          <w:sz w:val="26"/>
          <w:szCs w:val="26"/>
        </w:rPr>
        <w:t>The sale of loans to borrowers who cannot repay is unprincipled, and so the collection of these debts should not be honored</w:t>
      </w:r>
      <w:r w:rsidR="00CC53AE">
        <w:rPr>
          <w:bCs/>
          <w:sz w:val="26"/>
          <w:szCs w:val="26"/>
        </w:rPr>
        <w:t>.</w:t>
      </w:r>
      <w:r w:rsidR="00CC53AE">
        <w:rPr>
          <w:bCs/>
          <w:sz w:val="26"/>
          <w:szCs w:val="26"/>
        </w:rPr>
        <w:tab/>
      </w:r>
    </w:p>
    <w:p w14:paraId="41C0300F" w14:textId="77777777" w:rsidR="007325F5" w:rsidRPr="0090576B" w:rsidDel="007325F5" w:rsidRDefault="001E27CE" w:rsidP="00535BF7">
      <w:pPr>
        <w:pStyle w:val="53"/>
        <w:widowControl/>
        <w:numPr>
          <w:ilvl w:val="0"/>
          <w:numId w:val="2"/>
        </w:numPr>
        <w:spacing w:after="240" w:line="276" w:lineRule="auto"/>
        <w:jc w:val="left"/>
        <w:rPr>
          <w:bCs/>
          <w:sz w:val="26"/>
          <w:szCs w:val="26"/>
        </w:rPr>
      </w:pPr>
      <w:r w:rsidRPr="0090576B">
        <w:rPr>
          <w:bCs/>
          <w:sz w:val="26"/>
          <w:szCs w:val="26"/>
        </w:rPr>
        <w:t xml:space="preserve">The banks, and their beneficiaries, awash in profit, have done very well; they have been paid enough already, and do not need to be additionally reimbursed. </w:t>
      </w:r>
      <w:r w:rsidR="007325F5">
        <w:rPr>
          <w:bCs/>
          <w:sz w:val="26"/>
          <w:szCs w:val="26"/>
        </w:rPr>
        <w:tab/>
      </w:r>
    </w:p>
    <w:p w14:paraId="05008EFD" w14:textId="77777777" w:rsidR="007325F5" w:rsidRPr="0090576B" w:rsidDel="007325F5" w:rsidRDefault="001E27CE" w:rsidP="00535BF7">
      <w:pPr>
        <w:pStyle w:val="53"/>
        <w:widowControl/>
        <w:numPr>
          <w:ilvl w:val="0"/>
          <w:numId w:val="2"/>
        </w:numPr>
        <w:spacing w:after="240" w:line="276" w:lineRule="auto"/>
        <w:jc w:val="left"/>
        <w:rPr>
          <w:bCs/>
          <w:sz w:val="26"/>
          <w:szCs w:val="26"/>
        </w:rPr>
      </w:pPr>
      <w:r w:rsidRPr="0090576B">
        <w:rPr>
          <w:bCs/>
          <w:sz w:val="26"/>
          <w:szCs w:val="26"/>
        </w:rPr>
        <w:t>Even if household debts were not intentionally imposed as political constraints, they unavoidably stifle our capacity to think freely, act conscientiously, and fulfill our democratic responsibilities.</w:t>
      </w:r>
      <w:r w:rsidR="007325F5">
        <w:rPr>
          <w:bCs/>
          <w:sz w:val="26"/>
          <w:szCs w:val="26"/>
        </w:rPr>
        <w:tab/>
      </w:r>
    </w:p>
    <w:p w14:paraId="017A23BB" w14:textId="77777777" w:rsidR="00FA2EF0" w:rsidRPr="0090576B" w:rsidDel="00FA2EF0" w:rsidRDefault="001E27CE" w:rsidP="00535BF7">
      <w:pPr>
        <w:pStyle w:val="53"/>
        <w:widowControl/>
        <w:numPr>
          <w:ilvl w:val="0"/>
          <w:numId w:val="2"/>
        </w:numPr>
        <w:spacing w:after="240" w:line="276" w:lineRule="auto"/>
        <w:jc w:val="left"/>
        <w:rPr>
          <w:bCs/>
          <w:sz w:val="26"/>
          <w:szCs w:val="26"/>
        </w:rPr>
      </w:pPr>
      <w:r w:rsidRPr="0090576B">
        <w:rPr>
          <w:bCs/>
          <w:sz w:val="26"/>
          <w:szCs w:val="26"/>
        </w:rPr>
        <w:t>Extracting usurious, long-term profits from our short-term need to access subsistence resources is immoral, and no less so in the case of vital common goods like education, healthcare, and public infrastructure.</w:t>
      </w:r>
      <w:r w:rsidR="00FA2EF0">
        <w:rPr>
          <w:bCs/>
          <w:sz w:val="26"/>
          <w:szCs w:val="26"/>
        </w:rPr>
        <w:tab/>
      </w:r>
    </w:p>
    <w:p w14:paraId="45B969AA" w14:textId="77777777" w:rsidR="00273512" w:rsidRPr="0090576B" w:rsidDel="00273512" w:rsidRDefault="001E27CE" w:rsidP="00535BF7">
      <w:pPr>
        <w:pStyle w:val="53"/>
        <w:widowControl/>
        <w:numPr>
          <w:ilvl w:val="0"/>
          <w:numId w:val="2"/>
        </w:numPr>
        <w:spacing w:after="240" w:line="276" w:lineRule="auto"/>
        <w:jc w:val="left"/>
        <w:rPr>
          <w:bCs/>
          <w:sz w:val="26"/>
          <w:szCs w:val="26"/>
        </w:rPr>
      </w:pPr>
      <w:r w:rsidRPr="0090576B">
        <w:rPr>
          <w:bCs/>
          <w:sz w:val="26"/>
          <w:szCs w:val="26"/>
        </w:rPr>
        <w:t xml:space="preserve">Each act of debt service is a non-productive addition to the banks’ balance sheets, and a subtraction from the </w:t>
      </w:r>
      <w:r w:rsidR="00FA2EF0">
        <w:rPr>
          <w:bCs/>
          <w:sz w:val="26"/>
          <w:szCs w:val="26"/>
        </w:rPr>
        <w:t>‘</w:t>
      </w:r>
      <w:r w:rsidRPr="0090576B">
        <w:rPr>
          <w:bCs/>
          <w:sz w:val="26"/>
          <w:szCs w:val="26"/>
        </w:rPr>
        <w:t>real</w:t>
      </w:r>
      <w:r w:rsidR="00FA2EF0">
        <w:rPr>
          <w:bCs/>
          <w:sz w:val="26"/>
          <w:szCs w:val="26"/>
        </w:rPr>
        <w:t>’</w:t>
      </w:r>
      <w:r w:rsidRPr="0090576B">
        <w:rPr>
          <w:bCs/>
          <w:sz w:val="26"/>
          <w:szCs w:val="26"/>
        </w:rPr>
        <w:t xml:space="preserve"> economy which creates jobs, adequately funds social spending, and sustains the well-being of communities.</w:t>
      </w:r>
    </w:p>
    <w:p w14:paraId="75178974" w14:textId="3BACDB31" w:rsidR="007F71C3" w:rsidRPr="0090576B" w:rsidRDefault="001E27CE" w:rsidP="00535BF7">
      <w:pPr>
        <w:pStyle w:val="53"/>
        <w:widowControl/>
        <w:numPr>
          <w:ilvl w:val="0"/>
          <w:numId w:val="2"/>
        </w:numPr>
        <w:spacing w:after="240" w:line="276" w:lineRule="auto"/>
        <w:jc w:val="left"/>
        <w:rPr>
          <w:bCs/>
          <w:sz w:val="26"/>
          <w:szCs w:val="26"/>
        </w:rPr>
      </w:pPr>
      <w:r w:rsidRPr="0090576B">
        <w:rPr>
          <w:bCs/>
          <w:sz w:val="26"/>
          <w:szCs w:val="26"/>
        </w:rPr>
        <w:t>The credit was not theirs to begin with</w:t>
      </w:r>
      <w:r w:rsidR="00956804">
        <w:rPr>
          <w:bCs/>
          <w:sz w:val="26"/>
          <w:szCs w:val="26"/>
        </w:rPr>
        <w:t xml:space="preserve">; </w:t>
      </w:r>
      <w:r w:rsidRPr="0090576B">
        <w:rPr>
          <w:bCs/>
          <w:sz w:val="26"/>
          <w:szCs w:val="26"/>
        </w:rPr>
        <w:t xml:space="preserve">it was obtained through the dubious power of money creation, thanks to fractional reserve banking and to the </w:t>
      </w:r>
      <w:r w:rsidR="00273512">
        <w:rPr>
          <w:bCs/>
          <w:sz w:val="26"/>
          <w:szCs w:val="26"/>
        </w:rPr>
        <w:t>‘</w:t>
      </w:r>
      <w:r w:rsidRPr="0090576B">
        <w:rPr>
          <w:bCs/>
          <w:sz w:val="26"/>
          <w:szCs w:val="26"/>
        </w:rPr>
        <w:t>magic</w:t>
      </w:r>
      <w:r w:rsidR="00273512">
        <w:rPr>
          <w:bCs/>
          <w:sz w:val="26"/>
          <w:szCs w:val="26"/>
        </w:rPr>
        <w:t>’</w:t>
      </w:r>
      <w:r w:rsidRPr="0090576B">
        <w:rPr>
          <w:bCs/>
          <w:sz w:val="26"/>
          <w:szCs w:val="26"/>
        </w:rPr>
        <w:t xml:space="preserve"> of derivatives. Obliging debtors to forfeit future income is a form of wage theft, if the debts were incurred simply to prepare </w:t>
      </w:r>
      <w:r w:rsidR="00F6369F">
        <w:rPr>
          <w:bCs/>
          <w:sz w:val="26"/>
          <w:szCs w:val="26"/>
        </w:rPr>
        <w:t xml:space="preserve">ourselves, in mind </w:t>
      </w:r>
      <w:r w:rsidRPr="0090576B">
        <w:rPr>
          <w:bCs/>
          <w:sz w:val="26"/>
          <w:szCs w:val="26"/>
        </w:rPr>
        <w:t>and body, for employment.</w:t>
      </w:r>
      <w:r w:rsidR="00597CBB">
        <w:rPr>
          <w:bCs/>
          <w:sz w:val="26"/>
          <w:szCs w:val="26"/>
        </w:rPr>
        <w:t xml:space="preserve"> </w:t>
      </w:r>
    </w:p>
    <w:p w14:paraId="2301259F" w14:textId="77777777" w:rsidR="007F71C3" w:rsidRPr="0090576B" w:rsidRDefault="007F71C3" w:rsidP="00535BF7">
      <w:pPr>
        <w:pStyle w:val="53"/>
        <w:widowControl/>
        <w:numPr>
          <w:ilvl w:val="0"/>
          <w:numId w:val="1"/>
        </w:numPr>
        <w:spacing w:after="240" w:line="276" w:lineRule="auto"/>
        <w:ind w:left="0" w:firstLine="0"/>
        <w:jc w:val="left"/>
        <w:rPr>
          <w:sz w:val="26"/>
          <w:szCs w:val="26"/>
        </w:rPr>
        <w:sectPr w:rsidR="007F71C3" w:rsidRPr="0090576B" w:rsidSect="00535BF7">
          <w:footerReference w:type="even" r:id="rId9"/>
          <w:footerReference w:type="default" r:id="rId10"/>
          <w:type w:val="continuous"/>
          <w:pgSz w:w="11901" w:h="16840"/>
          <w:pgMar w:top="1440" w:right="1440" w:bottom="1440" w:left="1440" w:header="1440" w:footer="1440" w:gutter="0"/>
          <w:cols w:space="720"/>
          <w:noEndnote/>
        </w:sectPr>
      </w:pPr>
    </w:p>
    <w:p w14:paraId="7E0D0F9D" w14:textId="451F7B2D" w:rsidR="007F71C3" w:rsidRPr="0090576B" w:rsidRDefault="001E27CE" w:rsidP="00535BF7">
      <w:pPr>
        <w:pStyle w:val="53"/>
        <w:widowControl/>
        <w:numPr>
          <w:ilvl w:val="0"/>
          <w:numId w:val="2"/>
        </w:numPr>
        <w:spacing w:after="240" w:line="276" w:lineRule="auto"/>
        <w:jc w:val="left"/>
        <w:rPr>
          <w:bCs/>
          <w:sz w:val="26"/>
          <w:szCs w:val="26"/>
        </w:rPr>
      </w:pPr>
      <w:r w:rsidRPr="0090576B">
        <w:rPr>
          <w:bCs/>
          <w:sz w:val="26"/>
          <w:szCs w:val="26"/>
        </w:rPr>
        <w:t>Given the fraud and deceit practiced by bankers, and the likelihood that they will not refrain from such anti-social conduct, it would be morally hazardous of us to reward them any further.</w:t>
      </w:r>
      <w:r w:rsidR="00597CBB">
        <w:rPr>
          <w:bCs/>
          <w:sz w:val="26"/>
          <w:szCs w:val="26"/>
        </w:rPr>
        <w:t xml:space="preserve"> </w:t>
      </w:r>
    </w:p>
    <w:p w14:paraId="561CE57B" w14:textId="77777777" w:rsidR="007F71C3" w:rsidRPr="0090576B" w:rsidRDefault="007F71C3" w:rsidP="00535BF7">
      <w:pPr>
        <w:pStyle w:val="53"/>
        <w:widowControl/>
        <w:numPr>
          <w:ilvl w:val="0"/>
          <w:numId w:val="1"/>
        </w:numPr>
        <w:spacing w:after="240" w:line="276" w:lineRule="auto"/>
        <w:ind w:left="0" w:firstLine="0"/>
        <w:jc w:val="left"/>
        <w:rPr>
          <w:sz w:val="26"/>
          <w:szCs w:val="26"/>
        </w:rPr>
        <w:sectPr w:rsidR="007F71C3" w:rsidRPr="0090576B" w:rsidSect="00535BF7">
          <w:type w:val="continuous"/>
          <w:pgSz w:w="11901" w:h="16840"/>
          <w:pgMar w:top="1440" w:right="1440" w:bottom="1440" w:left="1440" w:header="1440" w:footer="1440" w:gutter="0"/>
          <w:cols w:space="720"/>
          <w:noEndnote/>
        </w:sectPr>
      </w:pPr>
    </w:p>
    <w:p w14:paraId="2D9C8BCE" w14:textId="77777777" w:rsidR="007F71C3" w:rsidRPr="0090576B" w:rsidRDefault="001E27CE" w:rsidP="00535BF7">
      <w:pPr>
        <w:widowControl/>
        <w:numPr>
          <w:ilvl w:val="12"/>
          <w:numId w:val="0"/>
        </w:numPr>
        <w:spacing w:after="240" w:line="276" w:lineRule="auto"/>
        <w:rPr>
          <w:bCs/>
          <w:sz w:val="26"/>
          <w:szCs w:val="26"/>
        </w:rPr>
      </w:pPr>
      <w:r w:rsidRPr="0090576B">
        <w:rPr>
          <w:bCs/>
          <w:sz w:val="26"/>
          <w:szCs w:val="26"/>
        </w:rPr>
        <w:t>The foregoing is not an exhaustive list, but it is a start, and I offer it with an invitation to add others. Through the reasoned combination of these moral arguments with more practical principles of measurement, it will be possible to determine which debts should be refused, and which should be honored. Most important of all, debtors who stand together, with the spirited support of a broad movement behind them, can make the strongest moral case. Negotiating with creditors on an individual basis might win some personal relief but will not alter, let alone supplant, the norms of conduct</w:t>
      </w:r>
      <w:r w:rsidR="00D01FE5">
        <w:rPr>
          <w:bCs/>
          <w:sz w:val="26"/>
          <w:szCs w:val="26"/>
        </w:rPr>
        <w:t xml:space="preserve"> that sustain a creditocracy.</w:t>
      </w:r>
    </w:p>
    <w:p w14:paraId="69AC3BCB" w14:textId="3FF484AF" w:rsidR="007F71C3" w:rsidRPr="0090576B" w:rsidRDefault="001E27CE" w:rsidP="00535BF7">
      <w:pPr>
        <w:widowControl/>
        <w:numPr>
          <w:ilvl w:val="12"/>
          <w:numId w:val="0"/>
        </w:numPr>
        <w:spacing w:after="240" w:line="276" w:lineRule="auto"/>
        <w:rPr>
          <w:bCs/>
          <w:sz w:val="26"/>
          <w:szCs w:val="26"/>
        </w:rPr>
      </w:pPr>
      <w:r w:rsidRPr="0090576B">
        <w:rPr>
          <w:bCs/>
          <w:sz w:val="26"/>
          <w:szCs w:val="26"/>
        </w:rPr>
        <w:t>Once the public psychology around debt has decisively shifted away from automatic compliance with payback morality, how will the new mindset translate into action? When there is no prospect of debt relief issuing from the government, debtors will have to take it for themselves, and by any means necessary. Millions default on their household debts annually, and are personally punished for the outcome. A collective default, in the form of a mass debt strike, seems unlikely from our current vantage point, though there is little doubt it would have a sharp political impact. Organizing around debt is not easy</w:t>
      </w:r>
      <w:r w:rsidR="00956804">
        <w:rPr>
          <w:bCs/>
          <w:sz w:val="26"/>
          <w:szCs w:val="26"/>
        </w:rPr>
        <w:t xml:space="preserve"> </w:t>
      </w:r>
      <w:r w:rsidR="0055414B">
        <w:rPr>
          <w:bCs/>
          <w:sz w:val="26"/>
          <w:szCs w:val="26"/>
        </w:rPr>
        <w:t>–</w:t>
      </w:r>
      <w:r w:rsidR="00956804">
        <w:rPr>
          <w:bCs/>
          <w:sz w:val="26"/>
          <w:szCs w:val="26"/>
        </w:rPr>
        <w:t xml:space="preserve"> </w:t>
      </w:r>
      <w:r w:rsidRPr="0090576B">
        <w:rPr>
          <w:bCs/>
          <w:sz w:val="26"/>
          <w:szCs w:val="26"/>
        </w:rPr>
        <w:t>each debtor’s situation is like a fingerprint</w:t>
      </w:r>
      <w:r w:rsidR="00956804">
        <w:rPr>
          <w:bCs/>
          <w:sz w:val="26"/>
          <w:szCs w:val="26"/>
        </w:rPr>
        <w:t xml:space="preserve"> </w:t>
      </w:r>
      <w:r w:rsidR="0055414B">
        <w:rPr>
          <w:bCs/>
          <w:sz w:val="26"/>
          <w:szCs w:val="26"/>
        </w:rPr>
        <w:t>–</w:t>
      </w:r>
      <w:r w:rsidR="00956804">
        <w:rPr>
          <w:bCs/>
          <w:sz w:val="26"/>
          <w:szCs w:val="26"/>
        </w:rPr>
        <w:t xml:space="preserve"> </w:t>
      </w:r>
      <w:r w:rsidRPr="0090576B">
        <w:rPr>
          <w:bCs/>
          <w:sz w:val="26"/>
          <w:szCs w:val="26"/>
        </w:rPr>
        <w:t xml:space="preserve">but the conditions for the emergence of a debtors’ movement have seldom been more auspicious. Even though we cannot predict, at this point, what form it will take, which pathways it will pursue, and which tactics it will adopt, the need for such a movement is self-evident. For those who like neat distinctions, the historical moment can be summarized as follows. Whereas strife over wages was central to the industrial era, the grand conflict of our times is shaping up as the struggle over debt, and any just resolution calls for a level of organizing at least as momentous as the labor movement in its heyday. </w:t>
      </w:r>
    </w:p>
    <w:p w14:paraId="0F7ED269" w14:textId="12E86239" w:rsidR="007F71C3" w:rsidRPr="0090576B" w:rsidRDefault="001E27CE" w:rsidP="00535BF7">
      <w:pPr>
        <w:widowControl/>
        <w:numPr>
          <w:ilvl w:val="12"/>
          <w:numId w:val="0"/>
        </w:numPr>
        <w:spacing w:after="240" w:line="276" w:lineRule="auto"/>
        <w:rPr>
          <w:bCs/>
          <w:sz w:val="26"/>
          <w:szCs w:val="26"/>
        </w:rPr>
      </w:pPr>
      <w:r w:rsidRPr="0090576B">
        <w:rPr>
          <w:bCs/>
          <w:sz w:val="26"/>
          <w:szCs w:val="26"/>
        </w:rPr>
        <w:t>The rejection of existing illegitimate debts is not enough, of course. In and of itself, the business of wiping the slate clean will not al</w:t>
      </w:r>
      <w:r w:rsidR="00D86286">
        <w:rPr>
          <w:bCs/>
          <w:sz w:val="26"/>
          <w:szCs w:val="26"/>
        </w:rPr>
        <w:t>ter the continuing use of debt-</w:t>
      </w:r>
      <w:r w:rsidRPr="0090576B">
        <w:rPr>
          <w:bCs/>
          <w:sz w:val="26"/>
          <w:szCs w:val="26"/>
        </w:rPr>
        <w:t>leveraging to redistribute wealth and constrain democracy. Debt cancellation is only the first step. An alternative economy, run on socially productive credit, has to materialize if the control over economic planning by Wall Street and other banking centers is to be decisively loosened. To most people, that is a daunting prospect, because it evokes some colossal overhaul of the current system that could only be achieved through the capture of state power. Yet many of the institutions and practices that support an alternative economy already exist and are thriving in their own right. Mutualist, non-profit, commons-based, and community-oriented, their economic impact is already much larger, in the aggregate, than is typically acknowledged. Credit unions, workers’ cooperatives, and community-supported agriculture are well-established and expanding in membership everywhere, while more experimental practices involving time banks, social money, and community currencies are being tried out in places, like Greece and Spain, where the mainstream economy has collapsed. Building on these existing commonist initiatives may</w:t>
      </w:r>
      <w:r w:rsidR="00F86833">
        <w:rPr>
          <w:bCs/>
          <w:sz w:val="26"/>
          <w:szCs w:val="26"/>
        </w:rPr>
        <w:t xml:space="preserve"> be easier than halting the neo</w:t>
      </w:r>
      <w:r w:rsidRPr="0090576B">
        <w:rPr>
          <w:bCs/>
          <w:sz w:val="26"/>
          <w:szCs w:val="26"/>
        </w:rPr>
        <w:t>liberal privatization of the public sector, but, for some social goods</w:t>
      </w:r>
      <w:r w:rsidR="00D01FE5">
        <w:rPr>
          <w:bCs/>
          <w:sz w:val="26"/>
          <w:szCs w:val="26"/>
        </w:rPr>
        <w:t xml:space="preserve"> – </w:t>
      </w:r>
      <w:r w:rsidRPr="0090576B">
        <w:rPr>
          <w:bCs/>
          <w:sz w:val="26"/>
          <w:szCs w:val="26"/>
        </w:rPr>
        <w:t>education, healthcare, infrastructure, and energy among them</w:t>
      </w:r>
      <w:r w:rsidR="00D01FE5">
        <w:rPr>
          <w:bCs/>
          <w:sz w:val="26"/>
          <w:szCs w:val="26"/>
        </w:rPr>
        <w:t xml:space="preserve"> – </w:t>
      </w:r>
      <w:r w:rsidRPr="0090576B">
        <w:rPr>
          <w:bCs/>
          <w:sz w:val="26"/>
          <w:szCs w:val="26"/>
        </w:rPr>
        <w:t xml:space="preserve">public provision is still critical. An alternative economy should be a mixed one, public and commonist. Whatever the ratio of the mix, there should be no place, and no need, for most of the reckless rent-seeking activity that feeds the financial services industry. </w:t>
      </w:r>
    </w:p>
    <w:p w14:paraId="0F5ABCB2" w14:textId="1F471232" w:rsidR="007F71C3" w:rsidRPr="0090576B" w:rsidRDefault="001E27CE" w:rsidP="00535BF7">
      <w:pPr>
        <w:widowControl/>
        <w:numPr>
          <w:ilvl w:val="12"/>
          <w:numId w:val="0"/>
        </w:numPr>
        <w:spacing w:after="240" w:line="276" w:lineRule="auto"/>
        <w:rPr>
          <w:bCs/>
          <w:sz w:val="26"/>
          <w:szCs w:val="26"/>
        </w:rPr>
      </w:pPr>
      <w:r w:rsidRPr="0090576B">
        <w:rPr>
          <w:bCs/>
          <w:sz w:val="26"/>
          <w:szCs w:val="26"/>
        </w:rPr>
        <w:t xml:space="preserve">A successor economy cannot sustain itself without new forms of political expression and association. Historically, creditors needed a representative government to ensure the citizenry would agree to the repayment of public debts: as borrowers, absolute monarchs had been </w:t>
      </w:r>
      <w:r w:rsidR="001C2DCE">
        <w:rPr>
          <w:bCs/>
          <w:sz w:val="26"/>
          <w:szCs w:val="26"/>
        </w:rPr>
        <w:t xml:space="preserve">fickle about their obligations. </w:t>
      </w:r>
      <w:r w:rsidR="00B93523">
        <w:rPr>
          <w:bCs/>
          <w:sz w:val="26"/>
          <w:szCs w:val="26"/>
        </w:rPr>
        <w:t>‘</w:t>
      </w:r>
      <w:r w:rsidRPr="0090576B">
        <w:rPr>
          <w:bCs/>
          <w:sz w:val="26"/>
          <w:szCs w:val="26"/>
        </w:rPr>
        <w:t>Since the Renaissance</w:t>
      </w:r>
      <w:r w:rsidR="00872F4B">
        <w:rPr>
          <w:bCs/>
          <w:sz w:val="26"/>
          <w:szCs w:val="26"/>
        </w:rPr>
        <w:t xml:space="preserve">,’ </w:t>
      </w:r>
      <w:bookmarkStart w:id="0" w:name="_GoBack"/>
      <w:bookmarkEnd w:id="0"/>
      <w:r w:rsidRPr="0090576B">
        <w:rPr>
          <w:bCs/>
          <w:sz w:val="26"/>
          <w:szCs w:val="26"/>
        </w:rPr>
        <w:t xml:space="preserve">Michael Hudson observes, </w:t>
      </w:r>
      <w:r w:rsidR="00B93523">
        <w:rPr>
          <w:bCs/>
          <w:sz w:val="26"/>
          <w:szCs w:val="26"/>
        </w:rPr>
        <w:t>‘</w:t>
      </w:r>
      <w:r w:rsidRPr="0090576B">
        <w:rPr>
          <w:bCs/>
          <w:sz w:val="26"/>
          <w:szCs w:val="26"/>
        </w:rPr>
        <w:t>bankers have shifted their political support to democracies. This did not reflect egalitarian or liberal political convictions as such, but rather a desire for better security for their loans</w:t>
      </w:r>
      <w:r w:rsidR="00140F0F">
        <w:rPr>
          <w:bCs/>
          <w:sz w:val="26"/>
          <w:szCs w:val="26"/>
        </w:rPr>
        <w:t>.</w:t>
      </w:r>
      <w:r w:rsidR="00B93523">
        <w:rPr>
          <w:bCs/>
          <w:sz w:val="26"/>
          <w:szCs w:val="26"/>
        </w:rPr>
        <w:t>’</w:t>
      </w:r>
      <w:r w:rsidR="00B93523">
        <w:rPr>
          <w:rStyle w:val="FootnoteReference"/>
          <w:bCs/>
          <w:sz w:val="26"/>
          <w:szCs w:val="26"/>
        </w:rPr>
        <w:footnoteReference w:customMarkFollows="1" w:id="15"/>
        <w:t>13</w:t>
      </w:r>
      <w:r w:rsidR="006C63C6">
        <w:rPr>
          <w:bCs/>
          <w:sz w:val="26"/>
          <w:szCs w:val="26"/>
        </w:rPr>
        <w:t xml:space="preserve"> </w:t>
      </w:r>
      <w:r w:rsidRPr="0090576B">
        <w:rPr>
          <w:bCs/>
          <w:sz w:val="26"/>
          <w:szCs w:val="26"/>
        </w:rPr>
        <w:t>Democratic governments proved to be more reliable clients, though they still defaulted on sovereign debts on a regular basis</w:t>
      </w:r>
      <w:r w:rsidR="00956804">
        <w:rPr>
          <w:bCs/>
          <w:sz w:val="26"/>
          <w:szCs w:val="26"/>
        </w:rPr>
        <w:t xml:space="preserve"> </w:t>
      </w:r>
      <w:r w:rsidRPr="0090576B">
        <w:rPr>
          <w:bCs/>
          <w:sz w:val="26"/>
          <w:szCs w:val="26"/>
        </w:rPr>
        <w:t>–</w:t>
      </w:r>
      <w:r w:rsidR="00956804">
        <w:rPr>
          <w:bCs/>
          <w:sz w:val="26"/>
          <w:szCs w:val="26"/>
        </w:rPr>
        <w:t xml:space="preserve"> </w:t>
      </w:r>
      <w:r w:rsidRPr="0090576B">
        <w:rPr>
          <w:bCs/>
          <w:sz w:val="26"/>
          <w:szCs w:val="26"/>
        </w:rPr>
        <w:t>more than 250 times since 1800, according to one estimate</w:t>
      </w:r>
      <w:r w:rsidR="00140F0F">
        <w:rPr>
          <w:bCs/>
          <w:sz w:val="26"/>
          <w:szCs w:val="26"/>
        </w:rPr>
        <w:t>.</w:t>
      </w:r>
      <w:r w:rsidR="005B6727">
        <w:rPr>
          <w:rStyle w:val="FootnoteReference"/>
          <w:bCs/>
          <w:sz w:val="26"/>
          <w:szCs w:val="26"/>
        </w:rPr>
        <w:footnoteReference w:customMarkFollows="1" w:id="16"/>
        <w:t>14</w:t>
      </w:r>
      <w:r w:rsidR="006C63C6">
        <w:rPr>
          <w:bCs/>
          <w:sz w:val="26"/>
          <w:szCs w:val="26"/>
        </w:rPr>
        <w:t xml:space="preserve"> </w:t>
      </w:r>
      <w:r w:rsidRPr="0090576B">
        <w:rPr>
          <w:bCs/>
          <w:sz w:val="26"/>
          <w:szCs w:val="26"/>
        </w:rPr>
        <w:t>But today’s legislators are more and more exposed as helpless in the face of creditors’ demands, and incapable of checking the power of high finance over policy-making. Too many younger people now see the current exercise of representative democracy as a rotten end-game. It has stopped being meaningful, and not just because of the hijacking of power on the part of the creditor class. Younger activists have been practicing democracy in different ways</w:t>
      </w:r>
      <w:r w:rsidR="00956804">
        <w:rPr>
          <w:bCs/>
          <w:sz w:val="26"/>
          <w:szCs w:val="26"/>
        </w:rPr>
        <w:t xml:space="preserve"> </w:t>
      </w:r>
      <w:r w:rsidR="0055414B">
        <w:rPr>
          <w:bCs/>
          <w:sz w:val="26"/>
          <w:szCs w:val="26"/>
        </w:rPr>
        <w:t>–</w:t>
      </w:r>
      <w:r w:rsidR="00956804">
        <w:rPr>
          <w:bCs/>
          <w:sz w:val="26"/>
          <w:szCs w:val="26"/>
        </w:rPr>
        <w:t xml:space="preserve"> </w:t>
      </w:r>
      <w:r w:rsidRPr="0090576B">
        <w:rPr>
          <w:bCs/>
          <w:sz w:val="26"/>
          <w:szCs w:val="26"/>
        </w:rPr>
        <w:t>often labeled horizontalist</w:t>
      </w:r>
      <w:r w:rsidR="00956804">
        <w:rPr>
          <w:bCs/>
          <w:sz w:val="26"/>
          <w:szCs w:val="26"/>
        </w:rPr>
        <w:t xml:space="preserve"> </w:t>
      </w:r>
      <w:r w:rsidR="0055414B">
        <w:rPr>
          <w:bCs/>
          <w:sz w:val="26"/>
          <w:szCs w:val="26"/>
        </w:rPr>
        <w:t>–</w:t>
      </w:r>
      <w:r w:rsidR="00956804">
        <w:rPr>
          <w:bCs/>
          <w:sz w:val="26"/>
          <w:szCs w:val="26"/>
        </w:rPr>
        <w:t xml:space="preserve"> </w:t>
      </w:r>
      <w:r w:rsidRPr="0090576B">
        <w:rPr>
          <w:bCs/>
          <w:sz w:val="26"/>
          <w:szCs w:val="26"/>
        </w:rPr>
        <w:t>since the late 1990s. The leaderless process in decision-making and action is now a default mentality for at least one generation, as are the social customs of cooperative networking and mutual aid</w:t>
      </w:r>
      <w:r w:rsidR="00140F0F">
        <w:rPr>
          <w:bCs/>
          <w:sz w:val="26"/>
          <w:szCs w:val="26"/>
        </w:rPr>
        <w:t>.</w:t>
      </w:r>
      <w:r w:rsidR="002E36B8">
        <w:rPr>
          <w:rStyle w:val="FootnoteReference"/>
          <w:bCs/>
          <w:sz w:val="26"/>
          <w:szCs w:val="26"/>
        </w:rPr>
        <w:footnoteReference w:customMarkFollows="1" w:id="17"/>
        <w:t>15</w:t>
      </w:r>
      <w:r w:rsidR="006C63C6">
        <w:rPr>
          <w:bCs/>
          <w:sz w:val="26"/>
          <w:szCs w:val="26"/>
        </w:rPr>
        <w:t xml:space="preserve"> </w:t>
      </w:r>
      <w:r w:rsidRPr="0090576B">
        <w:rPr>
          <w:bCs/>
          <w:sz w:val="26"/>
          <w:szCs w:val="26"/>
        </w:rPr>
        <w:t xml:space="preserve">Perhaps we should no longer refer to these as experimental practices, </w:t>
      </w:r>
      <w:r w:rsidR="0072443E">
        <w:rPr>
          <w:bCs/>
          <w:sz w:val="26"/>
          <w:szCs w:val="26"/>
        </w:rPr>
        <w:t>‘</w:t>
      </w:r>
      <w:r w:rsidRPr="0090576B">
        <w:rPr>
          <w:bCs/>
          <w:sz w:val="26"/>
          <w:szCs w:val="26"/>
        </w:rPr>
        <w:t>prefigurative</w:t>
      </w:r>
      <w:r w:rsidR="0072443E">
        <w:rPr>
          <w:bCs/>
          <w:sz w:val="26"/>
          <w:szCs w:val="26"/>
        </w:rPr>
        <w:t>’</w:t>
      </w:r>
      <w:r w:rsidRPr="0090576B">
        <w:rPr>
          <w:bCs/>
          <w:sz w:val="26"/>
          <w:szCs w:val="26"/>
        </w:rPr>
        <w:t xml:space="preserve"> of a more humane future. Among the politically aware, they have become quite normative, and are likely to work their way into the main currents of civil society in the years to come. When this happens, we will see if the impersonal relations of money debt can actually be transformed into warm social bonds</w:t>
      </w:r>
      <w:r w:rsidR="00D01FE5">
        <w:rPr>
          <w:bCs/>
          <w:sz w:val="26"/>
          <w:szCs w:val="26"/>
        </w:rPr>
        <w:t xml:space="preserve"> – </w:t>
      </w:r>
      <w:r w:rsidRPr="0090576B">
        <w:rPr>
          <w:bCs/>
          <w:sz w:val="26"/>
          <w:szCs w:val="26"/>
        </w:rPr>
        <w:t>mutually nourishing debts, in other words, that we owe each other in the exercise of our freedoms.</w:t>
      </w:r>
      <w:r w:rsidR="00597CBB">
        <w:rPr>
          <w:bCs/>
          <w:sz w:val="26"/>
          <w:szCs w:val="26"/>
        </w:rPr>
        <w:t xml:space="preserve"> </w:t>
      </w:r>
    </w:p>
    <w:p w14:paraId="2705B522" w14:textId="77777777" w:rsidR="0028274E" w:rsidRDefault="0028274E" w:rsidP="00535BF7">
      <w:pPr>
        <w:widowControl/>
        <w:numPr>
          <w:ilvl w:val="12"/>
          <w:numId w:val="0"/>
        </w:numPr>
        <w:spacing w:after="240" w:line="276" w:lineRule="auto"/>
        <w:rPr>
          <w:bCs/>
          <w:sz w:val="26"/>
          <w:szCs w:val="26"/>
        </w:rPr>
      </w:pPr>
    </w:p>
    <w:p w14:paraId="2102A33C" w14:textId="77777777" w:rsidR="007F71C3" w:rsidRPr="006C63C6" w:rsidRDefault="0028274E" w:rsidP="00597CBB">
      <w:pPr>
        <w:pStyle w:val="Heading2"/>
      </w:pPr>
      <w:r w:rsidRPr="006C63C6">
        <w:t>References</w:t>
      </w:r>
    </w:p>
    <w:p w14:paraId="7D3CEC04" w14:textId="574B029F" w:rsidR="0028274E" w:rsidRPr="0028274E" w:rsidRDefault="0028274E" w:rsidP="00535BF7">
      <w:pPr>
        <w:spacing w:after="240" w:line="276" w:lineRule="auto"/>
        <w:rPr>
          <w:sz w:val="24"/>
          <w:szCs w:val="24"/>
        </w:rPr>
      </w:pPr>
      <w:r>
        <w:rPr>
          <w:bCs/>
          <w:sz w:val="26"/>
          <w:szCs w:val="26"/>
        </w:rPr>
        <w:t xml:space="preserve">Admati, Anat </w:t>
      </w:r>
      <w:r w:rsidRPr="0028274E">
        <w:rPr>
          <w:bCs/>
          <w:sz w:val="26"/>
          <w:szCs w:val="26"/>
        </w:rPr>
        <w:t>and Martin Hellwig</w:t>
      </w:r>
      <w:r>
        <w:rPr>
          <w:bCs/>
          <w:sz w:val="26"/>
          <w:szCs w:val="26"/>
        </w:rPr>
        <w:t>.</w:t>
      </w:r>
      <w:r w:rsidR="00956804">
        <w:rPr>
          <w:bCs/>
          <w:i/>
          <w:iCs/>
          <w:sz w:val="26"/>
          <w:szCs w:val="26"/>
        </w:rPr>
        <w:t xml:space="preserve"> The Bankers’ New Clothes: What’</w:t>
      </w:r>
      <w:r w:rsidRPr="0028274E">
        <w:rPr>
          <w:bCs/>
          <w:i/>
          <w:iCs/>
          <w:sz w:val="26"/>
          <w:szCs w:val="26"/>
        </w:rPr>
        <w:t>s Wrong with Banking and What to Do About It</w:t>
      </w:r>
      <w:r>
        <w:rPr>
          <w:bCs/>
          <w:iCs/>
          <w:sz w:val="26"/>
          <w:szCs w:val="26"/>
        </w:rPr>
        <w:t>,</w:t>
      </w:r>
      <w:r w:rsidRPr="0028274E">
        <w:rPr>
          <w:bCs/>
          <w:i/>
          <w:iCs/>
          <w:sz w:val="26"/>
          <w:szCs w:val="26"/>
        </w:rPr>
        <w:t xml:space="preserve"> </w:t>
      </w:r>
      <w:r w:rsidRPr="0028274E">
        <w:rPr>
          <w:bCs/>
          <w:sz w:val="26"/>
          <w:szCs w:val="26"/>
        </w:rPr>
        <w:t>Princeton: P</w:t>
      </w:r>
      <w:r>
        <w:rPr>
          <w:bCs/>
          <w:sz w:val="26"/>
          <w:szCs w:val="26"/>
        </w:rPr>
        <w:t>rinceton University Press, 2013</w:t>
      </w:r>
      <w:r w:rsidRPr="0028274E">
        <w:rPr>
          <w:bCs/>
          <w:sz w:val="26"/>
          <w:szCs w:val="26"/>
        </w:rPr>
        <w:t>, p. 2.</w:t>
      </w:r>
    </w:p>
    <w:p w14:paraId="253750A3" w14:textId="77777777" w:rsidR="0028274E" w:rsidRPr="0028274E" w:rsidRDefault="0028274E" w:rsidP="00535BF7">
      <w:pPr>
        <w:spacing w:after="240" w:line="276" w:lineRule="auto"/>
        <w:rPr>
          <w:sz w:val="24"/>
          <w:szCs w:val="24"/>
        </w:rPr>
      </w:pPr>
      <w:r w:rsidRPr="0028274E">
        <w:rPr>
          <w:sz w:val="24"/>
          <w:szCs w:val="24"/>
        </w:rPr>
        <w:t xml:space="preserve"> </w:t>
      </w:r>
      <w:r w:rsidRPr="0028274E">
        <w:rPr>
          <w:bCs/>
          <w:sz w:val="26"/>
          <w:szCs w:val="26"/>
        </w:rPr>
        <w:t>Chesnais</w:t>
      </w:r>
      <w:r w:rsidRPr="0028274E">
        <w:rPr>
          <w:bCs/>
          <w:i/>
          <w:iCs/>
          <w:sz w:val="26"/>
          <w:szCs w:val="26"/>
        </w:rPr>
        <w:t>,</w:t>
      </w:r>
      <w:r w:rsidRPr="0028274E">
        <w:rPr>
          <w:sz w:val="24"/>
          <w:szCs w:val="24"/>
        </w:rPr>
        <w:t xml:space="preserve"> </w:t>
      </w:r>
      <w:r w:rsidRPr="0028274E">
        <w:rPr>
          <w:bCs/>
          <w:sz w:val="26"/>
          <w:szCs w:val="26"/>
        </w:rPr>
        <w:t>François</w:t>
      </w:r>
      <w:r>
        <w:rPr>
          <w:bCs/>
          <w:sz w:val="26"/>
          <w:szCs w:val="26"/>
        </w:rPr>
        <w:t>.</w:t>
      </w:r>
      <w:r>
        <w:rPr>
          <w:bCs/>
          <w:i/>
          <w:iCs/>
          <w:sz w:val="26"/>
          <w:szCs w:val="26"/>
        </w:rPr>
        <w:t xml:space="preserve"> Les dettes illégitimes: </w:t>
      </w:r>
      <w:r w:rsidRPr="0028274E">
        <w:rPr>
          <w:bCs/>
          <w:i/>
          <w:iCs/>
          <w:sz w:val="26"/>
          <w:szCs w:val="26"/>
        </w:rPr>
        <w:t>Quand les banques font main basse sur les politiques publiques</w:t>
      </w:r>
      <w:r>
        <w:rPr>
          <w:bCs/>
          <w:iCs/>
          <w:sz w:val="26"/>
          <w:szCs w:val="26"/>
        </w:rPr>
        <w:t>,</w:t>
      </w:r>
      <w:r w:rsidRPr="0028274E">
        <w:rPr>
          <w:bCs/>
          <w:i/>
          <w:iCs/>
          <w:sz w:val="26"/>
          <w:szCs w:val="26"/>
        </w:rPr>
        <w:t xml:space="preserve"> </w:t>
      </w:r>
      <w:r>
        <w:rPr>
          <w:bCs/>
          <w:sz w:val="26"/>
          <w:szCs w:val="26"/>
        </w:rPr>
        <w:t>Paris: Liber, 2012</w:t>
      </w:r>
      <w:r w:rsidRPr="0028274E">
        <w:rPr>
          <w:bCs/>
          <w:sz w:val="26"/>
          <w:szCs w:val="26"/>
        </w:rPr>
        <w:t>.</w:t>
      </w:r>
    </w:p>
    <w:p w14:paraId="561D485E" w14:textId="73B07B9B" w:rsidR="0028274E" w:rsidRPr="0028274E" w:rsidRDefault="0028274E" w:rsidP="00535BF7">
      <w:pPr>
        <w:spacing w:after="240" w:line="276" w:lineRule="auto"/>
        <w:rPr>
          <w:bCs/>
          <w:sz w:val="26"/>
          <w:szCs w:val="26"/>
        </w:rPr>
      </w:pPr>
      <w:r>
        <w:rPr>
          <w:bCs/>
          <w:sz w:val="26"/>
          <w:szCs w:val="26"/>
        </w:rPr>
        <w:t>Eavis, Peter and Ben Protess. ‘</w:t>
      </w:r>
      <w:r w:rsidRPr="0028274E">
        <w:rPr>
          <w:bCs/>
          <w:sz w:val="26"/>
          <w:szCs w:val="26"/>
        </w:rPr>
        <w:t xml:space="preserve">Considering </w:t>
      </w:r>
      <w:r>
        <w:rPr>
          <w:bCs/>
          <w:sz w:val="26"/>
          <w:szCs w:val="26"/>
        </w:rPr>
        <w:t>the Fairness of JPMorgan’s Deal’,</w:t>
      </w:r>
      <w:r w:rsidRPr="0028274E">
        <w:rPr>
          <w:bCs/>
          <w:i/>
          <w:iCs/>
          <w:sz w:val="26"/>
          <w:szCs w:val="26"/>
        </w:rPr>
        <w:t xml:space="preserve"> </w:t>
      </w:r>
      <w:r w:rsidR="00956804">
        <w:rPr>
          <w:bCs/>
          <w:i/>
          <w:iCs/>
          <w:sz w:val="26"/>
          <w:szCs w:val="26"/>
        </w:rPr>
        <w:t xml:space="preserve">The </w:t>
      </w:r>
      <w:r w:rsidRPr="0028274E">
        <w:rPr>
          <w:bCs/>
          <w:i/>
          <w:iCs/>
          <w:sz w:val="26"/>
          <w:szCs w:val="26"/>
        </w:rPr>
        <w:t>New York</w:t>
      </w:r>
      <w:r w:rsidR="00D01FE5">
        <w:rPr>
          <w:bCs/>
          <w:i/>
          <w:iCs/>
          <w:sz w:val="26"/>
          <w:szCs w:val="26"/>
        </w:rPr>
        <w:t xml:space="preserve"> </w:t>
      </w:r>
      <w:r w:rsidRPr="0028274E">
        <w:rPr>
          <w:bCs/>
          <w:i/>
          <w:iCs/>
          <w:sz w:val="26"/>
          <w:szCs w:val="26"/>
        </w:rPr>
        <w:t>Times</w:t>
      </w:r>
      <w:r w:rsidR="00335DC6">
        <w:rPr>
          <w:bCs/>
          <w:iCs/>
          <w:sz w:val="26"/>
          <w:szCs w:val="26"/>
        </w:rPr>
        <w:t>, 22</w:t>
      </w:r>
      <w:r w:rsidRPr="0028274E">
        <w:rPr>
          <w:bCs/>
          <w:i/>
          <w:iCs/>
          <w:sz w:val="26"/>
          <w:szCs w:val="26"/>
        </w:rPr>
        <w:t xml:space="preserve"> </w:t>
      </w:r>
      <w:r w:rsidRPr="0028274E">
        <w:rPr>
          <w:bCs/>
          <w:sz w:val="26"/>
          <w:szCs w:val="26"/>
        </w:rPr>
        <w:t xml:space="preserve">October </w:t>
      </w:r>
      <w:r w:rsidR="00335DC6">
        <w:rPr>
          <w:bCs/>
          <w:sz w:val="26"/>
          <w:szCs w:val="26"/>
        </w:rPr>
        <w:t>2013</w:t>
      </w:r>
      <w:r w:rsidRPr="0028274E">
        <w:rPr>
          <w:bCs/>
          <w:sz w:val="26"/>
          <w:szCs w:val="26"/>
        </w:rPr>
        <w:t>.</w:t>
      </w:r>
    </w:p>
    <w:p w14:paraId="3C6E1F1B" w14:textId="77777777" w:rsidR="0028274E" w:rsidRPr="0028274E" w:rsidRDefault="0028274E" w:rsidP="00535BF7">
      <w:pPr>
        <w:spacing w:after="240" w:line="276" w:lineRule="auto"/>
        <w:rPr>
          <w:bCs/>
          <w:sz w:val="26"/>
          <w:szCs w:val="26"/>
        </w:rPr>
      </w:pPr>
      <w:r>
        <w:rPr>
          <w:bCs/>
          <w:sz w:val="26"/>
          <w:szCs w:val="26"/>
        </w:rPr>
        <w:t>Hudson, Michael. ‘</w:t>
      </w:r>
      <w:r w:rsidRPr="0028274E">
        <w:rPr>
          <w:bCs/>
          <w:sz w:val="26"/>
          <w:szCs w:val="26"/>
        </w:rPr>
        <w:t>Democracy and Debt: Has the Link been Broken?</w:t>
      </w:r>
      <w:r>
        <w:rPr>
          <w:bCs/>
          <w:i/>
          <w:iCs/>
          <w:sz w:val="26"/>
          <w:szCs w:val="26"/>
        </w:rPr>
        <w:t>’</w:t>
      </w:r>
      <w:r w:rsidRPr="0028274E">
        <w:rPr>
          <w:bCs/>
          <w:i/>
          <w:iCs/>
          <w:sz w:val="26"/>
          <w:szCs w:val="26"/>
        </w:rPr>
        <w:t xml:space="preserve"> Frankfurter Algemeine Zeitung</w:t>
      </w:r>
      <w:r w:rsidR="00335DC6">
        <w:rPr>
          <w:bCs/>
          <w:iCs/>
          <w:sz w:val="26"/>
          <w:szCs w:val="26"/>
        </w:rPr>
        <w:t xml:space="preserve">, 5 </w:t>
      </w:r>
      <w:r w:rsidRPr="0028274E">
        <w:rPr>
          <w:bCs/>
          <w:sz w:val="26"/>
          <w:szCs w:val="26"/>
        </w:rPr>
        <w:t>December</w:t>
      </w:r>
      <w:r w:rsidR="00335DC6">
        <w:rPr>
          <w:bCs/>
          <w:sz w:val="26"/>
          <w:szCs w:val="26"/>
        </w:rPr>
        <w:t xml:space="preserve"> 2011,</w:t>
      </w:r>
      <w:r w:rsidRPr="0028274E">
        <w:rPr>
          <w:bCs/>
          <w:sz w:val="26"/>
          <w:szCs w:val="26"/>
        </w:rPr>
        <w:t xml:space="preserve"> accessible in English at </w:t>
      </w:r>
      <w:hyperlink w:history="1">
        <w:r w:rsidR="00D01FE5">
          <w:rPr>
            <w:rStyle w:val="Hyperlink"/>
            <w:rFonts w:cs="Helvetica"/>
            <w:bCs/>
            <w:sz w:val="26"/>
            <w:szCs w:val="26"/>
            <w:u w:color="0000FF"/>
          </w:rPr>
          <w:t>http://michael-</w:t>
        </w:r>
        <w:r w:rsidR="00335DC6" w:rsidRPr="00154BA4">
          <w:rPr>
            <w:rStyle w:val="Hyperlink"/>
            <w:rFonts w:cs="Helvetica"/>
            <w:bCs/>
            <w:sz w:val="26"/>
            <w:szCs w:val="26"/>
            <w:u w:color="0000FF"/>
          </w:rPr>
          <w:t>hudson.com/2011/12/democracy-and-debt/</w:t>
        </w:r>
      </w:hyperlink>
      <w:r>
        <w:rPr>
          <w:bCs/>
          <w:sz w:val="26"/>
          <w:szCs w:val="26"/>
        </w:rPr>
        <w:t>.</w:t>
      </w:r>
    </w:p>
    <w:p w14:paraId="67AC2A4B" w14:textId="77777777" w:rsidR="0028274E" w:rsidRPr="0028274E" w:rsidRDefault="0028274E" w:rsidP="00535BF7">
      <w:pPr>
        <w:spacing w:after="240" w:line="276" w:lineRule="auto"/>
        <w:rPr>
          <w:bCs/>
          <w:sz w:val="26"/>
          <w:szCs w:val="26"/>
        </w:rPr>
      </w:pPr>
      <w:r>
        <w:rPr>
          <w:bCs/>
          <w:sz w:val="26"/>
          <w:szCs w:val="26"/>
        </w:rPr>
        <w:t xml:space="preserve">MacDonald, </w:t>
      </w:r>
      <w:r w:rsidRPr="0028274E">
        <w:rPr>
          <w:bCs/>
          <w:sz w:val="26"/>
          <w:szCs w:val="26"/>
        </w:rPr>
        <w:t>James</w:t>
      </w:r>
      <w:r>
        <w:rPr>
          <w:bCs/>
          <w:i/>
          <w:iCs/>
          <w:sz w:val="26"/>
          <w:szCs w:val="26"/>
        </w:rPr>
        <w:t>.</w:t>
      </w:r>
      <w:r w:rsidRPr="0028274E">
        <w:rPr>
          <w:bCs/>
          <w:i/>
          <w:iCs/>
          <w:sz w:val="26"/>
          <w:szCs w:val="26"/>
        </w:rPr>
        <w:t xml:space="preserve"> A Free Nation Deep in Debt: The Financial Roots of Democracy</w:t>
      </w:r>
      <w:r>
        <w:rPr>
          <w:bCs/>
          <w:sz w:val="26"/>
          <w:szCs w:val="26"/>
        </w:rPr>
        <w:t xml:space="preserve">, </w:t>
      </w:r>
      <w:r w:rsidRPr="0028274E">
        <w:rPr>
          <w:bCs/>
          <w:sz w:val="26"/>
          <w:szCs w:val="26"/>
        </w:rPr>
        <w:t>New York:</w:t>
      </w:r>
      <w:r>
        <w:rPr>
          <w:bCs/>
          <w:sz w:val="26"/>
          <w:szCs w:val="26"/>
        </w:rPr>
        <w:t xml:space="preserve"> Farrar, Strauss &amp; Giroux, 2003</w:t>
      </w:r>
      <w:r w:rsidRPr="0028274E">
        <w:rPr>
          <w:bCs/>
          <w:sz w:val="26"/>
          <w:szCs w:val="26"/>
        </w:rPr>
        <w:t xml:space="preserve">. </w:t>
      </w:r>
    </w:p>
    <w:p w14:paraId="52DF7721" w14:textId="392907AC" w:rsidR="0028274E" w:rsidRPr="0028274E" w:rsidRDefault="0028274E" w:rsidP="00535BF7">
      <w:pPr>
        <w:spacing w:after="240" w:line="276" w:lineRule="auto"/>
        <w:rPr>
          <w:sz w:val="24"/>
          <w:szCs w:val="24"/>
        </w:rPr>
      </w:pPr>
      <w:r>
        <w:rPr>
          <w:bCs/>
          <w:sz w:val="26"/>
          <w:szCs w:val="26"/>
        </w:rPr>
        <w:t>Madrick, Jeff. ‘</w:t>
      </w:r>
      <w:r w:rsidRPr="0028274E">
        <w:rPr>
          <w:bCs/>
          <w:sz w:val="26"/>
          <w:szCs w:val="26"/>
        </w:rPr>
        <w:t>A Bit of Good News</w:t>
      </w:r>
      <w:r>
        <w:rPr>
          <w:bCs/>
          <w:sz w:val="26"/>
          <w:szCs w:val="26"/>
        </w:rPr>
        <w:t>’,</w:t>
      </w:r>
      <w:r w:rsidRPr="0028274E">
        <w:rPr>
          <w:bCs/>
          <w:sz w:val="26"/>
          <w:szCs w:val="26"/>
        </w:rPr>
        <w:t xml:space="preserve"> </w:t>
      </w:r>
      <w:r w:rsidRPr="0028274E">
        <w:rPr>
          <w:bCs/>
          <w:i/>
          <w:iCs/>
          <w:sz w:val="26"/>
          <w:szCs w:val="26"/>
        </w:rPr>
        <w:t>Harper’s</w:t>
      </w:r>
      <w:r>
        <w:rPr>
          <w:bCs/>
          <w:iCs/>
          <w:sz w:val="26"/>
          <w:szCs w:val="26"/>
        </w:rPr>
        <w:t>,</w:t>
      </w:r>
      <w:r w:rsidRPr="0028274E">
        <w:rPr>
          <w:bCs/>
          <w:i/>
          <w:iCs/>
          <w:sz w:val="26"/>
          <w:szCs w:val="26"/>
        </w:rPr>
        <w:t xml:space="preserve"> </w:t>
      </w:r>
      <w:r w:rsidR="00D01FE5">
        <w:rPr>
          <w:bCs/>
          <w:sz w:val="26"/>
          <w:szCs w:val="26"/>
        </w:rPr>
        <w:t>April 2013</w:t>
      </w:r>
      <w:r w:rsidRPr="0028274E">
        <w:rPr>
          <w:bCs/>
          <w:sz w:val="26"/>
          <w:szCs w:val="26"/>
        </w:rPr>
        <w:t>.</w:t>
      </w:r>
    </w:p>
    <w:p w14:paraId="61EA1ECD" w14:textId="77777777" w:rsidR="0028274E" w:rsidRPr="0028274E" w:rsidRDefault="0028274E" w:rsidP="00535BF7">
      <w:pPr>
        <w:spacing w:after="240" w:line="276" w:lineRule="auto"/>
        <w:rPr>
          <w:bCs/>
          <w:sz w:val="26"/>
          <w:szCs w:val="26"/>
        </w:rPr>
      </w:pPr>
      <w:r w:rsidRPr="0028274E">
        <w:rPr>
          <w:bCs/>
          <w:sz w:val="26"/>
          <w:szCs w:val="26"/>
        </w:rPr>
        <w:t>Manning,</w:t>
      </w:r>
      <w:r w:rsidRPr="0028274E">
        <w:rPr>
          <w:bCs/>
          <w:i/>
          <w:iCs/>
          <w:sz w:val="26"/>
          <w:szCs w:val="26"/>
        </w:rPr>
        <w:t xml:space="preserve"> </w:t>
      </w:r>
      <w:r w:rsidRPr="0028274E">
        <w:rPr>
          <w:bCs/>
          <w:sz w:val="26"/>
          <w:szCs w:val="26"/>
        </w:rPr>
        <w:t>Robert</w:t>
      </w:r>
      <w:r>
        <w:rPr>
          <w:bCs/>
          <w:sz w:val="26"/>
          <w:szCs w:val="26"/>
        </w:rPr>
        <w:t>.</w:t>
      </w:r>
      <w:r w:rsidRPr="0028274E">
        <w:rPr>
          <w:bCs/>
          <w:i/>
          <w:iCs/>
          <w:sz w:val="26"/>
          <w:szCs w:val="26"/>
        </w:rPr>
        <w:t xml:space="preserve"> Credit Card Nation: The Consequ</w:t>
      </w:r>
      <w:r w:rsidR="00D01FE5">
        <w:rPr>
          <w:bCs/>
          <w:i/>
          <w:iCs/>
          <w:sz w:val="26"/>
          <w:szCs w:val="26"/>
        </w:rPr>
        <w:t xml:space="preserve">ences of America’s Addiction to </w:t>
      </w:r>
      <w:r w:rsidRPr="0028274E">
        <w:rPr>
          <w:bCs/>
          <w:i/>
          <w:iCs/>
          <w:sz w:val="26"/>
          <w:szCs w:val="26"/>
        </w:rPr>
        <w:t>Credit Cards</w:t>
      </w:r>
      <w:r>
        <w:rPr>
          <w:bCs/>
          <w:iCs/>
          <w:sz w:val="26"/>
          <w:szCs w:val="26"/>
        </w:rPr>
        <w:t>,</w:t>
      </w:r>
      <w:r w:rsidRPr="0028274E">
        <w:rPr>
          <w:bCs/>
          <w:i/>
          <w:iCs/>
          <w:sz w:val="26"/>
          <w:szCs w:val="26"/>
        </w:rPr>
        <w:t xml:space="preserve"> </w:t>
      </w:r>
      <w:r>
        <w:rPr>
          <w:bCs/>
          <w:sz w:val="26"/>
          <w:szCs w:val="26"/>
        </w:rPr>
        <w:t>New York: Basic Books, 2000</w:t>
      </w:r>
      <w:r w:rsidRPr="0028274E">
        <w:rPr>
          <w:bCs/>
          <w:sz w:val="26"/>
          <w:szCs w:val="26"/>
        </w:rPr>
        <w:t>.</w:t>
      </w:r>
    </w:p>
    <w:p w14:paraId="0E610EE0" w14:textId="11D1221A" w:rsidR="00956804" w:rsidRDefault="0028274E" w:rsidP="00535BF7">
      <w:pPr>
        <w:spacing w:after="240" w:line="276" w:lineRule="auto"/>
        <w:rPr>
          <w:bCs/>
          <w:sz w:val="26"/>
          <w:szCs w:val="26"/>
        </w:rPr>
      </w:pPr>
      <w:r w:rsidRPr="0028274E">
        <w:rPr>
          <w:bCs/>
          <w:sz w:val="26"/>
          <w:szCs w:val="26"/>
        </w:rPr>
        <w:t>Mi</w:t>
      </w:r>
      <w:r>
        <w:rPr>
          <w:bCs/>
          <w:sz w:val="26"/>
          <w:szCs w:val="26"/>
        </w:rPr>
        <w:t>llet, Damien and Eric Toussaint.</w:t>
      </w:r>
      <w:r w:rsidRPr="0028274E">
        <w:rPr>
          <w:bCs/>
          <w:sz w:val="26"/>
          <w:szCs w:val="26"/>
        </w:rPr>
        <w:t xml:space="preserve"> </w:t>
      </w:r>
      <w:r w:rsidRPr="0028274E">
        <w:rPr>
          <w:bCs/>
          <w:i/>
          <w:iCs/>
          <w:sz w:val="26"/>
          <w:szCs w:val="26"/>
        </w:rPr>
        <w:t>Who Owes Who? 50 Questions about World Debt</w:t>
      </w:r>
      <w:r w:rsidRPr="0028274E">
        <w:rPr>
          <w:bCs/>
          <w:sz w:val="26"/>
          <w:szCs w:val="26"/>
        </w:rPr>
        <w:t xml:space="preserve"> </w:t>
      </w:r>
      <w:r w:rsidR="00335DC6">
        <w:rPr>
          <w:bCs/>
          <w:sz w:val="26"/>
          <w:szCs w:val="26"/>
        </w:rPr>
        <w:t>London: Zed Books, 2004</w:t>
      </w:r>
      <w:r w:rsidR="00956804">
        <w:rPr>
          <w:bCs/>
          <w:sz w:val="26"/>
          <w:szCs w:val="26"/>
        </w:rPr>
        <w:t>.</w:t>
      </w:r>
      <w:r w:rsidRPr="0028274E">
        <w:rPr>
          <w:bCs/>
          <w:sz w:val="26"/>
          <w:szCs w:val="26"/>
        </w:rPr>
        <w:t xml:space="preserve"> </w:t>
      </w:r>
    </w:p>
    <w:p w14:paraId="6DAC9B4D" w14:textId="3E673A4E" w:rsidR="0028274E" w:rsidRPr="0028274E" w:rsidRDefault="00956804" w:rsidP="00535BF7">
      <w:pPr>
        <w:spacing w:after="240" w:line="276" w:lineRule="auto"/>
        <w:rPr>
          <w:bCs/>
          <w:sz w:val="26"/>
          <w:szCs w:val="26"/>
        </w:rPr>
      </w:pPr>
      <w:r w:rsidRPr="0028274E">
        <w:rPr>
          <w:bCs/>
          <w:sz w:val="26"/>
          <w:szCs w:val="26"/>
        </w:rPr>
        <w:t>Mi</w:t>
      </w:r>
      <w:r>
        <w:rPr>
          <w:bCs/>
          <w:sz w:val="26"/>
          <w:szCs w:val="26"/>
        </w:rPr>
        <w:t>llet, Damien and Eric Toussaint.</w:t>
      </w:r>
      <w:r w:rsidRPr="0028274E">
        <w:rPr>
          <w:bCs/>
          <w:sz w:val="26"/>
          <w:szCs w:val="26"/>
        </w:rPr>
        <w:t xml:space="preserve"> </w:t>
      </w:r>
      <w:r w:rsidR="0028274E" w:rsidRPr="0028274E">
        <w:rPr>
          <w:bCs/>
          <w:i/>
          <w:iCs/>
          <w:sz w:val="26"/>
          <w:szCs w:val="26"/>
        </w:rPr>
        <w:t>Debt, the IMF, and the World Bank: Sixty Questions, Sixty Answers</w:t>
      </w:r>
      <w:r w:rsidR="0028274E">
        <w:rPr>
          <w:bCs/>
          <w:iCs/>
          <w:sz w:val="26"/>
          <w:szCs w:val="26"/>
        </w:rPr>
        <w:t>,</w:t>
      </w:r>
      <w:r w:rsidR="0028274E" w:rsidRPr="0028274E">
        <w:rPr>
          <w:bCs/>
          <w:i/>
          <w:iCs/>
          <w:sz w:val="26"/>
          <w:szCs w:val="26"/>
        </w:rPr>
        <w:t xml:space="preserve"> </w:t>
      </w:r>
      <w:r w:rsidR="0028274E" w:rsidRPr="0028274E">
        <w:rPr>
          <w:bCs/>
          <w:sz w:val="26"/>
          <w:szCs w:val="26"/>
        </w:rPr>
        <w:t>New Y</w:t>
      </w:r>
      <w:r w:rsidR="0028274E">
        <w:rPr>
          <w:bCs/>
          <w:sz w:val="26"/>
          <w:szCs w:val="26"/>
        </w:rPr>
        <w:t>ork: Monthly Review Press, 2010</w:t>
      </w:r>
      <w:r w:rsidR="0028274E" w:rsidRPr="0028274E">
        <w:rPr>
          <w:sz w:val="26"/>
          <w:szCs w:val="26"/>
        </w:rPr>
        <w:t>.</w:t>
      </w:r>
    </w:p>
    <w:p w14:paraId="11CECA58" w14:textId="77777777" w:rsidR="0028274E" w:rsidRPr="0028274E" w:rsidRDefault="00D01FE5" w:rsidP="00535BF7">
      <w:pPr>
        <w:spacing w:after="240" w:line="276" w:lineRule="auto"/>
        <w:rPr>
          <w:bCs/>
          <w:sz w:val="26"/>
          <w:szCs w:val="26"/>
        </w:rPr>
      </w:pPr>
      <w:r>
        <w:rPr>
          <w:bCs/>
          <w:sz w:val="26"/>
          <w:szCs w:val="26"/>
        </w:rPr>
        <w:t>Pi</w:t>
      </w:r>
      <w:r w:rsidR="0028274E" w:rsidRPr="0028274E">
        <w:rPr>
          <w:bCs/>
          <w:sz w:val="26"/>
          <w:szCs w:val="26"/>
        </w:rPr>
        <w:t>ketty, Thomas</w:t>
      </w:r>
      <w:r w:rsidR="0028274E">
        <w:rPr>
          <w:bCs/>
          <w:sz w:val="26"/>
          <w:szCs w:val="26"/>
        </w:rPr>
        <w:t>.</w:t>
      </w:r>
      <w:r w:rsidR="0028274E" w:rsidRPr="0028274E">
        <w:rPr>
          <w:bCs/>
          <w:i/>
          <w:iCs/>
          <w:sz w:val="26"/>
          <w:szCs w:val="26"/>
        </w:rPr>
        <w:t xml:space="preserve"> Capital in the Twenty-First Century</w:t>
      </w:r>
      <w:r w:rsidR="0028274E">
        <w:rPr>
          <w:bCs/>
          <w:iCs/>
          <w:sz w:val="26"/>
          <w:szCs w:val="26"/>
        </w:rPr>
        <w:t>,</w:t>
      </w:r>
      <w:r w:rsidR="0028274E" w:rsidRPr="0028274E">
        <w:rPr>
          <w:bCs/>
          <w:i/>
          <w:iCs/>
          <w:sz w:val="26"/>
          <w:szCs w:val="26"/>
        </w:rPr>
        <w:t xml:space="preserve"> </w:t>
      </w:r>
      <w:r w:rsidR="0028274E" w:rsidRPr="0028274E">
        <w:rPr>
          <w:bCs/>
          <w:sz w:val="26"/>
          <w:szCs w:val="26"/>
        </w:rPr>
        <w:t>Cambridge:</w:t>
      </w:r>
      <w:r w:rsidR="0028274E">
        <w:rPr>
          <w:bCs/>
          <w:sz w:val="26"/>
          <w:szCs w:val="26"/>
        </w:rPr>
        <w:t xml:space="preserve"> Harvard University Press, 2014</w:t>
      </w:r>
      <w:r w:rsidR="0028274E" w:rsidRPr="0028274E">
        <w:rPr>
          <w:bCs/>
          <w:sz w:val="26"/>
          <w:szCs w:val="26"/>
        </w:rPr>
        <w:t>.</w:t>
      </w:r>
    </w:p>
    <w:p w14:paraId="45353EB3" w14:textId="1E914E10" w:rsidR="0028274E" w:rsidRPr="0028274E" w:rsidRDefault="0028274E" w:rsidP="00535BF7">
      <w:pPr>
        <w:spacing w:after="240" w:line="276" w:lineRule="auto"/>
        <w:rPr>
          <w:sz w:val="24"/>
          <w:szCs w:val="24"/>
        </w:rPr>
      </w:pPr>
      <w:r>
        <w:rPr>
          <w:bCs/>
          <w:sz w:val="26"/>
          <w:szCs w:val="26"/>
        </w:rPr>
        <w:t>Prins, Nomi.</w:t>
      </w:r>
      <w:r w:rsidRPr="0028274E">
        <w:rPr>
          <w:bCs/>
          <w:sz w:val="26"/>
          <w:szCs w:val="26"/>
        </w:rPr>
        <w:t xml:space="preserve"> </w:t>
      </w:r>
      <w:r w:rsidR="00956804">
        <w:rPr>
          <w:bCs/>
          <w:i/>
          <w:iCs/>
          <w:sz w:val="26"/>
          <w:szCs w:val="26"/>
        </w:rPr>
        <w:t>All the Presidents’</w:t>
      </w:r>
      <w:r w:rsidRPr="0028274E">
        <w:rPr>
          <w:bCs/>
          <w:i/>
          <w:iCs/>
          <w:sz w:val="26"/>
          <w:szCs w:val="26"/>
        </w:rPr>
        <w:t xml:space="preserve"> Bankers: The Hidden Alliances that Drive American Power</w:t>
      </w:r>
      <w:r>
        <w:rPr>
          <w:bCs/>
          <w:iCs/>
          <w:sz w:val="26"/>
          <w:szCs w:val="26"/>
        </w:rPr>
        <w:t>,</w:t>
      </w:r>
      <w:r>
        <w:rPr>
          <w:bCs/>
          <w:i/>
          <w:iCs/>
          <w:sz w:val="26"/>
          <w:szCs w:val="26"/>
        </w:rPr>
        <w:t xml:space="preserve"> </w:t>
      </w:r>
      <w:r>
        <w:rPr>
          <w:bCs/>
          <w:sz w:val="26"/>
          <w:szCs w:val="26"/>
        </w:rPr>
        <w:t>New York: Avalon, 2013</w:t>
      </w:r>
      <w:r w:rsidRPr="0028274E">
        <w:rPr>
          <w:bCs/>
          <w:sz w:val="26"/>
          <w:szCs w:val="26"/>
        </w:rPr>
        <w:t>.</w:t>
      </w:r>
    </w:p>
    <w:p w14:paraId="26B343BA" w14:textId="57E137D5" w:rsidR="0028274E" w:rsidRPr="0028274E" w:rsidRDefault="0028274E" w:rsidP="00535BF7">
      <w:pPr>
        <w:spacing w:after="240" w:line="276" w:lineRule="auto"/>
        <w:rPr>
          <w:sz w:val="24"/>
          <w:szCs w:val="24"/>
        </w:rPr>
      </w:pPr>
      <w:r w:rsidRPr="0028274E">
        <w:rPr>
          <w:bCs/>
          <w:sz w:val="26"/>
          <w:szCs w:val="26"/>
        </w:rPr>
        <w:t>Reinhardt, Carmen and Kenneth Rogoff</w:t>
      </w:r>
      <w:r>
        <w:rPr>
          <w:bCs/>
          <w:sz w:val="26"/>
          <w:szCs w:val="26"/>
        </w:rPr>
        <w:t>.</w:t>
      </w:r>
      <w:r w:rsidRPr="0028274E">
        <w:rPr>
          <w:bCs/>
          <w:i/>
          <w:iCs/>
          <w:sz w:val="26"/>
          <w:szCs w:val="26"/>
        </w:rPr>
        <w:t xml:space="preserve"> This Time is Different:</w:t>
      </w:r>
      <w:r w:rsidR="00597CBB">
        <w:rPr>
          <w:bCs/>
          <w:i/>
          <w:iCs/>
          <w:sz w:val="26"/>
          <w:szCs w:val="26"/>
        </w:rPr>
        <w:t xml:space="preserve"> </w:t>
      </w:r>
      <w:r w:rsidRPr="0028274E">
        <w:rPr>
          <w:bCs/>
          <w:i/>
          <w:iCs/>
          <w:sz w:val="26"/>
          <w:szCs w:val="26"/>
        </w:rPr>
        <w:t>Eight Centuries of Financial Folly</w:t>
      </w:r>
      <w:r>
        <w:rPr>
          <w:bCs/>
          <w:iCs/>
          <w:sz w:val="26"/>
          <w:szCs w:val="26"/>
        </w:rPr>
        <w:t>,</w:t>
      </w:r>
      <w:r w:rsidRPr="0028274E">
        <w:rPr>
          <w:bCs/>
          <w:i/>
          <w:iCs/>
          <w:sz w:val="26"/>
          <w:szCs w:val="26"/>
        </w:rPr>
        <w:t xml:space="preserve"> </w:t>
      </w:r>
      <w:r w:rsidRPr="0028274E">
        <w:rPr>
          <w:bCs/>
          <w:sz w:val="26"/>
          <w:szCs w:val="26"/>
        </w:rPr>
        <w:t>Princeton: P</w:t>
      </w:r>
      <w:r>
        <w:rPr>
          <w:bCs/>
          <w:sz w:val="26"/>
          <w:szCs w:val="26"/>
        </w:rPr>
        <w:t>rinceton University Press, 2009</w:t>
      </w:r>
      <w:r w:rsidRPr="0028274E">
        <w:rPr>
          <w:bCs/>
          <w:sz w:val="26"/>
          <w:szCs w:val="26"/>
        </w:rPr>
        <w:t>.</w:t>
      </w:r>
    </w:p>
    <w:p w14:paraId="463A0339" w14:textId="02EC81DA" w:rsidR="0028274E" w:rsidRPr="0028274E" w:rsidRDefault="00D01FE5" w:rsidP="00535BF7">
      <w:pPr>
        <w:spacing w:after="240" w:line="276" w:lineRule="auto"/>
        <w:rPr>
          <w:sz w:val="24"/>
          <w:szCs w:val="24"/>
        </w:rPr>
      </w:pPr>
      <w:r>
        <w:rPr>
          <w:bCs/>
          <w:sz w:val="26"/>
          <w:szCs w:val="26"/>
        </w:rPr>
        <w:t>Roosevelt, Elliott</w:t>
      </w:r>
      <w:r w:rsidR="00BB230E">
        <w:rPr>
          <w:bCs/>
          <w:sz w:val="26"/>
          <w:szCs w:val="26"/>
        </w:rPr>
        <w:t xml:space="preserve"> </w:t>
      </w:r>
      <w:r>
        <w:rPr>
          <w:bCs/>
          <w:sz w:val="26"/>
          <w:szCs w:val="26"/>
        </w:rPr>
        <w:t>(</w:t>
      </w:r>
      <w:r w:rsidR="00BB230E">
        <w:rPr>
          <w:bCs/>
          <w:sz w:val="26"/>
          <w:szCs w:val="26"/>
        </w:rPr>
        <w:t>ed</w:t>
      </w:r>
      <w:r w:rsidR="00956804">
        <w:rPr>
          <w:bCs/>
          <w:sz w:val="26"/>
          <w:szCs w:val="26"/>
        </w:rPr>
        <w:t>.</w:t>
      </w:r>
      <w:r>
        <w:rPr>
          <w:bCs/>
          <w:sz w:val="26"/>
          <w:szCs w:val="26"/>
        </w:rPr>
        <w:t>)</w:t>
      </w:r>
      <w:r w:rsidR="00BB230E">
        <w:rPr>
          <w:bCs/>
          <w:sz w:val="26"/>
          <w:szCs w:val="26"/>
        </w:rPr>
        <w:t xml:space="preserve">. </w:t>
      </w:r>
      <w:r w:rsidR="0028274E">
        <w:rPr>
          <w:bCs/>
          <w:sz w:val="26"/>
          <w:szCs w:val="26"/>
        </w:rPr>
        <w:t>‘</w:t>
      </w:r>
      <w:r w:rsidR="0028274E" w:rsidRPr="0028274E">
        <w:rPr>
          <w:bCs/>
          <w:sz w:val="26"/>
          <w:szCs w:val="26"/>
        </w:rPr>
        <w:t>Lett</w:t>
      </w:r>
      <w:r w:rsidR="0028274E">
        <w:rPr>
          <w:bCs/>
          <w:sz w:val="26"/>
          <w:szCs w:val="26"/>
        </w:rPr>
        <w:t>er to Co</w:t>
      </w:r>
      <w:r w:rsidR="00956804">
        <w:rPr>
          <w:bCs/>
          <w:sz w:val="26"/>
          <w:szCs w:val="26"/>
        </w:rPr>
        <w:t>l. Edward Mandell House’</w:t>
      </w:r>
      <w:r w:rsidR="0028274E" w:rsidRPr="0028274E">
        <w:rPr>
          <w:bCs/>
          <w:sz w:val="26"/>
          <w:szCs w:val="26"/>
        </w:rPr>
        <w:t xml:space="preserve"> (21 November</w:t>
      </w:r>
      <w:r w:rsidR="00BB230E">
        <w:rPr>
          <w:bCs/>
          <w:sz w:val="26"/>
          <w:szCs w:val="26"/>
        </w:rPr>
        <w:t>,</w:t>
      </w:r>
      <w:r w:rsidR="0028274E" w:rsidRPr="0028274E">
        <w:rPr>
          <w:bCs/>
          <w:sz w:val="26"/>
          <w:szCs w:val="26"/>
        </w:rPr>
        <w:t xml:space="preserve"> 1933)</w:t>
      </w:r>
      <w:r w:rsidR="00956804">
        <w:rPr>
          <w:bCs/>
          <w:sz w:val="26"/>
          <w:szCs w:val="26"/>
        </w:rPr>
        <w:t>,</w:t>
      </w:r>
      <w:r w:rsidR="0028274E" w:rsidRPr="0028274E">
        <w:rPr>
          <w:bCs/>
          <w:sz w:val="26"/>
          <w:szCs w:val="26"/>
        </w:rPr>
        <w:t xml:space="preserve"> in</w:t>
      </w:r>
      <w:r>
        <w:rPr>
          <w:bCs/>
          <w:sz w:val="26"/>
          <w:szCs w:val="26"/>
        </w:rPr>
        <w:t xml:space="preserve"> </w:t>
      </w:r>
      <w:r w:rsidR="0028274E" w:rsidRPr="0028274E">
        <w:rPr>
          <w:bCs/>
          <w:i/>
          <w:iCs/>
          <w:sz w:val="26"/>
          <w:szCs w:val="26"/>
        </w:rPr>
        <w:t>F.D.R.: His Personal Letters, 1928-1945</w:t>
      </w:r>
      <w:r w:rsidR="0028274E" w:rsidRPr="0028274E">
        <w:rPr>
          <w:bCs/>
          <w:sz w:val="26"/>
          <w:szCs w:val="26"/>
        </w:rPr>
        <w:t>,</w:t>
      </w:r>
      <w:r w:rsidR="0028274E">
        <w:rPr>
          <w:bCs/>
          <w:sz w:val="26"/>
          <w:szCs w:val="26"/>
        </w:rPr>
        <w:t xml:space="preserve"> </w:t>
      </w:r>
      <w:r w:rsidR="0028274E" w:rsidRPr="0028274E">
        <w:rPr>
          <w:bCs/>
          <w:sz w:val="26"/>
          <w:szCs w:val="26"/>
        </w:rPr>
        <w:t>New York</w:t>
      </w:r>
      <w:r w:rsidR="0028274E">
        <w:rPr>
          <w:bCs/>
          <w:sz w:val="26"/>
          <w:szCs w:val="26"/>
        </w:rPr>
        <w:t>: Duell, Sloan and Pearce, 1950</w:t>
      </w:r>
      <w:r w:rsidR="0028274E" w:rsidRPr="0028274E">
        <w:rPr>
          <w:bCs/>
          <w:sz w:val="26"/>
          <w:szCs w:val="26"/>
        </w:rPr>
        <w:t>.</w:t>
      </w:r>
    </w:p>
    <w:p w14:paraId="3A9A7494" w14:textId="2197B56D" w:rsidR="0028274E" w:rsidRPr="0028274E" w:rsidRDefault="0028274E" w:rsidP="00535BF7">
      <w:pPr>
        <w:spacing w:after="240" w:line="276" w:lineRule="auto"/>
        <w:rPr>
          <w:bCs/>
          <w:sz w:val="26"/>
          <w:szCs w:val="26"/>
        </w:rPr>
      </w:pPr>
      <w:r>
        <w:rPr>
          <w:bCs/>
          <w:sz w:val="26"/>
          <w:szCs w:val="26"/>
        </w:rPr>
        <w:t>Ross, Andrew.</w:t>
      </w:r>
      <w:r w:rsidRPr="0028274E">
        <w:rPr>
          <w:bCs/>
          <w:sz w:val="26"/>
          <w:szCs w:val="26"/>
        </w:rPr>
        <w:t xml:space="preserve"> </w:t>
      </w:r>
      <w:r w:rsidRPr="0028274E">
        <w:rPr>
          <w:bCs/>
          <w:i/>
          <w:iCs/>
          <w:sz w:val="26"/>
          <w:szCs w:val="26"/>
        </w:rPr>
        <w:t>Creditocracy and the Case for Debt Refusal</w:t>
      </w:r>
      <w:r w:rsidRPr="0028274E">
        <w:rPr>
          <w:bCs/>
          <w:sz w:val="26"/>
          <w:szCs w:val="26"/>
        </w:rPr>
        <w:t xml:space="preserve">, </w:t>
      </w:r>
      <w:r w:rsidR="00956804">
        <w:rPr>
          <w:bCs/>
          <w:sz w:val="26"/>
          <w:szCs w:val="26"/>
        </w:rPr>
        <w:t>New York: OR Books, 2014</w:t>
      </w:r>
      <w:r>
        <w:rPr>
          <w:bCs/>
          <w:sz w:val="26"/>
          <w:szCs w:val="26"/>
        </w:rPr>
        <w:t>.</w:t>
      </w:r>
    </w:p>
    <w:p w14:paraId="5277278F" w14:textId="375084D2" w:rsidR="007F71C3" w:rsidRPr="0028274E" w:rsidRDefault="0028274E" w:rsidP="00535BF7">
      <w:pPr>
        <w:widowControl/>
        <w:numPr>
          <w:ilvl w:val="12"/>
          <w:numId w:val="0"/>
        </w:numPr>
        <w:spacing w:after="240" w:line="276" w:lineRule="auto"/>
      </w:pPr>
      <w:r>
        <w:rPr>
          <w:bCs/>
          <w:sz w:val="26"/>
          <w:szCs w:val="26"/>
        </w:rPr>
        <w:t>Taibbi, Matt. ‘</w:t>
      </w:r>
      <w:r w:rsidRPr="0028274E">
        <w:rPr>
          <w:bCs/>
          <w:sz w:val="26"/>
          <w:szCs w:val="26"/>
        </w:rPr>
        <w:t>Greed and Debt: The True Story of Mitt Romney and Bain C</w:t>
      </w:r>
      <w:r>
        <w:rPr>
          <w:bCs/>
          <w:sz w:val="26"/>
          <w:szCs w:val="26"/>
        </w:rPr>
        <w:t>apital’,</w:t>
      </w:r>
      <w:r w:rsidR="00154A95">
        <w:rPr>
          <w:bCs/>
          <w:i/>
          <w:iCs/>
          <w:sz w:val="26"/>
          <w:szCs w:val="26"/>
        </w:rPr>
        <w:t xml:space="preserve"> </w:t>
      </w:r>
      <w:r w:rsidRPr="0028274E">
        <w:rPr>
          <w:bCs/>
          <w:i/>
          <w:iCs/>
          <w:sz w:val="26"/>
          <w:szCs w:val="26"/>
        </w:rPr>
        <w:t>Rolling Stone</w:t>
      </w:r>
      <w:r w:rsidR="00D01FE5">
        <w:rPr>
          <w:bCs/>
          <w:iCs/>
          <w:sz w:val="26"/>
          <w:szCs w:val="26"/>
        </w:rPr>
        <w:t>,</w:t>
      </w:r>
      <w:r w:rsidRPr="0028274E">
        <w:rPr>
          <w:bCs/>
          <w:i/>
          <w:iCs/>
          <w:sz w:val="26"/>
          <w:szCs w:val="26"/>
        </w:rPr>
        <w:t xml:space="preserve"> </w:t>
      </w:r>
      <w:r w:rsidR="00897AE1" w:rsidRPr="0028274E">
        <w:rPr>
          <w:bCs/>
          <w:sz w:val="26"/>
          <w:szCs w:val="26"/>
        </w:rPr>
        <w:t>29</w:t>
      </w:r>
      <w:r w:rsidR="00897AE1">
        <w:rPr>
          <w:bCs/>
          <w:sz w:val="26"/>
          <w:szCs w:val="26"/>
        </w:rPr>
        <w:t xml:space="preserve"> </w:t>
      </w:r>
      <w:r w:rsidRPr="0028274E">
        <w:rPr>
          <w:bCs/>
          <w:sz w:val="26"/>
          <w:szCs w:val="26"/>
        </w:rPr>
        <w:t>August 2012.</w:t>
      </w:r>
    </w:p>
    <w:sectPr w:rsidR="007F71C3" w:rsidRPr="0028274E" w:rsidSect="00535BF7">
      <w:type w:val="continuous"/>
      <w:pgSz w:w="11901" w:h="16840"/>
      <w:pgMar w:top="1440" w:right="1440" w:bottom="1440" w:left="1440"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080C2" w14:textId="77777777" w:rsidR="00F86833" w:rsidRDefault="00F86833">
      <w:r>
        <w:separator/>
      </w:r>
    </w:p>
  </w:endnote>
  <w:endnote w:type="continuationSeparator" w:id="0">
    <w:p w14:paraId="2EAAACA8" w14:textId="77777777" w:rsidR="00F86833" w:rsidRDefault="00F8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4EF94" w14:textId="77777777" w:rsidR="00F86833" w:rsidRDefault="00F86833" w:rsidP="00535B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67D848" w14:textId="77777777" w:rsidR="00F86833" w:rsidRDefault="00F86833" w:rsidP="00535B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1CCF5" w14:textId="77777777" w:rsidR="00F86833" w:rsidRDefault="00F86833" w:rsidP="00535B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2F4B">
      <w:rPr>
        <w:rStyle w:val="PageNumber"/>
        <w:noProof/>
      </w:rPr>
      <w:t>1</w:t>
    </w:r>
    <w:r>
      <w:rPr>
        <w:rStyle w:val="PageNumber"/>
      </w:rPr>
      <w:fldChar w:fldCharType="end"/>
    </w:r>
  </w:p>
  <w:p w14:paraId="3780E258" w14:textId="77777777" w:rsidR="00F86833" w:rsidRDefault="00F86833" w:rsidP="00535B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4CD28" w14:textId="77777777" w:rsidR="00F86833" w:rsidRDefault="00F86833">
      <w:r>
        <w:separator/>
      </w:r>
    </w:p>
  </w:footnote>
  <w:footnote w:type="continuationSeparator" w:id="0">
    <w:p w14:paraId="753155D2" w14:textId="77777777" w:rsidR="00F86833" w:rsidRDefault="00F86833">
      <w:r>
        <w:continuationSeparator/>
      </w:r>
    </w:p>
  </w:footnote>
  <w:footnote w:id="1">
    <w:p w14:paraId="29DF767D" w14:textId="5E08A77C" w:rsidR="00F86833" w:rsidRPr="00E862F3" w:rsidRDefault="00F86833" w:rsidP="00535BF7">
      <w:pPr>
        <w:pStyle w:val="FootnoteText"/>
        <w:rPr>
          <w:sz w:val="22"/>
        </w:rPr>
      </w:pPr>
      <w:r w:rsidRPr="003B6D2C">
        <w:rPr>
          <w:rStyle w:val="FootnoteReference"/>
          <w:sz w:val="20"/>
        </w:rPr>
        <w:footnoteRef/>
      </w:r>
      <w:r w:rsidRPr="003B6D2C">
        <w:rPr>
          <w:sz w:val="20"/>
        </w:rPr>
        <w:t xml:space="preserve"> </w:t>
      </w:r>
      <w:r>
        <w:rPr>
          <w:bCs/>
          <w:sz w:val="22"/>
          <w:szCs w:val="26"/>
        </w:rPr>
        <w:t>Thomas Pi</w:t>
      </w:r>
      <w:r w:rsidRPr="00E862F3">
        <w:rPr>
          <w:bCs/>
          <w:sz w:val="22"/>
          <w:szCs w:val="26"/>
        </w:rPr>
        <w:t>ketty,</w:t>
      </w:r>
      <w:r w:rsidRPr="00E862F3">
        <w:rPr>
          <w:bCs/>
          <w:i/>
          <w:iCs/>
          <w:sz w:val="22"/>
          <w:szCs w:val="26"/>
        </w:rPr>
        <w:t xml:space="preserve"> Capital in the Twenty-First Century, </w:t>
      </w:r>
      <w:r w:rsidRPr="00E862F3">
        <w:rPr>
          <w:bCs/>
          <w:sz w:val="22"/>
          <w:szCs w:val="26"/>
        </w:rPr>
        <w:t>Cambridge: Harvard University Press, 2014; ‘Striking it Richer: The Evolution of Top Incomes in the United States’, a series of data reports by Emmanuel Saez and Tho</w:t>
      </w:r>
      <w:r>
        <w:rPr>
          <w:bCs/>
          <w:sz w:val="22"/>
          <w:szCs w:val="26"/>
        </w:rPr>
        <w:t>mas Piketty, outlines how the 1 percent</w:t>
      </w:r>
      <w:r w:rsidRPr="00E862F3">
        <w:rPr>
          <w:bCs/>
          <w:sz w:val="22"/>
          <w:szCs w:val="26"/>
        </w:rPr>
        <w:t xml:space="preserve"> have captured income growth. The first in the series was ‘Income Inequality in the United States, 1913-1998’</w:t>
      </w:r>
      <w:r>
        <w:rPr>
          <w:bCs/>
          <w:sz w:val="22"/>
          <w:szCs w:val="26"/>
        </w:rPr>
        <w:t>,</w:t>
      </w:r>
      <w:r w:rsidRPr="00E862F3">
        <w:rPr>
          <w:bCs/>
          <w:sz w:val="22"/>
          <w:szCs w:val="26"/>
        </w:rPr>
        <w:t xml:space="preserve"> </w:t>
      </w:r>
      <w:r w:rsidRPr="00E862F3">
        <w:rPr>
          <w:bCs/>
          <w:i/>
          <w:iCs/>
          <w:sz w:val="22"/>
          <w:szCs w:val="26"/>
        </w:rPr>
        <w:t>Quarterly Journal of Economics</w:t>
      </w:r>
      <w:r>
        <w:rPr>
          <w:bCs/>
          <w:sz w:val="22"/>
          <w:szCs w:val="26"/>
        </w:rPr>
        <w:t>, 118.1 (2003): 1-</w:t>
      </w:r>
      <w:r w:rsidRPr="00E862F3">
        <w:rPr>
          <w:bCs/>
          <w:sz w:val="22"/>
          <w:szCs w:val="26"/>
        </w:rPr>
        <w:t>39.</w:t>
      </w:r>
      <w:r w:rsidRPr="00E862F3">
        <w:rPr>
          <w:sz w:val="22"/>
          <w:szCs w:val="26"/>
        </w:rPr>
        <w:t xml:space="preserve"> </w:t>
      </w:r>
      <w:r w:rsidRPr="00E862F3">
        <w:rPr>
          <w:bCs/>
          <w:sz w:val="22"/>
          <w:szCs w:val="26"/>
        </w:rPr>
        <w:t xml:space="preserve">The most recent update can be found at </w:t>
      </w:r>
      <w:hyperlink r:id="rId1" w:history="1">
        <w:r w:rsidRPr="004936BD">
          <w:rPr>
            <w:rStyle w:val="Hyperlink"/>
            <w:sz w:val="22"/>
          </w:rPr>
          <w:t>http://elsa.berkeley.edu/~saez/saez-UStopincomes-2012.pdf</w:t>
        </w:r>
      </w:hyperlink>
      <w:r>
        <w:rPr>
          <w:sz w:val="22"/>
        </w:rPr>
        <w:t xml:space="preserve"> </w:t>
      </w:r>
      <w:r w:rsidRPr="00E862F3">
        <w:rPr>
          <w:bCs/>
          <w:sz w:val="22"/>
          <w:szCs w:val="26"/>
        </w:rPr>
        <w:t>showing that</w:t>
      </w:r>
      <w:r>
        <w:rPr>
          <w:bCs/>
          <w:sz w:val="22"/>
          <w:szCs w:val="26"/>
        </w:rPr>
        <w:t xml:space="preserve"> the top 1 percent earners captured 95 percent</w:t>
      </w:r>
      <w:r w:rsidRPr="00E862F3">
        <w:rPr>
          <w:bCs/>
          <w:sz w:val="22"/>
          <w:szCs w:val="26"/>
        </w:rPr>
        <w:t xml:space="preserve"> of the income gains since the recession officially ended. Also see Josh Bivens and Lawrence Mishel, ‘The Pay of Corporate Executives and Financial Professionals as Evidence of Rents in Top 1 Percent Incomes’,</w:t>
      </w:r>
      <w:r w:rsidRPr="00E862F3">
        <w:rPr>
          <w:bCs/>
          <w:i/>
          <w:iCs/>
          <w:sz w:val="22"/>
          <w:szCs w:val="26"/>
        </w:rPr>
        <w:t xml:space="preserve"> Journal of Economic Perspectives</w:t>
      </w:r>
      <w:r w:rsidRPr="00E862F3">
        <w:rPr>
          <w:bCs/>
          <w:sz w:val="22"/>
          <w:szCs w:val="26"/>
        </w:rPr>
        <w:t xml:space="preserve"> (Summer 2013), and Edward N. Wolff, ‘The Asset Price Meltdown and the Wealth of the Middle Class’, New York University, 2012 accessible at </w:t>
      </w:r>
      <w:hyperlink r:id="rId2" w:history="1">
        <w:r w:rsidRPr="008D0A25">
          <w:rPr>
            <w:rStyle w:val="Hyperlink"/>
            <w:bCs/>
            <w:sz w:val="22"/>
            <w:szCs w:val="26"/>
          </w:rPr>
          <w:t>https://appam.confex.com/appam/2012/webprogram/Paper2134.html</w:t>
        </w:r>
      </w:hyperlink>
      <w:r w:rsidRPr="00E862F3">
        <w:rPr>
          <w:bCs/>
          <w:sz w:val="22"/>
          <w:szCs w:val="26"/>
        </w:rPr>
        <w:t>.</w:t>
      </w:r>
    </w:p>
  </w:footnote>
  <w:footnote w:id="2">
    <w:p w14:paraId="7CD150B4" w14:textId="32D4AF07" w:rsidR="00F86833" w:rsidRPr="00E862F3" w:rsidRDefault="00F86833" w:rsidP="00535BF7">
      <w:pPr>
        <w:pStyle w:val="FootnoteText"/>
        <w:rPr>
          <w:sz w:val="22"/>
        </w:rPr>
      </w:pPr>
      <w:r w:rsidRPr="00E862F3">
        <w:rPr>
          <w:rStyle w:val="FootnoteReference"/>
          <w:sz w:val="22"/>
        </w:rPr>
        <w:footnoteRef/>
      </w:r>
      <w:r w:rsidRPr="00E862F3">
        <w:rPr>
          <w:sz w:val="22"/>
        </w:rPr>
        <w:t xml:space="preserve"> </w:t>
      </w:r>
      <w:r w:rsidRPr="00E862F3">
        <w:rPr>
          <w:bCs/>
          <w:sz w:val="22"/>
          <w:szCs w:val="26"/>
        </w:rPr>
        <w:t xml:space="preserve">Many of the arguments, and a good deal of the content, for this article are drawn from Andrew Ross, </w:t>
      </w:r>
      <w:r w:rsidRPr="00E862F3">
        <w:rPr>
          <w:bCs/>
          <w:i/>
          <w:iCs/>
          <w:sz w:val="22"/>
          <w:szCs w:val="26"/>
        </w:rPr>
        <w:t>Creditocracy and the Case for Debt Refusal</w:t>
      </w:r>
      <w:r w:rsidRPr="00E862F3">
        <w:rPr>
          <w:bCs/>
          <w:sz w:val="22"/>
          <w:szCs w:val="26"/>
        </w:rPr>
        <w:t xml:space="preserve">, </w:t>
      </w:r>
      <w:r>
        <w:rPr>
          <w:bCs/>
          <w:sz w:val="22"/>
          <w:szCs w:val="26"/>
        </w:rPr>
        <w:t>OR Books, 2014. A</w:t>
      </w:r>
      <w:r w:rsidRPr="00E862F3">
        <w:rPr>
          <w:bCs/>
          <w:sz w:val="22"/>
          <w:szCs w:val="26"/>
        </w:rPr>
        <w:t>vailable at</w:t>
      </w:r>
      <w:r>
        <w:rPr>
          <w:bCs/>
          <w:sz w:val="22"/>
          <w:szCs w:val="26"/>
        </w:rPr>
        <w:t>:</w:t>
      </w:r>
      <w:r w:rsidRPr="00E862F3">
        <w:rPr>
          <w:bCs/>
          <w:sz w:val="22"/>
          <w:szCs w:val="26"/>
        </w:rPr>
        <w:t xml:space="preserve"> </w:t>
      </w:r>
      <w:hyperlink r:id="rId3" w:history="1">
        <w:r w:rsidRPr="008D0A25">
          <w:rPr>
            <w:rStyle w:val="Hyperlink"/>
            <w:bCs/>
            <w:sz w:val="22"/>
            <w:szCs w:val="26"/>
          </w:rPr>
          <w:t>http://www.orbooks.com/catalog/creditocracy/</w:t>
        </w:r>
      </w:hyperlink>
      <w:r w:rsidRPr="00E862F3">
        <w:rPr>
          <w:bCs/>
          <w:sz w:val="22"/>
          <w:szCs w:val="26"/>
        </w:rPr>
        <w:t>.</w:t>
      </w:r>
    </w:p>
  </w:footnote>
  <w:footnote w:id="3">
    <w:p w14:paraId="05120B8C" w14:textId="77777777" w:rsidR="00F86833" w:rsidRPr="003B6D2C" w:rsidRDefault="00F86833" w:rsidP="00535BF7">
      <w:pPr>
        <w:pStyle w:val="FootnoteText"/>
        <w:rPr>
          <w:sz w:val="22"/>
        </w:rPr>
      </w:pPr>
      <w:r w:rsidRPr="003B6D2C">
        <w:rPr>
          <w:rStyle w:val="FootnoteReference"/>
          <w:sz w:val="22"/>
        </w:rPr>
        <w:t>3</w:t>
      </w:r>
      <w:r w:rsidRPr="003B6D2C">
        <w:rPr>
          <w:sz w:val="22"/>
        </w:rPr>
        <w:t xml:space="preserve"> </w:t>
      </w:r>
      <w:r w:rsidRPr="003B6D2C">
        <w:rPr>
          <w:bCs/>
          <w:sz w:val="22"/>
          <w:szCs w:val="26"/>
        </w:rPr>
        <w:t xml:space="preserve">Jeff Madrick, ‘A Bit of Good News’, </w:t>
      </w:r>
      <w:r w:rsidRPr="003B6D2C">
        <w:rPr>
          <w:bCs/>
          <w:i/>
          <w:iCs/>
          <w:sz w:val="22"/>
          <w:szCs w:val="26"/>
        </w:rPr>
        <w:t>Harper’s</w:t>
      </w:r>
      <w:r>
        <w:rPr>
          <w:bCs/>
          <w:iCs/>
          <w:sz w:val="22"/>
          <w:szCs w:val="26"/>
        </w:rPr>
        <w:t xml:space="preserve">, </w:t>
      </w:r>
      <w:r>
        <w:rPr>
          <w:bCs/>
          <w:sz w:val="22"/>
          <w:szCs w:val="26"/>
        </w:rPr>
        <w:t>April 2013: 6-</w:t>
      </w:r>
      <w:r w:rsidRPr="003B6D2C">
        <w:rPr>
          <w:bCs/>
          <w:sz w:val="22"/>
          <w:szCs w:val="26"/>
        </w:rPr>
        <w:t>7.</w:t>
      </w:r>
    </w:p>
  </w:footnote>
  <w:footnote w:id="4">
    <w:p w14:paraId="1246524A" w14:textId="5790EF33" w:rsidR="00F86833" w:rsidRDefault="00F86833" w:rsidP="00B624D3">
      <w:pPr>
        <w:pStyle w:val="CommentText"/>
      </w:pPr>
      <w:r>
        <w:rPr>
          <w:rStyle w:val="FootnoteReference"/>
        </w:rPr>
        <w:footnoteRef/>
      </w:r>
      <w:r>
        <w:t xml:space="preserve"> See, </w:t>
      </w:r>
      <w:hyperlink r:id="rId4" w:history="1">
        <w:r w:rsidRPr="00B624D3">
          <w:rPr>
            <w:rStyle w:val="Hyperlink"/>
          </w:rPr>
          <w:t>http://dealbook.nytimes.com/2013/03/11/big-banks-go-wrong-but-pay-a-little-price/</w:t>
        </w:r>
      </w:hyperlink>
    </w:p>
  </w:footnote>
  <w:footnote w:id="5">
    <w:p w14:paraId="20519A9B" w14:textId="77777777" w:rsidR="00F86833" w:rsidRPr="003B6D2C" w:rsidRDefault="00F86833" w:rsidP="00535BF7">
      <w:pPr>
        <w:pStyle w:val="FootnoteText"/>
        <w:rPr>
          <w:sz w:val="22"/>
        </w:rPr>
      </w:pPr>
      <w:r w:rsidRPr="003B6D2C">
        <w:rPr>
          <w:rStyle w:val="FootnoteReference"/>
          <w:sz w:val="22"/>
        </w:rPr>
        <w:t>4</w:t>
      </w:r>
      <w:r w:rsidRPr="003B6D2C">
        <w:rPr>
          <w:sz w:val="22"/>
        </w:rPr>
        <w:t xml:space="preserve"> </w:t>
      </w:r>
      <w:r w:rsidRPr="003B6D2C">
        <w:rPr>
          <w:bCs/>
          <w:sz w:val="22"/>
          <w:szCs w:val="26"/>
        </w:rPr>
        <w:t xml:space="preserve">See Nomi Prins, </w:t>
      </w:r>
      <w:r w:rsidRPr="003B6D2C">
        <w:rPr>
          <w:bCs/>
          <w:i/>
          <w:iCs/>
          <w:sz w:val="22"/>
          <w:szCs w:val="26"/>
        </w:rPr>
        <w:t>All</w:t>
      </w:r>
      <w:r>
        <w:rPr>
          <w:bCs/>
          <w:i/>
          <w:iCs/>
          <w:sz w:val="22"/>
          <w:szCs w:val="26"/>
        </w:rPr>
        <w:t xml:space="preserve"> </w:t>
      </w:r>
      <w:r w:rsidRPr="003B6D2C">
        <w:rPr>
          <w:bCs/>
          <w:i/>
          <w:iCs/>
          <w:sz w:val="22"/>
          <w:szCs w:val="26"/>
        </w:rPr>
        <w:t>the Presidents</w:t>
      </w:r>
      <w:r>
        <w:rPr>
          <w:bCs/>
          <w:i/>
          <w:iCs/>
          <w:sz w:val="22"/>
          <w:szCs w:val="26"/>
        </w:rPr>
        <w:t>’</w:t>
      </w:r>
      <w:r w:rsidRPr="003B6D2C">
        <w:rPr>
          <w:bCs/>
          <w:i/>
          <w:iCs/>
          <w:sz w:val="22"/>
          <w:szCs w:val="26"/>
        </w:rPr>
        <w:t xml:space="preserve"> Bankers: The Hidden Alliances that Drive American Power, </w:t>
      </w:r>
      <w:r w:rsidRPr="003B6D2C">
        <w:rPr>
          <w:bCs/>
          <w:sz w:val="22"/>
          <w:szCs w:val="26"/>
        </w:rPr>
        <w:t>New York: Avalon, 2013.</w:t>
      </w:r>
    </w:p>
  </w:footnote>
  <w:footnote w:id="6">
    <w:p w14:paraId="75A4EE3E" w14:textId="33101F27" w:rsidR="00F86833" w:rsidRPr="003B6D2C" w:rsidRDefault="00F86833" w:rsidP="00535BF7">
      <w:pPr>
        <w:widowControl/>
        <w:rPr>
          <w:sz w:val="22"/>
        </w:rPr>
      </w:pPr>
      <w:r w:rsidRPr="003B6D2C">
        <w:rPr>
          <w:rStyle w:val="FootnoteReference"/>
          <w:sz w:val="22"/>
        </w:rPr>
        <w:t>5</w:t>
      </w:r>
      <w:r w:rsidRPr="003B6D2C">
        <w:rPr>
          <w:sz w:val="22"/>
        </w:rPr>
        <w:t xml:space="preserve"> </w:t>
      </w:r>
      <w:r w:rsidRPr="003B6D2C">
        <w:rPr>
          <w:bCs/>
          <w:sz w:val="22"/>
          <w:szCs w:val="26"/>
        </w:rPr>
        <w:t>Letter to Col. Edward Mandell House (21 November 1933)</w:t>
      </w:r>
      <w:r>
        <w:rPr>
          <w:bCs/>
          <w:sz w:val="22"/>
          <w:szCs w:val="26"/>
        </w:rPr>
        <w:t>,</w:t>
      </w:r>
      <w:r w:rsidRPr="003B6D2C">
        <w:rPr>
          <w:bCs/>
          <w:sz w:val="22"/>
          <w:szCs w:val="26"/>
        </w:rPr>
        <w:t xml:space="preserve"> in</w:t>
      </w:r>
      <w:r w:rsidRPr="00ED7BD5">
        <w:rPr>
          <w:bCs/>
          <w:sz w:val="22"/>
          <w:szCs w:val="26"/>
        </w:rPr>
        <w:t xml:space="preserve"> </w:t>
      </w:r>
      <w:r>
        <w:rPr>
          <w:bCs/>
          <w:sz w:val="22"/>
          <w:szCs w:val="26"/>
        </w:rPr>
        <w:t>Elliott Roosevelt (ed.)</w:t>
      </w:r>
      <w:r w:rsidRPr="003B6D2C">
        <w:rPr>
          <w:bCs/>
          <w:sz w:val="22"/>
          <w:szCs w:val="26"/>
        </w:rPr>
        <w:t xml:space="preserve"> </w:t>
      </w:r>
      <w:r w:rsidRPr="003B6D2C">
        <w:rPr>
          <w:bCs/>
          <w:i/>
          <w:iCs/>
          <w:sz w:val="22"/>
          <w:szCs w:val="26"/>
        </w:rPr>
        <w:t>F.D.R.: His Personal Letters, 1928-1945</w:t>
      </w:r>
      <w:r>
        <w:rPr>
          <w:bCs/>
          <w:sz w:val="22"/>
          <w:szCs w:val="26"/>
        </w:rPr>
        <w:t xml:space="preserve">, New York: </w:t>
      </w:r>
      <w:r w:rsidRPr="003B6D2C">
        <w:rPr>
          <w:bCs/>
          <w:sz w:val="22"/>
          <w:szCs w:val="26"/>
        </w:rPr>
        <w:t>Duell, Sloan and Pearce, 1950, p. 373.</w:t>
      </w:r>
    </w:p>
    <w:p w14:paraId="5354BABB" w14:textId="77777777" w:rsidR="00F86833" w:rsidRPr="003B6D2C" w:rsidRDefault="00F86833" w:rsidP="00535BF7">
      <w:pPr>
        <w:pStyle w:val="FootnoteText"/>
        <w:rPr>
          <w:sz w:val="22"/>
        </w:rPr>
      </w:pPr>
    </w:p>
  </w:footnote>
  <w:footnote w:id="7">
    <w:p w14:paraId="748C7BA9" w14:textId="77777777" w:rsidR="00F86833" w:rsidRPr="003B6D2C" w:rsidRDefault="00F86833" w:rsidP="00535BF7">
      <w:pPr>
        <w:pStyle w:val="FootnoteText"/>
        <w:rPr>
          <w:sz w:val="22"/>
        </w:rPr>
      </w:pPr>
      <w:r w:rsidRPr="003B6D2C">
        <w:rPr>
          <w:rStyle w:val="FootnoteReference"/>
          <w:sz w:val="22"/>
        </w:rPr>
        <w:t>6</w:t>
      </w:r>
      <w:r w:rsidRPr="003B6D2C">
        <w:rPr>
          <w:sz w:val="22"/>
        </w:rPr>
        <w:t xml:space="preserve"> </w:t>
      </w:r>
      <w:r w:rsidRPr="003B6D2C">
        <w:rPr>
          <w:bCs/>
          <w:sz w:val="22"/>
          <w:szCs w:val="26"/>
        </w:rPr>
        <w:t>As quoted in Robert Manning,</w:t>
      </w:r>
      <w:r w:rsidRPr="003B6D2C">
        <w:rPr>
          <w:bCs/>
          <w:i/>
          <w:iCs/>
          <w:sz w:val="22"/>
          <w:szCs w:val="26"/>
        </w:rPr>
        <w:t xml:space="preserve"> Credit Card Nation: The Consequences of America’s Addiction to Credit Cards, </w:t>
      </w:r>
      <w:r w:rsidRPr="003B6D2C">
        <w:rPr>
          <w:bCs/>
          <w:sz w:val="22"/>
          <w:szCs w:val="26"/>
        </w:rPr>
        <w:t>New York: Basic Books, 2000, p. 27.</w:t>
      </w:r>
    </w:p>
  </w:footnote>
  <w:footnote w:id="8">
    <w:p w14:paraId="4C70F988" w14:textId="77777777" w:rsidR="00F86833" w:rsidRPr="003B6D2C" w:rsidRDefault="00F86833" w:rsidP="00535BF7">
      <w:pPr>
        <w:pStyle w:val="FootnoteText"/>
        <w:rPr>
          <w:sz w:val="22"/>
        </w:rPr>
      </w:pPr>
      <w:r w:rsidRPr="003B6D2C">
        <w:rPr>
          <w:rStyle w:val="FootnoteReference"/>
          <w:sz w:val="22"/>
        </w:rPr>
        <w:t>6</w:t>
      </w:r>
      <w:r w:rsidRPr="003B6D2C">
        <w:rPr>
          <w:sz w:val="22"/>
        </w:rPr>
        <w:t xml:space="preserve"> </w:t>
      </w:r>
      <w:r w:rsidRPr="003B6D2C">
        <w:rPr>
          <w:bCs/>
          <w:sz w:val="22"/>
          <w:szCs w:val="26"/>
        </w:rPr>
        <w:t>According to an August 2013 report from the Federal Reserve Bank of New York, almost 15</w:t>
      </w:r>
      <w:r>
        <w:rPr>
          <w:bCs/>
          <w:sz w:val="22"/>
          <w:szCs w:val="26"/>
        </w:rPr>
        <w:t xml:space="preserve"> percent</w:t>
      </w:r>
      <w:r w:rsidRPr="003B6D2C">
        <w:rPr>
          <w:bCs/>
          <w:sz w:val="22"/>
          <w:szCs w:val="26"/>
        </w:rPr>
        <w:t xml:space="preserve"> of all credit reports</w:t>
      </w:r>
      <w:r>
        <w:rPr>
          <w:bCs/>
          <w:sz w:val="22"/>
          <w:szCs w:val="26"/>
        </w:rPr>
        <w:t xml:space="preserve"> </w:t>
      </w:r>
      <w:r w:rsidRPr="003B6D2C">
        <w:rPr>
          <w:bCs/>
          <w:sz w:val="22"/>
          <w:szCs w:val="26"/>
        </w:rPr>
        <w:t>–</w:t>
      </w:r>
      <w:r>
        <w:rPr>
          <w:bCs/>
          <w:sz w:val="22"/>
          <w:szCs w:val="26"/>
        </w:rPr>
        <w:t xml:space="preserve"> </w:t>
      </w:r>
      <w:r w:rsidRPr="003B6D2C">
        <w:rPr>
          <w:bCs/>
          <w:sz w:val="22"/>
          <w:szCs w:val="26"/>
        </w:rPr>
        <w:t>covering an estimated 30 million consumers</w:t>
      </w:r>
      <w:r>
        <w:rPr>
          <w:bCs/>
          <w:sz w:val="22"/>
          <w:szCs w:val="26"/>
        </w:rPr>
        <w:t xml:space="preserve"> </w:t>
      </w:r>
      <w:r w:rsidRPr="003B6D2C">
        <w:rPr>
          <w:bCs/>
          <w:sz w:val="22"/>
          <w:szCs w:val="26"/>
        </w:rPr>
        <w:t>–</w:t>
      </w:r>
      <w:r>
        <w:rPr>
          <w:bCs/>
          <w:sz w:val="22"/>
          <w:szCs w:val="26"/>
        </w:rPr>
        <w:t xml:space="preserve"> </w:t>
      </w:r>
      <w:r w:rsidRPr="003B6D2C">
        <w:rPr>
          <w:bCs/>
          <w:sz w:val="22"/>
          <w:szCs w:val="26"/>
        </w:rPr>
        <w:t>displayed collection items from debt collection. In other words, one in seven Americans was being, or had been, hounded by debt collectors.</w:t>
      </w:r>
      <w:r w:rsidRPr="003B6D2C">
        <w:rPr>
          <w:bCs/>
          <w:i/>
          <w:iCs/>
          <w:sz w:val="22"/>
          <w:szCs w:val="26"/>
        </w:rPr>
        <w:t xml:space="preserve"> Quarterly Report on Household Debt and Credit </w:t>
      </w:r>
      <w:r w:rsidRPr="003B6D2C">
        <w:rPr>
          <w:bCs/>
          <w:sz w:val="22"/>
          <w:szCs w:val="26"/>
        </w:rPr>
        <w:t xml:space="preserve">(August 2013) accessible at </w:t>
      </w:r>
      <w:hyperlink r:id="rId5" w:history="1">
        <w:r w:rsidRPr="008D0A25">
          <w:rPr>
            <w:rStyle w:val="Hyperlink"/>
            <w:bCs/>
            <w:sz w:val="22"/>
            <w:szCs w:val="26"/>
          </w:rPr>
          <w:t>http://www.newyorkfed.org/research/national_economy/householdcredit/DistrictReport_Q22013.pdf</w:t>
        </w:r>
      </w:hyperlink>
      <w:r w:rsidRPr="003B6D2C">
        <w:rPr>
          <w:bCs/>
          <w:sz w:val="22"/>
          <w:szCs w:val="26"/>
        </w:rPr>
        <w:t>.</w:t>
      </w:r>
    </w:p>
  </w:footnote>
  <w:footnote w:id="9">
    <w:p w14:paraId="2521A90E" w14:textId="67B7CDE1" w:rsidR="00F86833" w:rsidRPr="003B6D2C" w:rsidRDefault="00F86833" w:rsidP="00535BF7">
      <w:pPr>
        <w:pStyle w:val="FootnoteText"/>
        <w:rPr>
          <w:sz w:val="22"/>
        </w:rPr>
      </w:pPr>
      <w:r w:rsidRPr="003B6D2C">
        <w:rPr>
          <w:rStyle w:val="FootnoteReference"/>
          <w:sz w:val="22"/>
        </w:rPr>
        <w:t>7</w:t>
      </w:r>
      <w:r w:rsidRPr="003B6D2C">
        <w:rPr>
          <w:sz w:val="22"/>
        </w:rPr>
        <w:t xml:space="preserve"> </w:t>
      </w:r>
      <w:r w:rsidRPr="003B6D2C">
        <w:rPr>
          <w:bCs/>
          <w:sz w:val="22"/>
          <w:szCs w:val="26"/>
        </w:rPr>
        <w:t>Matt Taibbi, ‘Greed and Debt: The True Story of Mitt Romney and Bain Capital’,</w:t>
      </w:r>
      <w:r w:rsidRPr="003B6D2C">
        <w:rPr>
          <w:bCs/>
          <w:i/>
          <w:iCs/>
          <w:sz w:val="22"/>
          <w:szCs w:val="26"/>
        </w:rPr>
        <w:t xml:space="preserve"> Rolling </w:t>
      </w:r>
      <w:r>
        <w:rPr>
          <w:bCs/>
          <w:i/>
          <w:iCs/>
          <w:sz w:val="22"/>
          <w:szCs w:val="26"/>
        </w:rPr>
        <w:t>Stone</w:t>
      </w:r>
      <w:r>
        <w:rPr>
          <w:bCs/>
          <w:iCs/>
          <w:sz w:val="22"/>
          <w:szCs w:val="26"/>
        </w:rPr>
        <w:t xml:space="preserve">, </w:t>
      </w:r>
      <w:r w:rsidRPr="00535BF7">
        <w:rPr>
          <w:bCs/>
          <w:iCs/>
          <w:sz w:val="22"/>
          <w:szCs w:val="26"/>
        </w:rPr>
        <w:t>29</w:t>
      </w:r>
      <w:r>
        <w:rPr>
          <w:bCs/>
          <w:iCs/>
          <w:sz w:val="22"/>
          <w:szCs w:val="26"/>
        </w:rPr>
        <w:t xml:space="preserve"> </w:t>
      </w:r>
      <w:r>
        <w:rPr>
          <w:bCs/>
          <w:sz w:val="22"/>
          <w:szCs w:val="26"/>
        </w:rPr>
        <w:t>August 2012</w:t>
      </w:r>
      <w:r w:rsidRPr="003B6D2C">
        <w:rPr>
          <w:bCs/>
          <w:sz w:val="22"/>
          <w:szCs w:val="26"/>
        </w:rPr>
        <w:t>.</w:t>
      </w:r>
    </w:p>
  </w:footnote>
  <w:footnote w:id="10">
    <w:p w14:paraId="175F3EFA" w14:textId="77777777" w:rsidR="00F86833" w:rsidRPr="003B6D2C" w:rsidRDefault="00F86833" w:rsidP="00535BF7">
      <w:pPr>
        <w:pStyle w:val="FootnoteText"/>
        <w:rPr>
          <w:sz w:val="22"/>
        </w:rPr>
      </w:pPr>
      <w:r w:rsidRPr="003B6D2C">
        <w:rPr>
          <w:rStyle w:val="FootnoteReference"/>
          <w:sz w:val="22"/>
        </w:rPr>
        <w:t>8</w:t>
      </w:r>
      <w:r w:rsidRPr="003B6D2C">
        <w:rPr>
          <w:sz w:val="22"/>
        </w:rPr>
        <w:t xml:space="preserve"> </w:t>
      </w:r>
      <w:r w:rsidRPr="003B6D2C">
        <w:rPr>
          <w:bCs/>
          <w:sz w:val="22"/>
          <w:szCs w:val="26"/>
        </w:rPr>
        <w:t xml:space="preserve">James MacDonald, </w:t>
      </w:r>
      <w:r w:rsidRPr="003B6D2C">
        <w:rPr>
          <w:bCs/>
          <w:i/>
          <w:iCs/>
          <w:sz w:val="22"/>
          <w:szCs w:val="26"/>
        </w:rPr>
        <w:t>A Free Nation Deep in Debt: The Financial Roots of Democracy</w:t>
      </w:r>
      <w:r>
        <w:rPr>
          <w:bCs/>
          <w:iCs/>
          <w:sz w:val="22"/>
          <w:szCs w:val="26"/>
        </w:rPr>
        <w:t>,</w:t>
      </w:r>
      <w:r w:rsidRPr="003B6D2C">
        <w:rPr>
          <w:bCs/>
          <w:sz w:val="22"/>
          <w:szCs w:val="26"/>
        </w:rPr>
        <w:t xml:space="preserve"> New York: Farrar, Strauss &amp; Giroux, 2003.</w:t>
      </w:r>
    </w:p>
  </w:footnote>
  <w:footnote w:id="11">
    <w:p w14:paraId="3BFFBBD6" w14:textId="6DE90B8F" w:rsidR="00F86833" w:rsidRPr="003B6D2C" w:rsidRDefault="00F86833" w:rsidP="00535BF7">
      <w:pPr>
        <w:pStyle w:val="FootnoteText"/>
        <w:rPr>
          <w:sz w:val="22"/>
        </w:rPr>
      </w:pPr>
      <w:r w:rsidRPr="003B6D2C">
        <w:rPr>
          <w:rStyle w:val="FootnoteReference"/>
          <w:sz w:val="22"/>
        </w:rPr>
        <w:t>9</w:t>
      </w:r>
      <w:r w:rsidRPr="003B6D2C">
        <w:rPr>
          <w:sz w:val="22"/>
        </w:rPr>
        <w:t xml:space="preserve"> </w:t>
      </w:r>
      <w:r w:rsidRPr="003B6D2C">
        <w:rPr>
          <w:bCs/>
          <w:sz w:val="22"/>
          <w:szCs w:val="26"/>
        </w:rPr>
        <w:t>Peter Eavis and Ben Protess, ‘Considering the Fairness of JPMorgan’s Deal’,</w:t>
      </w:r>
      <w:r w:rsidRPr="003B6D2C">
        <w:rPr>
          <w:bCs/>
          <w:i/>
          <w:iCs/>
          <w:sz w:val="22"/>
          <w:szCs w:val="26"/>
        </w:rPr>
        <w:t xml:space="preserve"> </w:t>
      </w:r>
      <w:r>
        <w:rPr>
          <w:bCs/>
          <w:i/>
          <w:iCs/>
          <w:sz w:val="22"/>
          <w:szCs w:val="26"/>
        </w:rPr>
        <w:t xml:space="preserve">The </w:t>
      </w:r>
      <w:r w:rsidRPr="003B6D2C">
        <w:rPr>
          <w:bCs/>
          <w:i/>
          <w:iCs/>
          <w:sz w:val="22"/>
          <w:szCs w:val="26"/>
        </w:rPr>
        <w:t xml:space="preserve">New York Times, </w:t>
      </w:r>
      <w:r>
        <w:rPr>
          <w:bCs/>
          <w:iCs/>
          <w:sz w:val="22"/>
          <w:szCs w:val="26"/>
        </w:rPr>
        <w:t xml:space="preserve">22 </w:t>
      </w:r>
      <w:r>
        <w:rPr>
          <w:bCs/>
          <w:sz w:val="22"/>
          <w:szCs w:val="26"/>
        </w:rPr>
        <w:t>October</w:t>
      </w:r>
      <w:r w:rsidRPr="003B6D2C">
        <w:rPr>
          <w:bCs/>
          <w:sz w:val="22"/>
          <w:szCs w:val="26"/>
        </w:rPr>
        <w:t xml:space="preserve"> 2013.</w:t>
      </w:r>
    </w:p>
  </w:footnote>
  <w:footnote w:id="12">
    <w:p w14:paraId="5CD5D15D" w14:textId="168442EA" w:rsidR="00F86833" w:rsidRPr="003B6D2C" w:rsidRDefault="00F86833" w:rsidP="00535BF7">
      <w:pPr>
        <w:widowControl/>
        <w:rPr>
          <w:sz w:val="22"/>
        </w:rPr>
      </w:pPr>
      <w:r w:rsidRPr="003B6D2C">
        <w:rPr>
          <w:rStyle w:val="FootnoteReference"/>
          <w:sz w:val="22"/>
        </w:rPr>
        <w:t>10</w:t>
      </w:r>
      <w:r w:rsidRPr="003B6D2C">
        <w:rPr>
          <w:sz w:val="22"/>
        </w:rPr>
        <w:t xml:space="preserve"> </w:t>
      </w:r>
      <w:r w:rsidRPr="003B6D2C">
        <w:rPr>
          <w:bCs/>
          <w:sz w:val="22"/>
          <w:szCs w:val="26"/>
        </w:rPr>
        <w:t>Anat Admati and Martin Hellwig,</w:t>
      </w:r>
      <w:r>
        <w:rPr>
          <w:bCs/>
          <w:i/>
          <w:iCs/>
          <w:sz w:val="22"/>
          <w:szCs w:val="26"/>
        </w:rPr>
        <w:t xml:space="preserve"> The Bankers’ New Clothes: What’</w:t>
      </w:r>
      <w:r w:rsidRPr="003B6D2C">
        <w:rPr>
          <w:bCs/>
          <w:i/>
          <w:iCs/>
          <w:sz w:val="22"/>
          <w:szCs w:val="26"/>
        </w:rPr>
        <w:t xml:space="preserve">s Wrong with Banking and What to Do About It, </w:t>
      </w:r>
      <w:r w:rsidRPr="003B6D2C">
        <w:rPr>
          <w:bCs/>
          <w:sz w:val="22"/>
          <w:szCs w:val="26"/>
        </w:rPr>
        <w:t>Princeton: Princeton University Press, 2013, p. 2.</w:t>
      </w:r>
    </w:p>
  </w:footnote>
  <w:footnote w:id="13">
    <w:p w14:paraId="11CDC7B6" w14:textId="77777777" w:rsidR="00F86833" w:rsidRPr="003B6D2C" w:rsidRDefault="00F86833" w:rsidP="00535BF7">
      <w:pPr>
        <w:widowControl/>
        <w:rPr>
          <w:sz w:val="22"/>
        </w:rPr>
      </w:pPr>
      <w:r w:rsidRPr="003B6D2C">
        <w:rPr>
          <w:rStyle w:val="FootnoteReference"/>
          <w:sz w:val="22"/>
        </w:rPr>
        <w:t>11</w:t>
      </w:r>
      <w:r w:rsidRPr="003B6D2C">
        <w:rPr>
          <w:sz w:val="22"/>
        </w:rPr>
        <w:t xml:space="preserve"> </w:t>
      </w:r>
      <w:r w:rsidRPr="003B6D2C">
        <w:rPr>
          <w:bCs/>
          <w:sz w:val="22"/>
          <w:szCs w:val="26"/>
        </w:rPr>
        <w:t xml:space="preserve">Damien Millet and Eric Toussaint, </w:t>
      </w:r>
      <w:r w:rsidRPr="003B6D2C">
        <w:rPr>
          <w:bCs/>
          <w:i/>
          <w:iCs/>
          <w:sz w:val="22"/>
          <w:szCs w:val="26"/>
        </w:rPr>
        <w:t>Who Owes Who? 50 Questions about World Debt,</w:t>
      </w:r>
      <w:r w:rsidRPr="003B6D2C">
        <w:rPr>
          <w:bCs/>
          <w:sz w:val="22"/>
          <w:szCs w:val="26"/>
        </w:rPr>
        <w:t xml:space="preserve"> London: Zed Books, 2004; </w:t>
      </w:r>
      <w:r w:rsidRPr="003B6D2C">
        <w:rPr>
          <w:bCs/>
          <w:i/>
          <w:iCs/>
          <w:sz w:val="22"/>
          <w:szCs w:val="26"/>
        </w:rPr>
        <w:t>Debt, the IMF, and the World Bank: Sixty Questions, Sixty Answers</w:t>
      </w:r>
      <w:r w:rsidRPr="003B6D2C">
        <w:rPr>
          <w:bCs/>
          <w:sz w:val="22"/>
          <w:szCs w:val="26"/>
        </w:rPr>
        <w:t xml:space="preserve"> New York: Monthly Review Press, 2010</w:t>
      </w:r>
      <w:r w:rsidRPr="003B6D2C">
        <w:rPr>
          <w:sz w:val="22"/>
          <w:szCs w:val="26"/>
        </w:rPr>
        <w:t>.</w:t>
      </w:r>
    </w:p>
  </w:footnote>
  <w:footnote w:id="14">
    <w:p w14:paraId="1E734C50" w14:textId="3CB51086" w:rsidR="00F86833" w:rsidRPr="003B6D2C" w:rsidRDefault="00F86833" w:rsidP="00535BF7">
      <w:pPr>
        <w:pStyle w:val="FootnoteText"/>
        <w:rPr>
          <w:sz w:val="22"/>
        </w:rPr>
      </w:pPr>
      <w:r w:rsidRPr="003B6D2C">
        <w:rPr>
          <w:rStyle w:val="FootnoteReference"/>
          <w:sz w:val="22"/>
        </w:rPr>
        <w:t>12</w:t>
      </w:r>
      <w:r w:rsidRPr="003B6D2C">
        <w:rPr>
          <w:sz w:val="22"/>
        </w:rPr>
        <w:t xml:space="preserve"> </w:t>
      </w:r>
      <w:r w:rsidRPr="003B6D2C">
        <w:rPr>
          <w:bCs/>
          <w:sz w:val="22"/>
          <w:szCs w:val="26"/>
        </w:rPr>
        <w:t>François Chesnais</w:t>
      </w:r>
      <w:r>
        <w:rPr>
          <w:bCs/>
          <w:i/>
          <w:iCs/>
          <w:sz w:val="22"/>
          <w:szCs w:val="26"/>
        </w:rPr>
        <w:t>, Les Dettes Illégitimes: Quand les Banques Font Main Basse sur les Politiques P</w:t>
      </w:r>
      <w:r w:rsidRPr="003B6D2C">
        <w:rPr>
          <w:bCs/>
          <w:i/>
          <w:iCs/>
          <w:sz w:val="22"/>
          <w:szCs w:val="26"/>
        </w:rPr>
        <w:t xml:space="preserve">ubliques, </w:t>
      </w:r>
      <w:r w:rsidRPr="003B6D2C">
        <w:rPr>
          <w:bCs/>
          <w:sz w:val="22"/>
          <w:szCs w:val="26"/>
        </w:rPr>
        <w:t>Paris: Liber, 2012</w:t>
      </w:r>
      <w:r>
        <w:rPr>
          <w:bCs/>
          <w:sz w:val="22"/>
          <w:szCs w:val="26"/>
        </w:rPr>
        <w:t>.</w:t>
      </w:r>
    </w:p>
  </w:footnote>
  <w:footnote w:id="15">
    <w:p w14:paraId="48435F92" w14:textId="581CB85D" w:rsidR="00F86833" w:rsidRPr="003B6D2C" w:rsidRDefault="00F86833" w:rsidP="00535BF7">
      <w:pPr>
        <w:pStyle w:val="FootnoteText"/>
        <w:rPr>
          <w:sz w:val="22"/>
        </w:rPr>
      </w:pPr>
      <w:r w:rsidRPr="003B6D2C">
        <w:rPr>
          <w:rStyle w:val="FootnoteReference"/>
          <w:sz w:val="22"/>
        </w:rPr>
        <w:t>13</w:t>
      </w:r>
      <w:r w:rsidRPr="003B6D2C">
        <w:rPr>
          <w:sz w:val="22"/>
        </w:rPr>
        <w:t xml:space="preserve"> </w:t>
      </w:r>
      <w:r w:rsidRPr="003B6D2C">
        <w:rPr>
          <w:bCs/>
          <w:sz w:val="22"/>
          <w:szCs w:val="26"/>
        </w:rPr>
        <w:t>Michael Hudson, ‘Democracy and Debt: Has the Link been Broken?</w:t>
      </w:r>
      <w:r>
        <w:rPr>
          <w:bCs/>
          <w:iCs/>
          <w:sz w:val="22"/>
          <w:szCs w:val="26"/>
        </w:rPr>
        <w:t>’,</w:t>
      </w:r>
      <w:r w:rsidRPr="003B6D2C">
        <w:rPr>
          <w:bCs/>
          <w:i/>
          <w:iCs/>
          <w:sz w:val="22"/>
          <w:szCs w:val="26"/>
        </w:rPr>
        <w:t xml:space="preserve"> Frankfurter Algemeine Zeitung</w:t>
      </w:r>
      <w:r>
        <w:rPr>
          <w:bCs/>
          <w:iCs/>
          <w:sz w:val="22"/>
          <w:szCs w:val="26"/>
        </w:rPr>
        <w:t xml:space="preserve">, </w:t>
      </w:r>
      <w:r>
        <w:rPr>
          <w:bCs/>
          <w:sz w:val="22"/>
          <w:szCs w:val="26"/>
        </w:rPr>
        <w:t>5</w:t>
      </w:r>
      <w:r>
        <w:rPr>
          <w:bCs/>
          <w:i/>
          <w:iCs/>
          <w:sz w:val="22"/>
          <w:szCs w:val="26"/>
        </w:rPr>
        <w:t xml:space="preserve"> </w:t>
      </w:r>
      <w:r>
        <w:rPr>
          <w:bCs/>
          <w:sz w:val="22"/>
          <w:szCs w:val="26"/>
        </w:rPr>
        <w:t>December 2011. Available</w:t>
      </w:r>
      <w:r w:rsidRPr="003B6D2C">
        <w:rPr>
          <w:bCs/>
          <w:sz w:val="22"/>
          <w:szCs w:val="26"/>
        </w:rPr>
        <w:t xml:space="preserve"> in English at </w:t>
      </w:r>
      <w:hyperlink r:id="rId6" w:history="1">
        <w:r w:rsidRPr="008D0A25">
          <w:rPr>
            <w:rStyle w:val="Hyperlink"/>
            <w:bCs/>
            <w:sz w:val="22"/>
            <w:szCs w:val="26"/>
          </w:rPr>
          <w:t>http://michael-hudson.com/2011/12/democracy-and-debt/</w:t>
        </w:r>
      </w:hyperlink>
      <w:r w:rsidRPr="003B6D2C">
        <w:rPr>
          <w:bCs/>
          <w:sz w:val="22"/>
          <w:szCs w:val="26"/>
        </w:rPr>
        <w:t>.</w:t>
      </w:r>
    </w:p>
  </w:footnote>
  <w:footnote w:id="16">
    <w:p w14:paraId="5BB63AF4" w14:textId="77777777" w:rsidR="00F86833" w:rsidRPr="003B6D2C" w:rsidRDefault="00F86833" w:rsidP="00535BF7">
      <w:pPr>
        <w:pStyle w:val="FootnoteText"/>
        <w:rPr>
          <w:sz w:val="22"/>
        </w:rPr>
      </w:pPr>
      <w:r w:rsidRPr="003B6D2C">
        <w:rPr>
          <w:rStyle w:val="FootnoteReference"/>
          <w:sz w:val="22"/>
        </w:rPr>
        <w:t>14</w:t>
      </w:r>
      <w:r w:rsidRPr="003B6D2C">
        <w:rPr>
          <w:sz w:val="22"/>
        </w:rPr>
        <w:t xml:space="preserve"> </w:t>
      </w:r>
      <w:r w:rsidRPr="003B6D2C">
        <w:rPr>
          <w:bCs/>
          <w:sz w:val="22"/>
          <w:szCs w:val="26"/>
        </w:rPr>
        <w:t>Carmen Reinhardt and Kenneth Rogoff,</w:t>
      </w:r>
      <w:r>
        <w:rPr>
          <w:bCs/>
          <w:i/>
          <w:iCs/>
          <w:sz w:val="22"/>
          <w:szCs w:val="26"/>
        </w:rPr>
        <w:t xml:space="preserve"> This Time is Different:</w:t>
      </w:r>
      <w:r w:rsidRPr="003B6D2C">
        <w:rPr>
          <w:bCs/>
          <w:i/>
          <w:iCs/>
          <w:sz w:val="22"/>
          <w:szCs w:val="26"/>
        </w:rPr>
        <w:t xml:space="preserve"> Eig</w:t>
      </w:r>
      <w:r>
        <w:rPr>
          <w:bCs/>
          <w:i/>
          <w:iCs/>
          <w:sz w:val="22"/>
          <w:szCs w:val="26"/>
        </w:rPr>
        <w:t>ht Centuries of Financial Folly</w:t>
      </w:r>
      <w:r w:rsidRPr="003B6D2C">
        <w:rPr>
          <w:bCs/>
          <w:i/>
          <w:iCs/>
          <w:sz w:val="22"/>
          <w:szCs w:val="26"/>
        </w:rPr>
        <w:t xml:space="preserve">, </w:t>
      </w:r>
      <w:r w:rsidRPr="003B6D2C">
        <w:rPr>
          <w:bCs/>
          <w:sz w:val="22"/>
          <w:szCs w:val="26"/>
        </w:rPr>
        <w:t>Princeton: Princeton University Press, 2009.</w:t>
      </w:r>
    </w:p>
  </w:footnote>
  <w:footnote w:id="17">
    <w:p w14:paraId="79009773" w14:textId="105E0435" w:rsidR="00F86833" w:rsidRDefault="00F86833" w:rsidP="00535BF7">
      <w:pPr>
        <w:pStyle w:val="FootnoteText"/>
      </w:pPr>
      <w:r w:rsidRPr="003B6D2C">
        <w:rPr>
          <w:rStyle w:val="FootnoteReference"/>
          <w:sz w:val="22"/>
        </w:rPr>
        <w:t>15</w:t>
      </w:r>
      <w:r w:rsidRPr="003B6D2C">
        <w:rPr>
          <w:sz w:val="22"/>
        </w:rPr>
        <w:t xml:space="preserve"> </w:t>
      </w:r>
      <w:r w:rsidRPr="003B6D2C">
        <w:rPr>
          <w:bCs/>
          <w:sz w:val="22"/>
          <w:szCs w:val="26"/>
        </w:rPr>
        <w:t>Marina Sitrin and Dario Azzelini</w:t>
      </w:r>
      <w:r>
        <w:rPr>
          <w:bCs/>
          <w:sz w:val="22"/>
          <w:szCs w:val="26"/>
        </w:rPr>
        <w:t>,</w:t>
      </w:r>
      <w:r w:rsidRPr="003B6D2C">
        <w:rPr>
          <w:bCs/>
          <w:sz w:val="22"/>
          <w:szCs w:val="26"/>
        </w:rPr>
        <w:t xml:space="preserve"> </w:t>
      </w:r>
      <w:r w:rsidRPr="003B6D2C">
        <w:rPr>
          <w:bCs/>
          <w:i/>
          <w:iCs/>
          <w:sz w:val="22"/>
          <w:szCs w:val="26"/>
        </w:rPr>
        <w:t>They Can’t Represent US! Reinventing Democracy from Greece to Occupy</w:t>
      </w:r>
      <w:r w:rsidRPr="003B6D2C">
        <w:rPr>
          <w:bCs/>
          <w:iCs/>
          <w:sz w:val="22"/>
          <w:szCs w:val="26"/>
        </w:rPr>
        <w:t>,</w:t>
      </w:r>
      <w:r w:rsidRPr="003B6D2C">
        <w:rPr>
          <w:bCs/>
          <w:i/>
          <w:iCs/>
          <w:sz w:val="22"/>
          <w:szCs w:val="26"/>
        </w:rPr>
        <w:t xml:space="preserve"> </w:t>
      </w:r>
      <w:r w:rsidRPr="003B6D2C">
        <w:rPr>
          <w:bCs/>
          <w:sz w:val="22"/>
          <w:szCs w:val="26"/>
        </w:rPr>
        <w:t xml:space="preserve">New York: Verso Press, 2013; David Graeber, </w:t>
      </w:r>
      <w:r w:rsidRPr="003B6D2C">
        <w:rPr>
          <w:bCs/>
          <w:i/>
          <w:iCs/>
          <w:sz w:val="22"/>
          <w:szCs w:val="26"/>
        </w:rPr>
        <w:t>The Democracy Project: A History, a Crisis, a Movement</w:t>
      </w:r>
      <w:r w:rsidRPr="003B6D2C">
        <w:rPr>
          <w:bCs/>
          <w:iCs/>
          <w:sz w:val="22"/>
          <w:szCs w:val="26"/>
        </w:rPr>
        <w:t>,</w:t>
      </w:r>
      <w:r w:rsidRPr="003B6D2C">
        <w:rPr>
          <w:bCs/>
          <w:i/>
          <w:iCs/>
          <w:sz w:val="22"/>
          <w:szCs w:val="26"/>
        </w:rPr>
        <w:t xml:space="preserve"> </w:t>
      </w:r>
      <w:r w:rsidRPr="003B6D2C">
        <w:rPr>
          <w:bCs/>
          <w:sz w:val="22"/>
          <w:szCs w:val="26"/>
        </w:rPr>
        <w:t xml:space="preserve">New York: Spiegel and Grau, 2013; Michael Hardt and Antonio Negri, </w:t>
      </w:r>
      <w:r w:rsidRPr="003B6D2C">
        <w:rPr>
          <w:bCs/>
          <w:i/>
          <w:iCs/>
          <w:sz w:val="22"/>
          <w:szCs w:val="26"/>
        </w:rPr>
        <w:t>Declaration</w:t>
      </w:r>
      <w:r w:rsidRPr="003B6D2C">
        <w:rPr>
          <w:bCs/>
          <w:iCs/>
          <w:sz w:val="22"/>
          <w:szCs w:val="26"/>
        </w:rPr>
        <w:t>,</w:t>
      </w:r>
      <w:r w:rsidRPr="003B6D2C">
        <w:rPr>
          <w:bCs/>
          <w:sz w:val="22"/>
          <w:szCs w:val="26"/>
        </w:rPr>
        <w:t xml:space="preserve"> New York: Hardt and Negri, 2012; A.J. Bauer, Cristina Beltran, Rana Jaleel, and Andrew Ross (eds)</w:t>
      </w:r>
      <w:r w:rsidRPr="003B6D2C">
        <w:rPr>
          <w:bCs/>
          <w:i/>
          <w:iCs/>
          <w:sz w:val="22"/>
          <w:szCs w:val="26"/>
        </w:rPr>
        <w:t xml:space="preserve"> Is This What Democracy Looks Like?</w:t>
      </w:r>
      <w:r>
        <w:rPr>
          <w:bCs/>
          <w:sz w:val="22"/>
          <w:szCs w:val="26"/>
        </w:rPr>
        <w:t xml:space="preserve"> New York: Social Text, 2012, available at </w:t>
      </w:r>
      <w:hyperlink r:id="rId7" w:history="1">
        <w:r w:rsidRPr="008D0A25">
          <w:rPr>
            <w:rStyle w:val="Hyperlink"/>
            <w:bCs/>
            <w:sz w:val="22"/>
            <w:szCs w:val="26"/>
          </w:rPr>
          <w:t>http://what-democracy-looks-like.com/</w:t>
        </w:r>
      </w:hyperlink>
      <w:r w:rsidRPr="003B6D2C">
        <w:rPr>
          <w:sz w:val="22"/>
          <w:szCs w:val="26"/>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74B6F6"/>
    <w:lvl w:ilvl="0">
      <w:numFmt w:val="bullet"/>
      <w:lvlText w:val="*"/>
      <w:lvlJc w:val="left"/>
    </w:lvl>
  </w:abstractNum>
  <w:abstractNum w:abstractNumId="1">
    <w:nsid w:val="29B83A5C"/>
    <w:multiLevelType w:val="hybridMultilevel"/>
    <w:tmpl w:val="56F8F7D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lvlOverride w:ilvl="0">
      <w:lvl w:ilvl="0">
        <w:start w:val="1"/>
        <w:numFmt w:val="bullet"/>
        <w:lvlText w:val=" "/>
        <w:legacy w:legacy="1" w:legacySpace="0" w:legacyIndent="1"/>
        <w:lvlJc w:val="left"/>
        <w:pPr>
          <w:ind w:left="1" w:hanging="1"/>
        </w:pPr>
        <w:rPr>
          <w:rFonts w:ascii="Times New Roman" w:hAnsi="Times New Roman"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hyphenationZone w:val="914"/>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CE"/>
    <w:rsid w:val="00083F8E"/>
    <w:rsid w:val="000C21C3"/>
    <w:rsid w:val="00110E6E"/>
    <w:rsid w:val="00140F0F"/>
    <w:rsid w:val="001521CE"/>
    <w:rsid w:val="00154A95"/>
    <w:rsid w:val="001A78D0"/>
    <w:rsid w:val="001A7A15"/>
    <w:rsid w:val="001C2DCE"/>
    <w:rsid w:val="001E27CE"/>
    <w:rsid w:val="001E7642"/>
    <w:rsid w:val="00210518"/>
    <w:rsid w:val="00211E5C"/>
    <w:rsid w:val="00256F6D"/>
    <w:rsid w:val="00273512"/>
    <w:rsid w:val="0028274E"/>
    <w:rsid w:val="00290A56"/>
    <w:rsid w:val="002A4170"/>
    <w:rsid w:val="002B5AB6"/>
    <w:rsid w:val="002E3051"/>
    <w:rsid w:val="002E36B8"/>
    <w:rsid w:val="002F674C"/>
    <w:rsid w:val="00315A37"/>
    <w:rsid w:val="00335DC6"/>
    <w:rsid w:val="00392E85"/>
    <w:rsid w:val="003B6D2C"/>
    <w:rsid w:val="004F680D"/>
    <w:rsid w:val="00527038"/>
    <w:rsid w:val="00535BF7"/>
    <w:rsid w:val="00546A86"/>
    <w:rsid w:val="0055414B"/>
    <w:rsid w:val="0057110B"/>
    <w:rsid w:val="00577883"/>
    <w:rsid w:val="0058114A"/>
    <w:rsid w:val="005811EA"/>
    <w:rsid w:val="00587737"/>
    <w:rsid w:val="00597CBB"/>
    <w:rsid w:val="005A6C68"/>
    <w:rsid w:val="005B6727"/>
    <w:rsid w:val="005B6DA0"/>
    <w:rsid w:val="005D4A45"/>
    <w:rsid w:val="006C63C6"/>
    <w:rsid w:val="0070746D"/>
    <w:rsid w:val="00717168"/>
    <w:rsid w:val="00724126"/>
    <w:rsid w:val="0072443E"/>
    <w:rsid w:val="007325F5"/>
    <w:rsid w:val="007438A3"/>
    <w:rsid w:val="00782568"/>
    <w:rsid w:val="007B3976"/>
    <w:rsid w:val="007E26FE"/>
    <w:rsid w:val="007F71C3"/>
    <w:rsid w:val="00872F4B"/>
    <w:rsid w:val="00877A5A"/>
    <w:rsid w:val="00897AE1"/>
    <w:rsid w:val="008C5AC6"/>
    <w:rsid w:val="008D3524"/>
    <w:rsid w:val="008F3949"/>
    <w:rsid w:val="0090576B"/>
    <w:rsid w:val="00913D17"/>
    <w:rsid w:val="00956804"/>
    <w:rsid w:val="009D39A0"/>
    <w:rsid w:val="00A01A9B"/>
    <w:rsid w:val="00A15BF6"/>
    <w:rsid w:val="00A3571A"/>
    <w:rsid w:val="00A57BB0"/>
    <w:rsid w:val="00AA2DD2"/>
    <w:rsid w:val="00AB1032"/>
    <w:rsid w:val="00AC26D7"/>
    <w:rsid w:val="00AF1307"/>
    <w:rsid w:val="00B302BF"/>
    <w:rsid w:val="00B3288B"/>
    <w:rsid w:val="00B35C93"/>
    <w:rsid w:val="00B624D3"/>
    <w:rsid w:val="00B83DB9"/>
    <w:rsid w:val="00B93523"/>
    <w:rsid w:val="00BA1E74"/>
    <w:rsid w:val="00BA6D1A"/>
    <w:rsid w:val="00BB230E"/>
    <w:rsid w:val="00BD6A7F"/>
    <w:rsid w:val="00BE49A0"/>
    <w:rsid w:val="00C11BED"/>
    <w:rsid w:val="00C5681F"/>
    <w:rsid w:val="00C71DDF"/>
    <w:rsid w:val="00C92461"/>
    <w:rsid w:val="00CA6CCE"/>
    <w:rsid w:val="00CC53AE"/>
    <w:rsid w:val="00CD5A47"/>
    <w:rsid w:val="00D01FE5"/>
    <w:rsid w:val="00D569F3"/>
    <w:rsid w:val="00D605DA"/>
    <w:rsid w:val="00D86286"/>
    <w:rsid w:val="00D96567"/>
    <w:rsid w:val="00DB3631"/>
    <w:rsid w:val="00DB37E0"/>
    <w:rsid w:val="00E00F8D"/>
    <w:rsid w:val="00E24D3A"/>
    <w:rsid w:val="00E75C2B"/>
    <w:rsid w:val="00E862F3"/>
    <w:rsid w:val="00E96D10"/>
    <w:rsid w:val="00EB2725"/>
    <w:rsid w:val="00EC2D32"/>
    <w:rsid w:val="00ED5EBC"/>
    <w:rsid w:val="00ED7BD5"/>
    <w:rsid w:val="00EE1AB1"/>
    <w:rsid w:val="00F10685"/>
    <w:rsid w:val="00F27E9E"/>
    <w:rsid w:val="00F6369F"/>
    <w:rsid w:val="00F64CE4"/>
    <w:rsid w:val="00F85820"/>
    <w:rsid w:val="00F86833"/>
    <w:rsid w:val="00FA1D25"/>
    <w:rsid w:val="00FA2EF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7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C3"/>
    <w:pPr>
      <w:widowControl w:val="0"/>
      <w:autoSpaceDE w:val="0"/>
      <w:autoSpaceDN w:val="0"/>
      <w:adjustRightInd w:val="0"/>
    </w:pPr>
  </w:style>
  <w:style w:type="paragraph" w:styleId="Heading1">
    <w:name w:val="heading 1"/>
    <w:basedOn w:val="Normal"/>
    <w:next w:val="Normal"/>
    <w:link w:val="Heading1Char"/>
    <w:uiPriority w:val="9"/>
    <w:qFormat/>
    <w:rsid w:val="00905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5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D6A7F"/>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paragraph" w:customStyle="1" w:styleId="53">
    <w:name w:val="_53"/>
    <w:uiPriority w:val="99"/>
    <w:rsid w:val="007F71C3"/>
    <w:pPr>
      <w:widowControl w:val="0"/>
      <w:autoSpaceDE w:val="0"/>
      <w:autoSpaceDN w:val="0"/>
      <w:adjustRightInd w:val="0"/>
      <w:jc w:val="both"/>
    </w:pPr>
    <w:rPr>
      <w:sz w:val="24"/>
      <w:szCs w:val="24"/>
    </w:rPr>
  </w:style>
  <w:style w:type="paragraph" w:customStyle="1" w:styleId="52">
    <w:name w:val="_52"/>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51">
    <w:name w:val="_51"/>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50">
    <w:name w:val="_50"/>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49">
    <w:name w:val="_49"/>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48">
    <w:name w:val="_48"/>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47">
    <w:name w:val="_47"/>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46">
    <w:name w:val="_46"/>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45">
    <w:name w:val="_45"/>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44">
    <w:name w:val="_44"/>
    <w:uiPriority w:val="99"/>
    <w:rsid w:val="007F71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rPr>
  </w:style>
  <w:style w:type="paragraph" w:customStyle="1" w:styleId="43">
    <w:name w:val="_43"/>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42">
    <w:name w:val="_42"/>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41">
    <w:name w:val="_41"/>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40">
    <w:name w:val="_40"/>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39">
    <w:name w:val="_39"/>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38">
    <w:name w:val="_38"/>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37">
    <w:name w:val="_37"/>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36">
    <w:name w:val="_36"/>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35">
    <w:name w:val="_35"/>
    <w:uiPriority w:val="99"/>
    <w:rsid w:val="007F71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rPr>
  </w:style>
  <w:style w:type="paragraph" w:customStyle="1" w:styleId="34">
    <w:name w:val="_34"/>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33">
    <w:name w:val="_33"/>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32">
    <w:name w:val="_32"/>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31">
    <w:name w:val="_31"/>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30">
    <w:name w:val="_30"/>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9">
    <w:name w:val="_29"/>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28">
    <w:name w:val="_28"/>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27">
    <w:name w:val="_27"/>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Level1">
    <w:name w:val="Level 1"/>
    <w:uiPriority w:val="99"/>
    <w:rsid w:val="007F71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pPr>
    <w:rPr>
      <w:sz w:val="24"/>
      <w:szCs w:val="24"/>
    </w:rPr>
  </w:style>
  <w:style w:type="paragraph" w:customStyle="1" w:styleId="Level2">
    <w:name w:val="Level 2"/>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sz w:val="24"/>
      <w:szCs w:val="24"/>
    </w:rPr>
  </w:style>
  <w:style w:type="paragraph" w:customStyle="1" w:styleId="Level3">
    <w:name w:val="Level 3"/>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Level4">
    <w:name w:val="Level 4"/>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Level5">
    <w:name w:val="Level 5"/>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Level6">
    <w:name w:val="Level 6"/>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Level7">
    <w:name w:val="Level 7"/>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Level8">
    <w:name w:val="Level 8"/>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Level9">
    <w:name w:val="Level 9"/>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26">
    <w:name w:val="_26"/>
    <w:uiPriority w:val="99"/>
    <w:rsid w:val="007F71C3"/>
    <w:pPr>
      <w:widowControl w:val="0"/>
      <w:autoSpaceDE w:val="0"/>
      <w:autoSpaceDN w:val="0"/>
      <w:adjustRightInd w:val="0"/>
      <w:jc w:val="both"/>
    </w:pPr>
    <w:rPr>
      <w:sz w:val="24"/>
      <w:szCs w:val="24"/>
    </w:rPr>
  </w:style>
  <w:style w:type="paragraph" w:customStyle="1" w:styleId="25">
    <w:name w:val="_25"/>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24">
    <w:name w:val="_24"/>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23">
    <w:name w:val="_23"/>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22">
    <w:name w:val="_22"/>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21">
    <w:name w:val="_21"/>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0">
    <w:name w:val="_20"/>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9">
    <w:name w:val="_19"/>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18">
    <w:name w:val="_18"/>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17">
    <w:name w:val="_17"/>
    <w:uiPriority w:val="99"/>
    <w:rsid w:val="007F71C3"/>
    <w:pPr>
      <w:widowControl w:val="0"/>
      <w:autoSpaceDE w:val="0"/>
      <w:autoSpaceDN w:val="0"/>
      <w:adjustRightInd w:val="0"/>
      <w:jc w:val="both"/>
    </w:pPr>
    <w:rPr>
      <w:sz w:val="24"/>
      <w:szCs w:val="24"/>
    </w:rPr>
  </w:style>
  <w:style w:type="paragraph" w:customStyle="1" w:styleId="16">
    <w:name w:val="_16"/>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15">
    <w:name w:val="_15"/>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14">
    <w:name w:val="_14"/>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13">
    <w:name w:val="_13"/>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12">
    <w:name w:val="_12"/>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11">
    <w:name w:val="_11"/>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0">
    <w:name w:val="_10"/>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9">
    <w:name w:val="_9"/>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8">
    <w:name w:val="_8"/>
    <w:uiPriority w:val="99"/>
    <w:rsid w:val="007F71C3"/>
    <w:pPr>
      <w:widowControl w:val="0"/>
      <w:autoSpaceDE w:val="0"/>
      <w:autoSpaceDN w:val="0"/>
      <w:adjustRightInd w:val="0"/>
      <w:jc w:val="both"/>
    </w:pPr>
    <w:rPr>
      <w:sz w:val="24"/>
      <w:szCs w:val="24"/>
    </w:rPr>
  </w:style>
  <w:style w:type="paragraph" w:customStyle="1" w:styleId="7">
    <w:name w:val="_7"/>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6">
    <w:name w:val="_6"/>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5">
    <w:name w:val="_5"/>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4">
    <w:name w:val="_4"/>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3">
    <w:name w:val="_3"/>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
    <w:name w:val="_2"/>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
    <w:name w:val="_1"/>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a">
    <w:name w:val="_"/>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character" w:customStyle="1" w:styleId="DefaultPara">
    <w:name w:val="Default Para"/>
    <w:uiPriority w:val="99"/>
    <w:rsid w:val="007F71C3"/>
  </w:style>
  <w:style w:type="paragraph" w:customStyle="1" w:styleId="endnotetex1">
    <w:name w:val="endnote tex1"/>
    <w:uiPriority w:val="99"/>
    <w:rsid w:val="007F71C3"/>
    <w:pPr>
      <w:widowControl w:val="0"/>
      <w:autoSpaceDE w:val="0"/>
      <w:autoSpaceDN w:val="0"/>
      <w:adjustRightInd w:val="0"/>
      <w:spacing w:line="480" w:lineRule="auto"/>
      <w:jc w:val="both"/>
    </w:pPr>
    <w:rPr>
      <w:rFonts w:ascii="Calibri" w:hAnsi="Calibri" w:cs="Calibri"/>
      <w:sz w:val="24"/>
      <w:szCs w:val="24"/>
    </w:rPr>
  </w:style>
  <w:style w:type="paragraph" w:styleId="EndnoteText">
    <w:name w:val="endnote text"/>
    <w:basedOn w:val="Normal"/>
    <w:link w:val="EndnoteTextChar"/>
    <w:uiPriority w:val="99"/>
    <w:semiHidden/>
    <w:unhideWhenUsed/>
    <w:rsid w:val="007F71C3"/>
    <w:rPr>
      <w:sz w:val="24"/>
      <w:szCs w:val="24"/>
    </w:rPr>
  </w:style>
  <w:style w:type="character" w:customStyle="1" w:styleId="EndnoteTextChar">
    <w:name w:val="Endnote Text Char"/>
    <w:basedOn w:val="DefaultParagraphFont"/>
    <w:link w:val="EndnoteText"/>
    <w:uiPriority w:val="99"/>
    <w:semiHidden/>
    <w:rsid w:val="007F71C3"/>
    <w:rPr>
      <w:sz w:val="24"/>
      <w:szCs w:val="24"/>
    </w:rPr>
  </w:style>
  <w:style w:type="character" w:customStyle="1" w:styleId="endnoterefe">
    <w:name w:val="endnote refe"/>
    <w:uiPriority w:val="99"/>
    <w:rsid w:val="007F71C3"/>
    <w:rPr>
      <w:vertAlign w:val="superscript"/>
    </w:rPr>
  </w:style>
  <w:style w:type="character" w:customStyle="1" w:styleId="SYSHYPERTEXT">
    <w:name w:val="SYS_HYPERTEXT"/>
    <w:uiPriority w:val="99"/>
    <w:rsid w:val="007F71C3"/>
    <w:rPr>
      <w:color w:val="0000FF"/>
      <w:u w:val="single"/>
    </w:rPr>
  </w:style>
  <w:style w:type="character" w:customStyle="1" w:styleId="Heading1Char">
    <w:name w:val="Heading 1 Char"/>
    <w:basedOn w:val="DefaultParagraphFont"/>
    <w:link w:val="Heading1"/>
    <w:uiPriority w:val="9"/>
    <w:rsid w:val="0090576B"/>
    <w:rPr>
      <w:rFonts w:asciiTheme="majorHAnsi" w:eastAsiaTheme="majorEastAsia" w:hAnsiTheme="majorHAnsi" w:cstheme="majorBidi"/>
      <w:b/>
      <w:bCs/>
      <w:color w:val="345A8A" w:themeColor="accent1" w:themeShade="B5"/>
      <w:sz w:val="32"/>
      <w:szCs w:val="32"/>
    </w:rPr>
  </w:style>
  <w:style w:type="character" w:customStyle="1" w:styleId="BalloonTextChar1">
    <w:name w:val="Balloon Text Char1"/>
    <w:basedOn w:val="DefaultParagraphFont"/>
    <w:link w:val="BalloonText"/>
    <w:uiPriority w:val="99"/>
    <w:semiHidden/>
    <w:rsid w:val="00BD6A7F"/>
    <w:rPr>
      <w:rFonts w:ascii="Lucida Grande" w:hAnsi="Lucida Grande"/>
      <w:sz w:val="18"/>
      <w:szCs w:val="18"/>
    </w:rPr>
  </w:style>
  <w:style w:type="paragraph" w:styleId="FootnoteText">
    <w:name w:val="footnote text"/>
    <w:basedOn w:val="Normal"/>
    <w:link w:val="FootnoteTextChar"/>
    <w:uiPriority w:val="99"/>
    <w:unhideWhenUsed/>
    <w:rsid w:val="00BD6A7F"/>
    <w:rPr>
      <w:sz w:val="24"/>
      <w:szCs w:val="24"/>
    </w:rPr>
  </w:style>
  <w:style w:type="character" w:customStyle="1" w:styleId="FootnoteTextChar">
    <w:name w:val="Footnote Text Char"/>
    <w:basedOn w:val="DefaultParagraphFont"/>
    <w:link w:val="FootnoteText"/>
    <w:uiPriority w:val="99"/>
    <w:rsid w:val="00BD6A7F"/>
    <w:rPr>
      <w:sz w:val="24"/>
      <w:szCs w:val="24"/>
    </w:rPr>
  </w:style>
  <w:style w:type="character" w:styleId="FootnoteReference">
    <w:name w:val="footnote reference"/>
    <w:basedOn w:val="DefaultParagraphFont"/>
    <w:uiPriority w:val="99"/>
    <w:unhideWhenUsed/>
    <w:rsid w:val="00BD6A7F"/>
    <w:rPr>
      <w:vertAlign w:val="superscript"/>
    </w:rPr>
  </w:style>
  <w:style w:type="character" w:customStyle="1" w:styleId="Heading2Char">
    <w:name w:val="Heading 2 Char"/>
    <w:basedOn w:val="DefaultParagraphFont"/>
    <w:link w:val="Heading2"/>
    <w:uiPriority w:val="9"/>
    <w:rsid w:val="007825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35DC6"/>
    <w:rPr>
      <w:color w:val="0000FF" w:themeColor="hyperlink"/>
      <w:u w:val="single"/>
    </w:rPr>
  </w:style>
  <w:style w:type="paragraph" w:styleId="Footer">
    <w:name w:val="footer"/>
    <w:basedOn w:val="Normal"/>
    <w:link w:val="FooterChar"/>
    <w:uiPriority w:val="99"/>
    <w:unhideWhenUsed/>
    <w:rsid w:val="00535BF7"/>
    <w:pPr>
      <w:tabs>
        <w:tab w:val="center" w:pos="4320"/>
        <w:tab w:val="right" w:pos="8640"/>
      </w:tabs>
    </w:pPr>
  </w:style>
  <w:style w:type="character" w:customStyle="1" w:styleId="FooterChar">
    <w:name w:val="Footer Char"/>
    <w:basedOn w:val="DefaultParagraphFont"/>
    <w:link w:val="Footer"/>
    <w:uiPriority w:val="99"/>
    <w:rsid w:val="00535BF7"/>
  </w:style>
  <w:style w:type="character" w:styleId="PageNumber">
    <w:name w:val="page number"/>
    <w:basedOn w:val="DefaultParagraphFont"/>
    <w:uiPriority w:val="99"/>
    <w:semiHidden/>
    <w:unhideWhenUsed/>
    <w:rsid w:val="00535BF7"/>
  </w:style>
  <w:style w:type="character" w:styleId="FollowedHyperlink">
    <w:name w:val="FollowedHyperlink"/>
    <w:basedOn w:val="DefaultParagraphFont"/>
    <w:uiPriority w:val="99"/>
    <w:semiHidden/>
    <w:unhideWhenUsed/>
    <w:rsid w:val="00B83DB9"/>
    <w:rPr>
      <w:color w:val="800080" w:themeColor="followedHyperlink"/>
      <w:u w:val="single"/>
    </w:rPr>
  </w:style>
  <w:style w:type="character" w:styleId="CommentReference">
    <w:name w:val="annotation reference"/>
    <w:basedOn w:val="DefaultParagraphFont"/>
    <w:uiPriority w:val="99"/>
    <w:semiHidden/>
    <w:unhideWhenUsed/>
    <w:rsid w:val="00ED7BD5"/>
    <w:rPr>
      <w:sz w:val="18"/>
      <w:szCs w:val="18"/>
    </w:rPr>
  </w:style>
  <w:style w:type="paragraph" w:styleId="CommentText">
    <w:name w:val="annotation text"/>
    <w:basedOn w:val="Normal"/>
    <w:link w:val="CommentTextChar"/>
    <w:uiPriority w:val="99"/>
    <w:unhideWhenUsed/>
    <w:rsid w:val="00ED7BD5"/>
    <w:rPr>
      <w:sz w:val="24"/>
      <w:szCs w:val="24"/>
    </w:rPr>
  </w:style>
  <w:style w:type="character" w:customStyle="1" w:styleId="CommentTextChar">
    <w:name w:val="Comment Text Char"/>
    <w:basedOn w:val="DefaultParagraphFont"/>
    <w:link w:val="CommentText"/>
    <w:uiPriority w:val="99"/>
    <w:rsid w:val="00ED7BD5"/>
    <w:rPr>
      <w:sz w:val="24"/>
      <w:szCs w:val="24"/>
    </w:rPr>
  </w:style>
  <w:style w:type="paragraph" w:styleId="CommentSubject">
    <w:name w:val="annotation subject"/>
    <w:basedOn w:val="CommentText"/>
    <w:next w:val="CommentText"/>
    <w:link w:val="CommentSubjectChar"/>
    <w:uiPriority w:val="99"/>
    <w:semiHidden/>
    <w:unhideWhenUsed/>
    <w:rsid w:val="00ED7BD5"/>
    <w:rPr>
      <w:b/>
      <w:bCs/>
      <w:sz w:val="20"/>
      <w:szCs w:val="20"/>
    </w:rPr>
  </w:style>
  <w:style w:type="character" w:customStyle="1" w:styleId="CommentSubjectChar">
    <w:name w:val="Comment Subject Char"/>
    <w:basedOn w:val="CommentTextChar"/>
    <w:link w:val="CommentSubject"/>
    <w:uiPriority w:val="99"/>
    <w:semiHidden/>
    <w:rsid w:val="00ED7BD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C3"/>
    <w:pPr>
      <w:widowControl w:val="0"/>
      <w:autoSpaceDE w:val="0"/>
      <w:autoSpaceDN w:val="0"/>
      <w:adjustRightInd w:val="0"/>
    </w:pPr>
  </w:style>
  <w:style w:type="paragraph" w:styleId="Heading1">
    <w:name w:val="heading 1"/>
    <w:basedOn w:val="Normal"/>
    <w:next w:val="Normal"/>
    <w:link w:val="Heading1Char"/>
    <w:uiPriority w:val="9"/>
    <w:qFormat/>
    <w:rsid w:val="00905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5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D6A7F"/>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paragraph" w:customStyle="1" w:styleId="53">
    <w:name w:val="_53"/>
    <w:uiPriority w:val="99"/>
    <w:rsid w:val="007F71C3"/>
    <w:pPr>
      <w:widowControl w:val="0"/>
      <w:autoSpaceDE w:val="0"/>
      <w:autoSpaceDN w:val="0"/>
      <w:adjustRightInd w:val="0"/>
      <w:jc w:val="both"/>
    </w:pPr>
    <w:rPr>
      <w:sz w:val="24"/>
      <w:szCs w:val="24"/>
    </w:rPr>
  </w:style>
  <w:style w:type="paragraph" w:customStyle="1" w:styleId="52">
    <w:name w:val="_52"/>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51">
    <w:name w:val="_51"/>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50">
    <w:name w:val="_50"/>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49">
    <w:name w:val="_49"/>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48">
    <w:name w:val="_48"/>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47">
    <w:name w:val="_47"/>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46">
    <w:name w:val="_46"/>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45">
    <w:name w:val="_45"/>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44">
    <w:name w:val="_44"/>
    <w:uiPriority w:val="99"/>
    <w:rsid w:val="007F71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rPr>
  </w:style>
  <w:style w:type="paragraph" w:customStyle="1" w:styleId="43">
    <w:name w:val="_43"/>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42">
    <w:name w:val="_42"/>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41">
    <w:name w:val="_41"/>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40">
    <w:name w:val="_40"/>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39">
    <w:name w:val="_39"/>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38">
    <w:name w:val="_38"/>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37">
    <w:name w:val="_37"/>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36">
    <w:name w:val="_36"/>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35">
    <w:name w:val="_35"/>
    <w:uiPriority w:val="99"/>
    <w:rsid w:val="007F71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rPr>
  </w:style>
  <w:style w:type="paragraph" w:customStyle="1" w:styleId="34">
    <w:name w:val="_34"/>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33">
    <w:name w:val="_33"/>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32">
    <w:name w:val="_32"/>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31">
    <w:name w:val="_31"/>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30">
    <w:name w:val="_30"/>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9">
    <w:name w:val="_29"/>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28">
    <w:name w:val="_28"/>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27">
    <w:name w:val="_27"/>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Level1">
    <w:name w:val="Level 1"/>
    <w:uiPriority w:val="99"/>
    <w:rsid w:val="007F71C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pPr>
    <w:rPr>
      <w:sz w:val="24"/>
      <w:szCs w:val="24"/>
    </w:rPr>
  </w:style>
  <w:style w:type="paragraph" w:customStyle="1" w:styleId="Level2">
    <w:name w:val="Level 2"/>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sz w:val="24"/>
      <w:szCs w:val="24"/>
    </w:rPr>
  </w:style>
  <w:style w:type="paragraph" w:customStyle="1" w:styleId="Level3">
    <w:name w:val="Level 3"/>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Level4">
    <w:name w:val="Level 4"/>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Level5">
    <w:name w:val="Level 5"/>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Level6">
    <w:name w:val="Level 6"/>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Level7">
    <w:name w:val="Level 7"/>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Level8">
    <w:name w:val="Level 8"/>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Level9">
    <w:name w:val="Level 9"/>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26">
    <w:name w:val="_26"/>
    <w:uiPriority w:val="99"/>
    <w:rsid w:val="007F71C3"/>
    <w:pPr>
      <w:widowControl w:val="0"/>
      <w:autoSpaceDE w:val="0"/>
      <w:autoSpaceDN w:val="0"/>
      <w:adjustRightInd w:val="0"/>
      <w:jc w:val="both"/>
    </w:pPr>
    <w:rPr>
      <w:sz w:val="24"/>
      <w:szCs w:val="24"/>
    </w:rPr>
  </w:style>
  <w:style w:type="paragraph" w:customStyle="1" w:styleId="25">
    <w:name w:val="_25"/>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24">
    <w:name w:val="_24"/>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23">
    <w:name w:val="_23"/>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22">
    <w:name w:val="_22"/>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21">
    <w:name w:val="_21"/>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0">
    <w:name w:val="_20"/>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9">
    <w:name w:val="_19"/>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18">
    <w:name w:val="_18"/>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17">
    <w:name w:val="_17"/>
    <w:uiPriority w:val="99"/>
    <w:rsid w:val="007F71C3"/>
    <w:pPr>
      <w:widowControl w:val="0"/>
      <w:autoSpaceDE w:val="0"/>
      <w:autoSpaceDN w:val="0"/>
      <w:adjustRightInd w:val="0"/>
      <w:jc w:val="both"/>
    </w:pPr>
    <w:rPr>
      <w:sz w:val="24"/>
      <w:szCs w:val="24"/>
    </w:rPr>
  </w:style>
  <w:style w:type="paragraph" w:customStyle="1" w:styleId="16">
    <w:name w:val="_16"/>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15">
    <w:name w:val="_15"/>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14">
    <w:name w:val="_14"/>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13">
    <w:name w:val="_13"/>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12">
    <w:name w:val="_12"/>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11">
    <w:name w:val="_11"/>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0">
    <w:name w:val="_10"/>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9">
    <w:name w:val="_9"/>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8">
    <w:name w:val="_8"/>
    <w:uiPriority w:val="99"/>
    <w:rsid w:val="007F71C3"/>
    <w:pPr>
      <w:widowControl w:val="0"/>
      <w:autoSpaceDE w:val="0"/>
      <w:autoSpaceDN w:val="0"/>
      <w:adjustRightInd w:val="0"/>
      <w:jc w:val="both"/>
    </w:pPr>
    <w:rPr>
      <w:sz w:val="24"/>
      <w:szCs w:val="24"/>
    </w:rPr>
  </w:style>
  <w:style w:type="paragraph" w:customStyle="1" w:styleId="7">
    <w:name w:val="_7"/>
    <w:uiPriority w:val="99"/>
    <w:rsid w:val="007F71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6">
    <w:name w:val="_6"/>
    <w:uiPriority w:val="99"/>
    <w:rsid w:val="007F71C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5">
    <w:name w:val="_5"/>
    <w:uiPriority w:val="99"/>
    <w:rsid w:val="007F71C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4">
    <w:name w:val="_4"/>
    <w:uiPriority w:val="99"/>
    <w:rsid w:val="007F71C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3">
    <w:name w:val="_3"/>
    <w:uiPriority w:val="99"/>
    <w:rsid w:val="007F71C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
    <w:name w:val="_2"/>
    <w:uiPriority w:val="99"/>
    <w:rsid w:val="007F71C3"/>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
    <w:name w:val="_1"/>
    <w:uiPriority w:val="99"/>
    <w:rsid w:val="007F71C3"/>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a">
    <w:name w:val="_"/>
    <w:uiPriority w:val="99"/>
    <w:rsid w:val="007F71C3"/>
    <w:pPr>
      <w:widowControl w:val="0"/>
      <w:tabs>
        <w:tab w:val="left" w:pos="6480"/>
        <w:tab w:val="left" w:pos="7200"/>
        <w:tab w:val="left" w:pos="7920"/>
        <w:tab w:val="left" w:pos="8640"/>
      </w:tabs>
      <w:autoSpaceDE w:val="0"/>
      <w:autoSpaceDN w:val="0"/>
      <w:adjustRightInd w:val="0"/>
      <w:ind w:left="6480"/>
      <w:jc w:val="both"/>
    </w:pPr>
    <w:rPr>
      <w:sz w:val="24"/>
      <w:szCs w:val="24"/>
    </w:rPr>
  </w:style>
  <w:style w:type="character" w:customStyle="1" w:styleId="DefaultPara">
    <w:name w:val="Default Para"/>
    <w:uiPriority w:val="99"/>
    <w:rsid w:val="007F71C3"/>
  </w:style>
  <w:style w:type="paragraph" w:customStyle="1" w:styleId="endnotetex1">
    <w:name w:val="endnote tex1"/>
    <w:uiPriority w:val="99"/>
    <w:rsid w:val="007F71C3"/>
    <w:pPr>
      <w:widowControl w:val="0"/>
      <w:autoSpaceDE w:val="0"/>
      <w:autoSpaceDN w:val="0"/>
      <w:adjustRightInd w:val="0"/>
      <w:spacing w:line="480" w:lineRule="auto"/>
      <w:jc w:val="both"/>
    </w:pPr>
    <w:rPr>
      <w:rFonts w:ascii="Calibri" w:hAnsi="Calibri" w:cs="Calibri"/>
      <w:sz w:val="24"/>
      <w:szCs w:val="24"/>
    </w:rPr>
  </w:style>
  <w:style w:type="paragraph" w:styleId="EndnoteText">
    <w:name w:val="endnote text"/>
    <w:basedOn w:val="Normal"/>
    <w:link w:val="EndnoteTextChar"/>
    <w:uiPriority w:val="99"/>
    <w:semiHidden/>
    <w:unhideWhenUsed/>
    <w:rsid w:val="007F71C3"/>
    <w:rPr>
      <w:sz w:val="24"/>
      <w:szCs w:val="24"/>
    </w:rPr>
  </w:style>
  <w:style w:type="character" w:customStyle="1" w:styleId="EndnoteTextChar">
    <w:name w:val="Endnote Text Char"/>
    <w:basedOn w:val="DefaultParagraphFont"/>
    <w:link w:val="EndnoteText"/>
    <w:uiPriority w:val="99"/>
    <w:semiHidden/>
    <w:rsid w:val="007F71C3"/>
    <w:rPr>
      <w:sz w:val="24"/>
      <w:szCs w:val="24"/>
    </w:rPr>
  </w:style>
  <w:style w:type="character" w:customStyle="1" w:styleId="endnoterefe">
    <w:name w:val="endnote refe"/>
    <w:uiPriority w:val="99"/>
    <w:rsid w:val="007F71C3"/>
    <w:rPr>
      <w:vertAlign w:val="superscript"/>
    </w:rPr>
  </w:style>
  <w:style w:type="character" w:customStyle="1" w:styleId="SYSHYPERTEXT">
    <w:name w:val="SYS_HYPERTEXT"/>
    <w:uiPriority w:val="99"/>
    <w:rsid w:val="007F71C3"/>
    <w:rPr>
      <w:color w:val="0000FF"/>
      <w:u w:val="single"/>
    </w:rPr>
  </w:style>
  <w:style w:type="character" w:customStyle="1" w:styleId="Heading1Char">
    <w:name w:val="Heading 1 Char"/>
    <w:basedOn w:val="DefaultParagraphFont"/>
    <w:link w:val="Heading1"/>
    <w:uiPriority w:val="9"/>
    <w:rsid w:val="0090576B"/>
    <w:rPr>
      <w:rFonts w:asciiTheme="majorHAnsi" w:eastAsiaTheme="majorEastAsia" w:hAnsiTheme="majorHAnsi" w:cstheme="majorBidi"/>
      <w:b/>
      <w:bCs/>
      <w:color w:val="345A8A" w:themeColor="accent1" w:themeShade="B5"/>
      <w:sz w:val="32"/>
      <w:szCs w:val="32"/>
    </w:rPr>
  </w:style>
  <w:style w:type="character" w:customStyle="1" w:styleId="BalloonTextChar1">
    <w:name w:val="Balloon Text Char1"/>
    <w:basedOn w:val="DefaultParagraphFont"/>
    <w:link w:val="BalloonText"/>
    <w:uiPriority w:val="99"/>
    <w:semiHidden/>
    <w:rsid w:val="00BD6A7F"/>
    <w:rPr>
      <w:rFonts w:ascii="Lucida Grande" w:hAnsi="Lucida Grande"/>
      <w:sz w:val="18"/>
      <w:szCs w:val="18"/>
    </w:rPr>
  </w:style>
  <w:style w:type="paragraph" w:styleId="FootnoteText">
    <w:name w:val="footnote text"/>
    <w:basedOn w:val="Normal"/>
    <w:link w:val="FootnoteTextChar"/>
    <w:uiPriority w:val="99"/>
    <w:unhideWhenUsed/>
    <w:rsid w:val="00BD6A7F"/>
    <w:rPr>
      <w:sz w:val="24"/>
      <w:szCs w:val="24"/>
    </w:rPr>
  </w:style>
  <w:style w:type="character" w:customStyle="1" w:styleId="FootnoteTextChar">
    <w:name w:val="Footnote Text Char"/>
    <w:basedOn w:val="DefaultParagraphFont"/>
    <w:link w:val="FootnoteText"/>
    <w:uiPriority w:val="99"/>
    <w:rsid w:val="00BD6A7F"/>
    <w:rPr>
      <w:sz w:val="24"/>
      <w:szCs w:val="24"/>
    </w:rPr>
  </w:style>
  <w:style w:type="character" w:styleId="FootnoteReference">
    <w:name w:val="footnote reference"/>
    <w:basedOn w:val="DefaultParagraphFont"/>
    <w:uiPriority w:val="99"/>
    <w:unhideWhenUsed/>
    <w:rsid w:val="00BD6A7F"/>
    <w:rPr>
      <w:vertAlign w:val="superscript"/>
    </w:rPr>
  </w:style>
  <w:style w:type="character" w:customStyle="1" w:styleId="Heading2Char">
    <w:name w:val="Heading 2 Char"/>
    <w:basedOn w:val="DefaultParagraphFont"/>
    <w:link w:val="Heading2"/>
    <w:uiPriority w:val="9"/>
    <w:rsid w:val="007825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35DC6"/>
    <w:rPr>
      <w:color w:val="0000FF" w:themeColor="hyperlink"/>
      <w:u w:val="single"/>
    </w:rPr>
  </w:style>
  <w:style w:type="paragraph" w:styleId="Footer">
    <w:name w:val="footer"/>
    <w:basedOn w:val="Normal"/>
    <w:link w:val="FooterChar"/>
    <w:uiPriority w:val="99"/>
    <w:unhideWhenUsed/>
    <w:rsid w:val="00535BF7"/>
    <w:pPr>
      <w:tabs>
        <w:tab w:val="center" w:pos="4320"/>
        <w:tab w:val="right" w:pos="8640"/>
      </w:tabs>
    </w:pPr>
  </w:style>
  <w:style w:type="character" w:customStyle="1" w:styleId="FooterChar">
    <w:name w:val="Footer Char"/>
    <w:basedOn w:val="DefaultParagraphFont"/>
    <w:link w:val="Footer"/>
    <w:uiPriority w:val="99"/>
    <w:rsid w:val="00535BF7"/>
  </w:style>
  <w:style w:type="character" w:styleId="PageNumber">
    <w:name w:val="page number"/>
    <w:basedOn w:val="DefaultParagraphFont"/>
    <w:uiPriority w:val="99"/>
    <w:semiHidden/>
    <w:unhideWhenUsed/>
    <w:rsid w:val="00535BF7"/>
  </w:style>
  <w:style w:type="character" w:styleId="FollowedHyperlink">
    <w:name w:val="FollowedHyperlink"/>
    <w:basedOn w:val="DefaultParagraphFont"/>
    <w:uiPriority w:val="99"/>
    <w:semiHidden/>
    <w:unhideWhenUsed/>
    <w:rsid w:val="00B83DB9"/>
    <w:rPr>
      <w:color w:val="800080" w:themeColor="followedHyperlink"/>
      <w:u w:val="single"/>
    </w:rPr>
  </w:style>
  <w:style w:type="character" w:styleId="CommentReference">
    <w:name w:val="annotation reference"/>
    <w:basedOn w:val="DefaultParagraphFont"/>
    <w:uiPriority w:val="99"/>
    <w:semiHidden/>
    <w:unhideWhenUsed/>
    <w:rsid w:val="00ED7BD5"/>
    <w:rPr>
      <w:sz w:val="18"/>
      <w:szCs w:val="18"/>
    </w:rPr>
  </w:style>
  <w:style w:type="paragraph" w:styleId="CommentText">
    <w:name w:val="annotation text"/>
    <w:basedOn w:val="Normal"/>
    <w:link w:val="CommentTextChar"/>
    <w:uiPriority w:val="99"/>
    <w:unhideWhenUsed/>
    <w:rsid w:val="00ED7BD5"/>
    <w:rPr>
      <w:sz w:val="24"/>
      <w:szCs w:val="24"/>
    </w:rPr>
  </w:style>
  <w:style w:type="character" w:customStyle="1" w:styleId="CommentTextChar">
    <w:name w:val="Comment Text Char"/>
    <w:basedOn w:val="DefaultParagraphFont"/>
    <w:link w:val="CommentText"/>
    <w:uiPriority w:val="99"/>
    <w:rsid w:val="00ED7BD5"/>
    <w:rPr>
      <w:sz w:val="24"/>
      <w:szCs w:val="24"/>
    </w:rPr>
  </w:style>
  <w:style w:type="paragraph" w:styleId="CommentSubject">
    <w:name w:val="annotation subject"/>
    <w:basedOn w:val="CommentText"/>
    <w:next w:val="CommentText"/>
    <w:link w:val="CommentSubjectChar"/>
    <w:uiPriority w:val="99"/>
    <w:semiHidden/>
    <w:unhideWhenUsed/>
    <w:rsid w:val="00ED7BD5"/>
    <w:rPr>
      <w:b/>
      <w:bCs/>
      <w:sz w:val="20"/>
      <w:szCs w:val="20"/>
    </w:rPr>
  </w:style>
  <w:style w:type="character" w:customStyle="1" w:styleId="CommentSubjectChar">
    <w:name w:val="Comment Subject Char"/>
    <w:basedOn w:val="CommentTextChar"/>
    <w:link w:val="CommentSubject"/>
    <w:uiPriority w:val="99"/>
    <w:semiHidden/>
    <w:rsid w:val="00ED7BD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orbooks.com/catalog/creditocracy/" TargetMode="External"/><Relationship Id="rId4" Type="http://schemas.openxmlformats.org/officeDocument/2006/relationships/hyperlink" Target="http://dealbook.nytimes.com/2013/03/11/big-banks-go-wrong-but-pay-a-little-price/" TargetMode="External"/><Relationship Id="rId5" Type="http://schemas.openxmlformats.org/officeDocument/2006/relationships/hyperlink" Target="http://www.newyorkfed.org/research/national_economy/householdcredit/DistrictReport_Q22013.pdf" TargetMode="External"/><Relationship Id="rId6" Type="http://schemas.openxmlformats.org/officeDocument/2006/relationships/hyperlink" Target="http://michael-hudson.com/2011/12/democracy-and-debt/" TargetMode="External"/><Relationship Id="rId7" Type="http://schemas.openxmlformats.org/officeDocument/2006/relationships/hyperlink" Target="http://what-democracy-looks-like.com/" TargetMode="External"/><Relationship Id="rId1" Type="http://schemas.openxmlformats.org/officeDocument/2006/relationships/hyperlink" Target="http://elsa.berkeley.edu/~saez/saez-UStopincomes-2012.pdf" TargetMode="External"/><Relationship Id="rId2" Type="http://schemas.openxmlformats.org/officeDocument/2006/relationships/hyperlink" Target="https://appam.confex.com/appam/2012/webprogram/Paper21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3EA384C-8867-1F42-AE5B-E6A6DDA5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5561</Words>
  <Characters>27584</Characters>
  <Application>Microsoft Macintosh Word</Application>
  <DocSecurity>0</DocSecurity>
  <Lines>367</Lines>
  <Paragraphs>80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Accumulation and Resistance in the 21st Century</vt:lpstr>
      <vt:lpstr>Andrew Ross</vt:lpstr>
      <vt:lpstr>    Rise of Creditocracy</vt:lpstr>
      <vt:lpstr>    Democracy and Debt</vt:lpstr>
      <vt:lpstr>    </vt:lpstr>
      <vt:lpstr>    Abolishing the Debt Sentence</vt:lpstr>
      <vt:lpstr>    References</vt:lpstr>
    </vt:vector>
  </TitlesOfParts>
  <Company/>
  <LinksUpToDate>false</LinksUpToDate>
  <CharactersWithSpaces>33065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 Vries</dc:creator>
  <cp:lastModifiedBy>Patricia de Vries</cp:lastModifiedBy>
  <cp:revision>4</cp:revision>
  <dcterms:created xsi:type="dcterms:W3CDTF">2015-01-19T14:40:00Z</dcterms:created>
  <dcterms:modified xsi:type="dcterms:W3CDTF">2015-01-19T15:25:00Z</dcterms:modified>
</cp:coreProperties>
</file>