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CBE71" w14:textId="77777777" w:rsidR="00715F7F" w:rsidRDefault="00CC74F6" w:rsidP="001A1FBC">
      <w:pPr>
        <w:pStyle w:val="Heading1"/>
        <w:spacing w:after="240" w:line="276" w:lineRule="auto"/>
        <w:rPr>
          <w:lang w:val="en-US"/>
        </w:rPr>
      </w:pPr>
      <w:bookmarkStart w:id="0" w:name="_GoBack"/>
      <w:bookmarkEnd w:id="0"/>
      <w:r w:rsidRPr="00CC74F6">
        <w:rPr>
          <w:color w:val="auto"/>
          <w:lang w:val="en-US"/>
        </w:rPr>
        <w:t>The Economic Viability of Complementary Currencies: Bound to Fail?</w:t>
      </w:r>
    </w:p>
    <w:p w14:paraId="76B2B09E" w14:textId="77777777" w:rsidR="00076410" w:rsidRPr="00715F7F" w:rsidRDefault="00B86463" w:rsidP="001A1FBC">
      <w:pPr>
        <w:pStyle w:val="Heading1"/>
        <w:spacing w:after="240" w:line="276" w:lineRule="auto"/>
        <w:rPr>
          <w:lang w:val="en-US"/>
        </w:rPr>
      </w:pPr>
      <w:r w:rsidRPr="001A1FBC">
        <w:rPr>
          <w:color w:val="auto"/>
          <w:lang w:val="en-US"/>
        </w:rPr>
        <w:t>Beat Weber</w:t>
      </w:r>
      <w:r w:rsidRPr="0062279D">
        <w:rPr>
          <w:rStyle w:val="FootnoteReference"/>
          <w:color w:val="auto"/>
          <w:lang w:val="en-US"/>
        </w:rPr>
        <w:footnoteReference w:id="1"/>
      </w:r>
    </w:p>
    <w:p w14:paraId="402E86BF" w14:textId="77777777" w:rsidR="00715F7F" w:rsidRDefault="00715F7F" w:rsidP="001A1FBC">
      <w:pPr>
        <w:pStyle w:val="PlainText"/>
        <w:spacing w:before="120" w:after="240" w:line="276" w:lineRule="auto"/>
        <w:rPr>
          <w:rFonts w:ascii="Times New Roman" w:eastAsia="Times New Roman" w:hAnsi="Times New Roman" w:cs="Times New Roman"/>
          <w:sz w:val="24"/>
          <w:szCs w:val="24"/>
          <w:lang w:val="en-US" w:eastAsia="de-AT"/>
        </w:rPr>
      </w:pPr>
    </w:p>
    <w:p w14:paraId="53F43636" w14:textId="77777777" w:rsidR="00CE5BA9" w:rsidRPr="008B2ED9" w:rsidRDefault="00B86463" w:rsidP="001A1FBC">
      <w:pPr>
        <w:pStyle w:val="PlainText"/>
        <w:spacing w:before="120" w:after="240" w:line="276" w:lineRule="auto"/>
        <w:rPr>
          <w:rFonts w:ascii="Times New Roman" w:hAnsi="Times New Roman" w:cs="Times New Roman"/>
          <w:sz w:val="24"/>
          <w:szCs w:val="24"/>
          <w:lang w:val="en-US"/>
        </w:rPr>
      </w:pPr>
      <w:r w:rsidRPr="00B86463">
        <w:rPr>
          <w:rFonts w:ascii="Times New Roman" w:hAnsi="Times New Roman" w:cs="Times New Roman"/>
          <w:sz w:val="24"/>
          <w:szCs w:val="24"/>
          <w:lang w:val="en-US"/>
        </w:rPr>
        <w:t xml:space="preserve">Bitcoin and similar cryptocurrencies are the latest embodiments of a longer history of attempts to establish something that is frequently labeled as </w:t>
      </w:r>
      <w:r w:rsidR="00311FB5" w:rsidRPr="008B2ED9">
        <w:rPr>
          <w:rFonts w:ascii="Times New Roman" w:hAnsi="Times New Roman" w:cs="Times New Roman"/>
          <w:sz w:val="24"/>
          <w:szCs w:val="24"/>
          <w:lang w:val="en-US"/>
        </w:rPr>
        <w:t>‘</w:t>
      </w:r>
      <w:r w:rsidR="00062E99">
        <w:rPr>
          <w:rFonts w:ascii="Times New Roman" w:hAnsi="Times New Roman" w:cs="Times New Roman"/>
          <w:sz w:val="24"/>
          <w:szCs w:val="24"/>
          <w:lang w:val="en-US"/>
        </w:rPr>
        <w:t xml:space="preserve">complementary currency’ (CC). </w:t>
      </w:r>
      <w:r w:rsidR="0095276E">
        <w:rPr>
          <w:rFonts w:ascii="Times New Roman" w:hAnsi="Times New Roman" w:cs="Times New Roman"/>
          <w:sz w:val="24"/>
          <w:szCs w:val="24"/>
          <w:lang w:val="en-US"/>
        </w:rPr>
        <w:t>Complementary c</w:t>
      </w:r>
      <w:r w:rsidRPr="00B86463">
        <w:rPr>
          <w:rFonts w:ascii="Times New Roman" w:hAnsi="Times New Roman" w:cs="Times New Roman"/>
          <w:sz w:val="24"/>
          <w:szCs w:val="24"/>
          <w:lang w:val="en-US"/>
        </w:rPr>
        <w:t>urrencies</w:t>
      </w:r>
      <w:r w:rsidR="0095276E">
        <w:rPr>
          <w:rFonts w:ascii="Times New Roman" w:hAnsi="Times New Roman" w:cs="Times New Roman"/>
          <w:sz w:val="24"/>
          <w:szCs w:val="24"/>
          <w:lang w:val="en-US"/>
        </w:rPr>
        <w:t xml:space="preserve"> are</w:t>
      </w:r>
      <w:r w:rsidRPr="00B86463">
        <w:rPr>
          <w:rFonts w:ascii="Times New Roman" w:hAnsi="Times New Roman" w:cs="Times New Roman"/>
          <w:sz w:val="24"/>
          <w:szCs w:val="24"/>
          <w:lang w:val="en-US"/>
        </w:rPr>
        <w:t xml:space="preserve"> issued by entitities other than national central banks and </w:t>
      </w:r>
      <w:r w:rsidR="00062E99">
        <w:rPr>
          <w:rFonts w:ascii="Times New Roman" w:hAnsi="Times New Roman" w:cs="Times New Roman"/>
          <w:sz w:val="24"/>
          <w:szCs w:val="24"/>
          <w:lang w:val="en-US"/>
        </w:rPr>
        <w:t xml:space="preserve">are </w:t>
      </w:r>
      <w:r w:rsidRPr="00B86463">
        <w:rPr>
          <w:rFonts w:ascii="Times New Roman" w:hAnsi="Times New Roman" w:cs="Times New Roman"/>
          <w:sz w:val="24"/>
          <w:szCs w:val="24"/>
          <w:lang w:val="en-US"/>
        </w:rPr>
        <w:t xml:space="preserve">intended to circulate alongside official currencies, </w:t>
      </w:r>
      <w:r w:rsidR="00062E99">
        <w:rPr>
          <w:rFonts w:ascii="Times New Roman" w:hAnsi="Times New Roman" w:cs="Times New Roman"/>
          <w:sz w:val="24"/>
          <w:szCs w:val="24"/>
          <w:lang w:val="en-US"/>
        </w:rPr>
        <w:t>as well as</w:t>
      </w:r>
      <w:r w:rsidRPr="00B86463">
        <w:rPr>
          <w:rFonts w:ascii="Times New Roman" w:hAnsi="Times New Roman" w:cs="Times New Roman"/>
          <w:sz w:val="24"/>
          <w:szCs w:val="24"/>
          <w:lang w:val="en-US"/>
        </w:rPr>
        <w:t xml:space="preserve"> </w:t>
      </w:r>
      <w:r w:rsidR="00062E99">
        <w:rPr>
          <w:rFonts w:ascii="Times New Roman" w:hAnsi="Times New Roman" w:cs="Times New Roman"/>
          <w:sz w:val="24"/>
          <w:szCs w:val="24"/>
          <w:lang w:val="en-US"/>
        </w:rPr>
        <w:t>occasionally serving</w:t>
      </w:r>
      <w:r w:rsidRPr="00B86463">
        <w:rPr>
          <w:rFonts w:ascii="Times New Roman" w:hAnsi="Times New Roman" w:cs="Times New Roman"/>
          <w:sz w:val="24"/>
          <w:szCs w:val="24"/>
          <w:lang w:val="en-US"/>
        </w:rPr>
        <w:t xml:space="preserve"> particular purposes thought to be underserved by official currencies. To some, CC projects look like attractive shortcuts to solve various problems. But almost all attempts ultimately fail to take off after initial enthusiasm. Why? </w:t>
      </w:r>
    </w:p>
    <w:p w14:paraId="5AD093E0" w14:textId="719027B8" w:rsidR="0021561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In times of economic and financial crisis, the issue of money becomes paramount. The number of people and</w:t>
      </w:r>
      <w:r w:rsidR="008672EF">
        <w:rPr>
          <w:rFonts w:ascii="Times New Roman" w:hAnsi="Times New Roman"/>
          <w:sz w:val="24"/>
          <w:lang w:val="en-US"/>
        </w:rPr>
        <w:t xml:space="preserve"> areas where money is sparse is</w:t>
      </w:r>
      <w:r w:rsidRPr="00CC74F6">
        <w:rPr>
          <w:rFonts w:ascii="Times New Roman" w:hAnsi="Times New Roman"/>
          <w:sz w:val="24"/>
          <w:lang w:val="en-US"/>
        </w:rPr>
        <w:t xml:space="preserve"> increasing. The institutions specialized in handling </w:t>
      </w:r>
      <w:r w:rsidR="00F1523F">
        <w:rPr>
          <w:rFonts w:ascii="Times New Roman" w:hAnsi="Times New Roman"/>
          <w:sz w:val="24"/>
          <w:lang w:val="en-US"/>
        </w:rPr>
        <w:t>money</w:t>
      </w:r>
      <w:r w:rsidR="00F1523F" w:rsidRPr="00CC74F6">
        <w:rPr>
          <w:rFonts w:ascii="Times New Roman" w:hAnsi="Times New Roman"/>
          <w:sz w:val="24"/>
          <w:lang w:val="en-US"/>
        </w:rPr>
        <w:t xml:space="preserve"> </w:t>
      </w:r>
      <w:r w:rsidRPr="00CC74F6">
        <w:rPr>
          <w:rFonts w:ascii="Times New Roman" w:hAnsi="Times New Roman"/>
          <w:sz w:val="24"/>
          <w:lang w:val="en-US"/>
        </w:rPr>
        <w:t>(banks and the financial system in general) suffer from decreasing trust in the wake of banking cris</w:t>
      </w:r>
      <w:r w:rsidR="002C2392">
        <w:rPr>
          <w:rFonts w:ascii="Times New Roman" w:hAnsi="Times New Roman"/>
          <w:sz w:val="24"/>
          <w:lang w:val="en-US"/>
        </w:rPr>
        <w:t>e</w:t>
      </w:r>
      <w:r w:rsidRPr="00CC74F6">
        <w:rPr>
          <w:rFonts w:ascii="Times New Roman" w:hAnsi="Times New Roman"/>
          <w:sz w:val="24"/>
          <w:lang w:val="en-US"/>
        </w:rPr>
        <w:t xml:space="preserve">s and their consequences: expensive public assistance to stabilize the financial system, high debt burdens, and receding credit availability. In </w:t>
      </w:r>
      <w:r w:rsidR="00F1523F">
        <w:rPr>
          <w:rFonts w:ascii="Times New Roman" w:hAnsi="Times New Roman"/>
          <w:sz w:val="24"/>
          <w:lang w:val="en-US"/>
        </w:rPr>
        <w:t>this</w:t>
      </w:r>
      <w:r w:rsidRPr="00CC74F6">
        <w:rPr>
          <w:rFonts w:ascii="Times New Roman" w:hAnsi="Times New Roman"/>
          <w:sz w:val="24"/>
          <w:lang w:val="en-US"/>
        </w:rPr>
        <w:t xml:space="preserve"> context, the appropriate level and means of collective action to remedy the situation becomes an issue of debate. In many grassroots circles, currency reformers propose what</w:t>
      </w:r>
      <w:r w:rsidR="005D19AC">
        <w:rPr>
          <w:rFonts w:ascii="Times New Roman" w:hAnsi="Times New Roman"/>
          <w:sz w:val="24"/>
          <w:lang w:val="en-US"/>
        </w:rPr>
        <w:t xml:space="preserve"> seems to be a radical solution through</w:t>
      </w:r>
      <w:r w:rsidRPr="00CC74F6">
        <w:rPr>
          <w:rFonts w:ascii="Times New Roman" w:hAnsi="Times New Roman"/>
          <w:sz w:val="24"/>
          <w:lang w:val="en-US"/>
        </w:rPr>
        <w:t xml:space="preserve"> the creation of one’s own currency. Instead of engaging in the exhausting struggle for appropriate national economic policies to remedy the situation, the creation of a complementary currency seems to allow likeminded people to go it alone. Such a currency </w:t>
      </w:r>
      <w:r w:rsidR="00C45FBF">
        <w:rPr>
          <w:rFonts w:ascii="Times New Roman" w:hAnsi="Times New Roman"/>
          <w:sz w:val="24"/>
          <w:lang w:val="en-US"/>
        </w:rPr>
        <w:t xml:space="preserve">project promises to </w:t>
      </w:r>
      <w:r w:rsidRPr="00CC74F6">
        <w:rPr>
          <w:rFonts w:ascii="Times New Roman" w:hAnsi="Times New Roman"/>
          <w:sz w:val="24"/>
          <w:lang w:val="en-US"/>
        </w:rPr>
        <w:t xml:space="preserve">bypass the resistance of established powers and divided public opinion, and </w:t>
      </w:r>
      <w:r w:rsidR="000601BC">
        <w:rPr>
          <w:rFonts w:ascii="Times New Roman" w:hAnsi="Times New Roman"/>
          <w:sz w:val="24"/>
          <w:lang w:val="en-US"/>
        </w:rPr>
        <w:t xml:space="preserve">to </w:t>
      </w:r>
      <w:r w:rsidRPr="00CC74F6">
        <w:rPr>
          <w:rFonts w:ascii="Times New Roman" w:hAnsi="Times New Roman"/>
          <w:sz w:val="24"/>
          <w:lang w:val="en-US"/>
        </w:rPr>
        <w:t xml:space="preserve">help its users build their own economic community. </w:t>
      </w:r>
    </w:p>
    <w:p w14:paraId="0EC5E58D" w14:textId="4250C3E4" w:rsidR="000205E0"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Making the connection between political communities and currencies is not unfounded: most currency areas in the current world coincide with national borders, (the Euro being a noteable exception), so currencies reflect community building around national states. If a nation is split into divisive political camps, why not create communities around common goals and create currencies to represent these communities in the economic sphere? Indeed, grassroots complementary currency projects can initiate enthusiasm and effort that promotes ties among community members and </w:t>
      </w:r>
      <w:r w:rsidR="008672EF">
        <w:rPr>
          <w:rFonts w:ascii="Times New Roman" w:hAnsi="Times New Roman"/>
          <w:sz w:val="24"/>
          <w:lang w:val="en-US"/>
        </w:rPr>
        <w:t xml:space="preserve">in that way </w:t>
      </w:r>
      <w:r w:rsidRPr="00CC74F6">
        <w:rPr>
          <w:rFonts w:ascii="Times New Roman" w:hAnsi="Times New Roman"/>
          <w:sz w:val="24"/>
          <w:lang w:val="en-US"/>
        </w:rPr>
        <w:t>yield many social benefits</w:t>
      </w:r>
      <w:r w:rsidR="00AD1416">
        <w:rPr>
          <w:rFonts w:ascii="Times New Roman" w:hAnsi="Times New Roman"/>
          <w:sz w:val="24"/>
          <w:lang w:val="en-US"/>
        </w:rPr>
        <w:t>.</w:t>
      </w:r>
      <w:r w:rsidRPr="00CC74F6">
        <w:rPr>
          <w:rStyle w:val="FootnoteReference"/>
          <w:rFonts w:ascii="Times New Roman" w:hAnsi="Times New Roman"/>
          <w:sz w:val="24"/>
          <w:lang w:val="en-US"/>
        </w:rPr>
        <w:footnoteReference w:id="2"/>
      </w:r>
      <w:r w:rsidR="00B86463" w:rsidRPr="00B86463">
        <w:rPr>
          <w:rFonts w:ascii="Times New Roman" w:hAnsi="Times New Roman"/>
          <w:sz w:val="24"/>
          <w:lang w:val="en-US"/>
        </w:rPr>
        <w:t xml:space="preserve"> In democratic theory, legitimacy can be conceived as input and output legitimacy. Input legitimacy refers to the extent to which community members have a voice in a project. Output legitimacy refers to the ability of the project to deliver expected results. While complementary community currencies </w:t>
      </w:r>
      <w:r w:rsidR="00B86463" w:rsidRPr="00B86463">
        <w:rPr>
          <w:rFonts w:ascii="Times New Roman" w:hAnsi="Times New Roman"/>
          <w:sz w:val="24"/>
          <w:lang w:val="en-US"/>
        </w:rPr>
        <w:lastRenderedPageBreak/>
        <w:t xml:space="preserve">can claim input legitimacy by building on participation of community members, the question of output legitimacy is </w:t>
      </w:r>
      <w:r w:rsidR="007E6F5A" w:rsidRPr="00B86463">
        <w:rPr>
          <w:rFonts w:ascii="Times New Roman" w:hAnsi="Times New Roman"/>
          <w:sz w:val="24"/>
          <w:lang w:val="en-US"/>
        </w:rPr>
        <w:t>trickier</w:t>
      </w:r>
      <w:r w:rsidR="00B86463" w:rsidRPr="00B86463">
        <w:rPr>
          <w:rFonts w:ascii="Times New Roman" w:hAnsi="Times New Roman"/>
          <w:sz w:val="24"/>
          <w:lang w:val="en-US"/>
        </w:rPr>
        <w:t xml:space="preserve">. Can complementary currencies work as money? </w:t>
      </w:r>
    </w:p>
    <w:p w14:paraId="5903F849" w14:textId="77777777" w:rsidR="007573CB"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Money is the general equivalent in capitalism – commodities do not buy each other, but all commodities can be bought with money. Based on this status, money is used for three </w:t>
      </w:r>
      <w:r w:rsidR="004970D1">
        <w:rPr>
          <w:rFonts w:ascii="Times New Roman" w:hAnsi="Times New Roman" w:cs="Times New Roman"/>
          <w:sz w:val="24"/>
          <w:szCs w:val="24"/>
          <w:lang w:val="en-US"/>
        </w:rPr>
        <w:t>purposes: 1. As unit of account in which</w:t>
      </w:r>
      <w:r w:rsidRPr="00CC74F6">
        <w:rPr>
          <w:rFonts w:ascii="Times New Roman" w:hAnsi="Times New Roman" w:cs="Times New Roman"/>
          <w:sz w:val="24"/>
          <w:szCs w:val="24"/>
          <w:lang w:val="en-US"/>
        </w:rPr>
        <w:t xml:space="preserve"> prices are measured and compared in money. 2. As means of payment: goods and services are purchased and debts settled with money. 3. As</w:t>
      </w:r>
      <w:r w:rsidR="004970D1">
        <w:rPr>
          <w:rFonts w:ascii="Times New Roman" w:hAnsi="Times New Roman" w:cs="Times New Roman"/>
          <w:sz w:val="24"/>
          <w:szCs w:val="24"/>
          <w:lang w:val="en-US"/>
        </w:rPr>
        <w:t xml:space="preserve"> the most liquid store of value. F</w:t>
      </w:r>
      <w:r w:rsidRPr="00CC74F6">
        <w:rPr>
          <w:rFonts w:ascii="Times New Roman" w:hAnsi="Times New Roman" w:cs="Times New Roman"/>
          <w:sz w:val="24"/>
          <w:szCs w:val="24"/>
          <w:lang w:val="en-US"/>
        </w:rPr>
        <w:t>acing an uncertain future with respect to their income and their economic needs and obligations, people hold money to insure themselves against unforeseen expenditures. In contrast to other forms of storing wealth (real estate, financial assets, and other items of value), money offers the advantage of being immediately available to buy commodities. That feature is referred to as money’s superior liquidity</w:t>
      </w:r>
      <w:r w:rsidR="00AD1416">
        <w:rPr>
          <w:rFonts w:ascii="Times New Roman" w:hAnsi="Times New Roman" w:cs="Times New Roman"/>
          <w:sz w:val="24"/>
          <w:szCs w:val="24"/>
          <w:lang w:val="en-US"/>
        </w:rPr>
        <w:t>.</w:t>
      </w:r>
      <w:r w:rsidRPr="00CC74F6">
        <w:rPr>
          <w:rStyle w:val="FootnoteReference"/>
          <w:rFonts w:ascii="Times New Roman" w:hAnsi="Times New Roman" w:cs="Times New Roman"/>
          <w:sz w:val="24"/>
          <w:szCs w:val="24"/>
          <w:lang w:val="en-US"/>
        </w:rPr>
        <w:footnoteReference w:id="3"/>
      </w:r>
    </w:p>
    <w:p w14:paraId="568322FD" w14:textId="77777777" w:rsidR="00677062"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In general, the price system is based on</w:t>
      </w:r>
      <w:r w:rsidR="004970D1">
        <w:rPr>
          <w:rFonts w:ascii="Times New Roman" w:hAnsi="Times New Roman"/>
          <w:sz w:val="24"/>
          <w:lang w:val="en-US"/>
        </w:rPr>
        <w:t xml:space="preserve"> the single unit of account. I</w:t>
      </w:r>
      <w:r w:rsidRPr="00CC74F6">
        <w:rPr>
          <w:rFonts w:ascii="Times New Roman" w:hAnsi="Times New Roman"/>
          <w:sz w:val="24"/>
          <w:lang w:val="en-US"/>
        </w:rPr>
        <w:t>n the Eurozone, all prices are calculated and displayed in Euro.</w:t>
      </w:r>
      <w:r w:rsidR="00677062">
        <w:rPr>
          <w:rFonts w:ascii="Times New Roman" w:hAnsi="Times New Roman"/>
          <w:sz w:val="24"/>
          <w:lang w:val="en-US"/>
        </w:rPr>
        <w:t xml:space="preserve"> </w:t>
      </w:r>
      <w:r w:rsidRPr="00CC74F6">
        <w:rPr>
          <w:rFonts w:ascii="Times New Roman" w:hAnsi="Times New Roman"/>
          <w:sz w:val="24"/>
          <w:lang w:val="en-US"/>
        </w:rPr>
        <w:t xml:space="preserve">This aspect of money tends to be a monopoly within a currency area. The more goods and services are denominated in a single unit of account, the better people can compare prices among competing offers and get the best value for their money. </w:t>
      </w:r>
    </w:p>
    <w:p w14:paraId="7FE21BCC" w14:textId="00B61B21" w:rsidR="00677062" w:rsidRDefault="008672EF" w:rsidP="001A1FBC">
      <w:pPr>
        <w:spacing w:before="120" w:after="240" w:line="276" w:lineRule="auto"/>
        <w:rPr>
          <w:rFonts w:ascii="Times New Roman" w:hAnsi="Times New Roman"/>
          <w:sz w:val="24"/>
          <w:lang w:val="en-US"/>
        </w:rPr>
      </w:pPr>
      <w:r>
        <w:rPr>
          <w:rFonts w:ascii="Times New Roman" w:hAnsi="Times New Roman"/>
          <w:sz w:val="24"/>
          <w:lang w:val="en-US"/>
        </w:rPr>
        <w:t xml:space="preserve">Under one unit of account </w:t>
      </w:r>
      <w:r w:rsidR="00CC74F6" w:rsidRPr="00CC74F6">
        <w:rPr>
          <w:rFonts w:ascii="Times New Roman" w:hAnsi="Times New Roman"/>
          <w:sz w:val="24"/>
          <w:lang w:val="en-US"/>
        </w:rPr>
        <w:t>there can be several media of payment. While the central bank is the issuer of money denominated in the unit of account of the same name, claims on banks and other issuers of media of payment circulate alongside central bank issued money</w:t>
      </w:r>
      <w:r w:rsidR="004970D1">
        <w:rPr>
          <w:rFonts w:ascii="Times New Roman" w:hAnsi="Times New Roman"/>
          <w:sz w:val="24"/>
          <w:lang w:val="en-US"/>
        </w:rPr>
        <w:t xml:space="preserve">. </w:t>
      </w:r>
      <w:r w:rsidR="00CC74F6" w:rsidRPr="00CC74F6">
        <w:rPr>
          <w:rFonts w:ascii="Times New Roman" w:hAnsi="Times New Roman"/>
          <w:sz w:val="24"/>
          <w:lang w:val="en-US"/>
        </w:rPr>
        <w:t xml:space="preserve">But banks as issuers must guarantee a par relationship with cash (i.e. one Euro is one Euro, irrespective of the form and issuer – cash or bank issued non-cash). </w:t>
      </w:r>
    </w:p>
    <w:p w14:paraId="205163C9" w14:textId="77777777" w:rsidR="00957275"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Concerning the third aspect of money</w:t>
      </w:r>
      <w:r w:rsidR="00677062">
        <w:rPr>
          <w:rFonts w:ascii="Times New Roman" w:hAnsi="Times New Roman"/>
          <w:sz w:val="24"/>
          <w:lang w:val="en-US"/>
        </w:rPr>
        <w:t xml:space="preserve"> (store of value)</w:t>
      </w:r>
      <w:r w:rsidRPr="00CC74F6">
        <w:rPr>
          <w:rFonts w:ascii="Times New Roman" w:hAnsi="Times New Roman"/>
          <w:sz w:val="24"/>
          <w:lang w:val="en-US"/>
        </w:rPr>
        <w:t xml:space="preserve">, many things </w:t>
      </w:r>
      <w:r w:rsidR="00677062" w:rsidRPr="00CC74F6">
        <w:rPr>
          <w:rFonts w:ascii="Times New Roman" w:hAnsi="Times New Roman"/>
          <w:sz w:val="24"/>
          <w:lang w:val="en-US"/>
        </w:rPr>
        <w:t xml:space="preserve">can be </w:t>
      </w:r>
      <w:r w:rsidRPr="00CC74F6">
        <w:rPr>
          <w:rFonts w:ascii="Times New Roman" w:hAnsi="Times New Roman"/>
          <w:sz w:val="24"/>
          <w:lang w:val="en-US"/>
        </w:rPr>
        <w:t>used to store value</w:t>
      </w:r>
      <w:r w:rsidR="00677062">
        <w:rPr>
          <w:rFonts w:ascii="Times New Roman" w:hAnsi="Times New Roman"/>
          <w:sz w:val="24"/>
          <w:lang w:val="en-US"/>
        </w:rPr>
        <w:t>,</w:t>
      </w:r>
      <w:r w:rsidR="001A1FBC">
        <w:rPr>
          <w:rFonts w:ascii="Times New Roman" w:hAnsi="Times New Roman"/>
          <w:sz w:val="24"/>
          <w:lang w:val="en-US"/>
        </w:rPr>
        <w:t xml:space="preserve"> </w:t>
      </w:r>
      <w:r w:rsidRPr="00CC74F6">
        <w:rPr>
          <w:rFonts w:ascii="Times New Roman" w:hAnsi="Times New Roman"/>
          <w:sz w:val="24"/>
          <w:lang w:val="en-US"/>
        </w:rPr>
        <w:t xml:space="preserve">money only being the most liquid one. Money in this case is particularly important in situations of crisis, where people may lose their faith in the value of everything except money. </w:t>
      </w:r>
    </w:p>
    <w:p w14:paraId="3084397B" w14:textId="5B9DF02F" w:rsidR="008672EF" w:rsidRDefault="008672EF"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In most of Europe, money consists </w:t>
      </w:r>
      <w:r>
        <w:rPr>
          <w:rFonts w:ascii="Times New Roman" w:hAnsi="Times New Roman"/>
          <w:sz w:val="24"/>
          <w:lang w:val="en-US"/>
        </w:rPr>
        <w:t>t</w:t>
      </w:r>
      <w:r w:rsidRPr="00CC74F6">
        <w:rPr>
          <w:rFonts w:ascii="Times New Roman" w:hAnsi="Times New Roman"/>
          <w:sz w:val="24"/>
          <w:lang w:val="en-US"/>
        </w:rPr>
        <w:t>oday of notes, coins (i.e. cash) and bookkeeping entries issued by the central bank and the sovereign mint, and of bank deposits which represent a claim on the former. Most payments among people in everyday life consist of bank deposit</w:t>
      </w:r>
      <w:r>
        <w:rPr>
          <w:rFonts w:ascii="Times New Roman" w:hAnsi="Times New Roman"/>
          <w:sz w:val="24"/>
          <w:lang w:val="en-US"/>
        </w:rPr>
        <w:t xml:space="preserve"> transfer</w:t>
      </w:r>
      <w:r w:rsidRPr="00CC74F6">
        <w:rPr>
          <w:rFonts w:ascii="Times New Roman" w:hAnsi="Times New Roman"/>
          <w:sz w:val="24"/>
          <w:lang w:val="en-US"/>
        </w:rPr>
        <w:t xml:space="preserve">s (while banks settle the resulting </w:t>
      </w:r>
      <w:r>
        <w:rPr>
          <w:rFonts w:ascii="Times New Roman" w:hAnsi="Times New Roman"/>
          <w:sz w:val="24"/>
          <w:lang w:val="en-US"/>
        </w:rPr>
        <w:t xml:space="preserve">net </w:t>
      </w:r>
      <w:r w:rsidRPr="00CC74F6">
        <w:rPr>
          <w:rFonts w:ascii="Times New Roman" w:hAnsi="Times New Roman"/>
          <w:sz w:val="24"/>
          <w:lang w:val="en-US"/>
        </w:rPr>
        <w:t>balances among each other with deposits at the central bank). In addition, transactions among enterprises are sometimes based on mutual credit.</w:t>
      </w:r>
    </w:p>
    <w:p w14:paraId="6D6DE777" w14:textId="77777777" w:rsidR="00B6613A"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Banks as the most important issuers of media of payment in the modern economy are subject to regulation and supervision by the state and the central bank. The means of payment issued by banks and central banks can be considered part of the same currency: they share the same unit of account, banks strive to uphold their </w:t>
      </w:r>
      <w:r w:rsidR="00677062">
        <w:rPr>
          <w:rFonts w:ascii="Times New Roman" w:hAnsi="Times New Roman"/>
          <w:sz w:val="24"/>
          <w:lang w:val="en-US"/>
        </w:rPr>
        <w:t xml:space="preserve">promise to exchange bank deposits into cash </w:t>
      </w:r>
      <w:r w:rsidRPr="00CC74F6">
        <w:rPr>
          <w:rFonts w:ascii="Times New Roman" w:hAnsi="Times New Roman"/>
          <w:sz w:val="24"/>
          <w:lang w:val="en-US"/>
        </w:rPr>
        <w:t>on demand, and the issuing behaviour of banks is subject to surveillance by authorities.</w:t>
      </w:r>
    </w:p>
    <w:p w14:paraId="2C55AB14" w14:textId="77777777" w:rsidR="00B6613A" w:rsidRPr="008B2ED9" w:rsidRDefault="00224E3F" w:rsidP="001A1FBC">
      <w:pPr>
        <w:spacing w:before="120" w:after="240" w:line="276" w:lineRule="auto"/>
        <w:rPr>
          <w:rFonts w:ascii="Times New Roman" w:hAnsi="Times New Roman"/>
          <w:sz w:val="24"/>
          <w:lang w:val="en-US"/>
        </w:rPr>
      </w:pPr>
      <w:r w:rsidRPr="00224E3F">
        <w:rPr>
          <w:rFonts w:ascii="Times New Roman" w:hAnsi="Times New Roman"/>
          <w:sz w:val="24"/>
          <w:lang w:val="en-US"/>
        </w:rPr>
        <w:lastRenderedPageBreak/>
        <w:t>In contrast, complementary currencies could be characterized as means of payment issued by entities that are not subject to coordination with official money issuing authorities (state and central bank). Their media of payment are not necessarily denominated in the official unit of account and do not necessarily guarantee par relationship with official currency.</w:t>
      </w:r>
    </w:p>
    <w:p w14:paraId="6D90F900" w14:textId="77777777" w:rsidR="00637980"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To answer the question whether CCs can work as money, a typology of possible meanings of complementarity is proposed as a first step and illustrated with historical examples. In a second step, I discuss determinants of succesful currencies in general.</w:t>
      </w:r>
    </w:p>
    <w:p w14:paraId="6DAD73ED" w14:textId="77777777" w:rsidR="00637980" w:rsidRPr="008B2ED9" w:rsidRDefault="00637980" w:rsidP="001A1FBC">
      <w:pPr>
        <w:spacing w:before="120" w:after="240" w:line="276" w:lineRule="auto"/>
        <w:rPr>
          <w:rFonts w:ascii="Times New Roman" w:hAnsi="Times New Roman"/>
          <w:sz w:val="24"/>
          <w:lang w:val="en-US"/>
        </w:rPr>
      </w:pPr>
    </w:p>
    <w:p w14:paraId="32453FE9" w14:textId="77777777" w:rsidR="00311FB5" w:rsidRPr="008B2ED9" w:rsidRDefault="00B86463" w:rsidP="001A1FBC">
      <w:pPr>
        <w:pStyle w:val="Heading2"/>
        <w:spacing w:after="240"/>
        <w:rPr>
          <w:lang w:val="en-US"/>
        </w:rPr>
      </w:pPr>
      <w:r w:rsidRPr="00B86463">
        <w:rPr>
          <w:lang w:val="en-US"/>
        </w:rPr>
        <w:t>What Does Complementarity Mean?</w:t>
      </w:r>
    </w:p>
    <w:p w14:paraId="25B1AE61" w14:textId="77777777" w:rsidR="00FE24E0"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Today, cash consisting of notes and coins is issued exclusively by the state and its central bank in most currency areas. Banks issue checkable deposits </w:t>
      </w:r>
      <w:r w:rsidR="000217C6">
        <w:rPr>
          <w:rFonts w:ascii="Times New Roman" w:hAnsi="Times New Roman"/>
          <w:sz w:val="24"/>
          <w:lang w:val="en-US"/>
        </w:rPr>
        <w:t>that</w:t>
      </w:r>
      <w:r w:rsidR="000217C6" w:rsidRPr="00CC74F6">
        <w:rPr>
          <w:rFonts w:ascii="Times New Roman" w:hAnsi="Times New Roman"/>
          <w:sz w:val="24"/>
          <w:lang w:val="en-US"/>
        </w:rPr>
        <w:t xml:space="preserve"> </w:t>
      </w:r>
      <w:r w:rsidRPr="00CC74F6">
        <w:rPr>
          <w:rFonts w:ascii="Times New Roman" w:hAnsi="Times New Roman"/>
          <w:sz w:val="24"/>
          <w:lang w:val="en-US"/>
        </w:rPr>
        <w:t>serve as means of payment in everyday economic transactions and are subject to state regulation and supervision.</w:t>
      </w:r>
    </w:p>
    <w:p w14:paraId="2C7B85D2" w14:textId="653B736A" w:rsidR="001C04BE"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Historically, the state was not always the sole issuer of cash. In many English speaking and a few contintental European countries, private banks issued their own notes in the 18th and 19th century, redeemable in </w:t>
      </w:r>
      <w:r w:rsidR="00677062">
        <w:rPr>
          <w:rFonts w:ascii="Times New Roman" w:hAnsi="Times New Roman"/>
          <w:sz w:val="24"/>
          <w:lang w:val="en-US"/>
        </w:rPr>
        <w:t>precious metal</w:t>
      </w:r>
      <w:r w:rsidR="00AD1416">
        <w:rPr>
          <w:rFonts w:ascii="Times New Roman" w:hAnsi="Times New Roman"/>
          <w:sz w:val="24"/>
          <w:lang w:val="en-US"/>
        </w:rPr>
        <w:t>.</w:t>
      </w:r>
      <w:r w:rsidR="00224E3F" w:rsidRPr="00224E3F">
        <w:rPr>
          <w:rStyle w:val="FootnoteReference"/>
          <w:rFonts w:ascii="Times New Roman" w:hAnsi="Times New Roman"/>
          <w:sz w:val="24"/>
          <w:lang w:val="en-US"/>
        </w:rPr>
        <w:footnoteReference w:id="4"/>
      </w:r>
      <w:r w:rsidRPr="00CC74F6">
        <w:rPr>
          <w:rFonts w:ascii="Times New Roman" w:hAnsi="Times New Roman"/>
          <w:sz w:val="24"/>
          <w:lang w:val="en-US"/>
        </w:rPr>
        <w:t xml:space="preserve"> Costly non</w:t>
      </w:r>
      <w:r w:rsidR="005A6C78">
        <w:rPr>
          <w:rFonts w:ascii="Times New Roman" w:hAnsi="Times New Roman"/>
          <w:sz w:val="24"/>
          <w:lang w:val="en-US"/>
        </w:rPr>
        <w:t>-</w:t>
      </w:r>
      <w:r w:rsidRPr="00CC74F6">
        <w:rPr>
          <w:rFonts w:ascii="Times New Roman" w:hAnsi="Times New Roman"/>
          <w:sz w:val="24"/>
          <w:lang w:val="en-US"/>
        </w:rPr>
        <w:t>par exchange among competing issuers, widespread counterfeiting and reocurring bank failures made the costs of such a system so striking that public support grew for a stronger state role</w:t>
      </w:r>
      <w:r w:rsidR="00AD1416">
        <w:rPr>
          <w:rFonts w:ascii="Times New Roman" w:hAnsi="Times New Roman"/>
          <w:sz w:val="24"/>
          <w:lang w:val="en-US"/>
        </w:rPr>
        <w:t>.</w:t>
      </w:r>
      <w:r w:rsidRPr="00CC74F6">
        <w:rPr>
          <w:rStyle w:val="FootnoteReference"/>
          <w:rFonts w:ascii="Times New Roman" w:hAnsi="Times New Roman"/>
          <w:sz w:val="24"/>
          <w:lang w:val="en-US"/>
        </w:rPr>
        <w:footnoteReference w:id="5"/>
      </w:r>
    </w:p>
    <w:p w14:paraId="19C9A72D" w14:textId="77777777" w:rsidR="00D01986" w:rsidRDefault="00224E3F" w:rsidP="001A1FBC">
      <w:pPr>
        <w:spacing w:before="120" w:after="240" w:line="276" w:lineRule="auto"/>
        <w:rPr>
          <w:rFonts w:ascii="Times New Roman" w:hAnsi="Times New Roman"/>
          <w:sz w:val="24"/>
          <w:lang w:val="en-US"/>
        </w:rPr>
      </w:pPr>
      <w:r w:rsidRPr="00224E3F">
        <w:rPr>
          <w:rFonts w:ascii="Times New Roman" w:hAnsi="Times New Roman"/>
          <w:sz w:val="24"/>
          <w:lang w:val="en-US"/>
        </w:rPr>
        <w:t xml:space="preserve">But even after centralization, in a number of episodes in modern economic history, complementary currencies issued by entities other than the sovereign or banks have circulated. We can distinguish these episodes by the CCs respective field of application, giving specific meanings to the term </w:t>
      </w:r>
      <w:r w:rsidRPr="00224E3F">
        <w:rPr>
          <w:rFonts w:ascii="Times New Roman" w:hAnsi="Times New Roman"/>
          <w:i/>
          <w:sz w:val="24"/>
          <w:lang w:val="en-US"/>
        </w:rPr>
        <w:t>complementarity</w:t>
      </w:r>
      <w:r w:rsidRPr="00224E3F">
        <w:rPr>
          <w:rFonts w:ascii="Times New Roman" w:hAnsi="Times New Roman"/>
          <w:sz w:val="24"/>
          <w:lang w:val="en-US"/>
        </w:rPr>
        <w:t xml:space="preserve"> in each.</w:t>
      </w:r>
    </w:p>
    <w:p w14:paraId="681F33AD" w14:textId="77777777" w:rsidR="001A1FBC" w:rsidRPr="008B2ED9" w:rsidRDefault="001A1FBC" w:rsidP="001A1FBC">
      <w:pPr>
        <w:spacing w:before="120" w:after="240" w:line="276" w:lineRule="auto"/>
        <w:rPr>
          <w:rFonts w:ascii="Times New Roman" w:hAnsi="Times New Roman"/>
          <w:sz w:val="24"/>
          <w:lang w:val="en-US"/>
        </w:rPr>
      </w:pPr>
    </w:p>
    <w:p w14:paraId="100E54E2" w14:textId="77777777" w:rsidR="00311FB5" w:rsidRPr="008B2ED9" w:rsidRDefault="001A1FBC" w:rsidP="001A1FBC">
      <w:pPr>
        <w:pStyle w:val="Heading3"/>
        <w:spacing w:after="240"/>
        <w:rPr>
          <w:lang w:val="en-US"/>
        </w:rPr>
      </w:pPr>
      <w:r>
        <w:rPr>
          <w:lang w:val="en-US"/>
        </w:rPr>
        <w:t xml:space="preserve">a) </w:t>
      </w:r>
      <w:r w:rsidR="00CC74F6" w:rsidRPr="00CC74F6">
        <w:rPr>
          <w:lang w:val="en-US"/>
        </w:rPr>
        <w:t xml:space="preserve">Complementarity With Respect to Specific Currency Denominations </w:t>
      </w:r>
    </w:p>
    <w:p w14:paraId="10DB1E32" w14:textId="77777777" w:rsidR="003A5E9C"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Examples include small denomination coins privately issued by shops and bars to overcome shortage of small change in times when the availability of official coins was impaired due to war, crisis, or specific policies. </w:t>
      </w:r>
    </w:p>
    <w:p w14:paraId="41223191" w14:textId="34C79837" w:rsidR="00816572"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In the U</w:t>
      </w:r>
      <w:r w:rsidR="002D094E">
        <w:rPr>
          <w:rFonts w:ascii="Times New Roman" w:hAnsi="Times New Roman" w:cs="Times New Roman"/>
          <w:sz w:val="24"/>
          <w:szCs w:val="24"/>
          <w:lang w:val="en-US"/>
        </w:rPr>
        <w:t>.</w:t>
      </w:r>
      <w:r w:rsidRPr="00CC74F6">
        <w:rPr>
          <w:rFonts w:ascii="Times New Roman" w:hAnsi="Times New Roman" w:cs="Times New Roman"/>
          <w:sz w:val="24"/>
          <w:szCs w:val="24"/>
          <w:lang w:val="en-US"/>
        </w:rPr>
        <w:t>S</w:t>
      </w:r>
      <w:r w:rsidR="002D094E">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 in the 19th century, private banknote issue was dominant. But banks were legally prevented from issuing small-denomination banknotes</w:t>
      </w:r>
      <w:r w:rsidR="00AD1416">
        <w:rPr>
          <w:rFonts w:ascii="Times New Roman" w:hAnsi="Times New Roman" w:cs="Times New Roman"/>
          <w:sz w:val="24"/>
          <w:szCs w:val="24"/>
          <w:lang w:val="en-US"/>
        </w:rPr>
        <w:t>.</w:t>
      </w:r>
      <w:r w:rsidRPr="00CC74F6">
        <w:rPr>
          <w:rStyle w:val="FootnoteReference"/>
          <w:rFonts w:ascii="Times New Roman" w:hAnsi="Times New Roman" w:cs="Times New Roman"/>
          <w:sz w:val="24"/>
          <w:szCs w:val="24"/>
          <w:lang w:val="en-US"/>
        </w:rPr>
        <w:footnoteReference w:id="6"/>
      </w:r>
      <w:r w:rsidRPr="00CC74F6">
        <w:rPr>
          <w:rFonts w:ascii="Times New Roman" w:hAnsi="Times New Roman" w:cs="Times New Roman"/>
          <w:sz w:val="24"/>
          <w:szCs w:val="24"/>
          <w:lang w:val="en-US"/>
        </w:rPr>
        <w:t xml:space="preserve"> Merchants, farmers and companies </w:t>
      </w:r>
      <w:r w:rsidRPr="00CC74F6">
        <w:rPr>
          <w:rFonts w:ascii="Times New Roman" w:hAnsi="Times New Roman" w:cs="Times New Roman"/>
          <w:sz w:val="24"/>
          <w:szCs w:val="24"/>
          <w:lang w:val="en-US"/>
        </w:rPr>
        <w:lastRenderedPageBreak/>
        <w:t xml:space="preserve">filled the gap by issuing paper currency notes and tokens in small denominations, denominated in dollars, or goods and services rendered. These tokens could be used to pay for products of the issuer and sometimes circulated among the general public. The same happened during </w:t>
      </w:r>
      <w:r w:rsidR="008672EF">
        <w:rPr>
          <w:rFonts w:ascii="Times New Roman" w:hAnsi="Times New Roman" w:cs="Times New Roman"/>
          <w:sz w:val="24"/>
          <w:szCs w:val="24"/>
          <w:lang w:val="en-US"/>
        </w:rPr>
        <w:t xml:space="preserve">the </w:t>
      </w:r>
      <w:r w:rsidRPr="00CC74F6">
        <w:rPr>
          <w:rFonts w:ascii="Times New Roman" w:hAnsi="Times New Roman" w:cs="Times New Roman"/>
          <w:sz w:val="24"/>
          <w:szCs w:val="24"/>
          <w:lang w:val="en-US"/>
        </w:rPr>
        <w:t>U</w:t>
      </w:r>
      <w:r w:rsidR="002D094E">
        <w:rPr>
          <w:rFonts w:ascii="Times New Roman" w:hAnsi="Times New Roman" w:cs="Times New Roman"/>
          <w:sz w:val="24"/>
          <w:szCs w:val="24"/>
          <w:lang w:val="en-US"/>
        </w:rPr>
        <w:t>.</w:t>
      </w:r>
      <w:r w:rsidRPr="00CC74F6">
        <w:rPr>
          <w:rFonts w:ascii="Times New Roman" w:hAnsi="Times New Roman" w:cs="Times New Roman"/>
          <w:sz w:val="24"/>
          <w:szCs w:val="24"/>
          <w:lang w:val="en-US"/>
        </w:rPr>
        <w:t>S</w:t>
      </w:r>
      <w:r w:rsidR="002D094E">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 civil war, when inflation led the price of precious metals to rise above their minted value in coins, causing metallic coins to disappear from circulation. Eventually, authorities filled the temporary gap again, and the use of private substitutes receded</w:t>
      </w:r>
      <w:r w:rsidR="00AD1416">
        <w:rPr>
          <w:rFonts w:ascii="Times New Roman" w:hAnsi="Times New Roman" w:cs="Times New Roman"/>
          <w:sz w:val="24"/>
          <w:szCs w:val="24"/>
          <w:lang w:val="en-US"/>
        </w:rPr>
        <w:t>.</w:t>
      </w:r>
      <w:r w:rsidRPr="00CC74F6">
        <w:rPr>
          <w:rStyle w:val="FootnoteReference"/>
          <w:rFonts w:ascii="Times New Roman" w:hAnsi="Times New Roman" w:cs="Times New Roman"/>
          <w:sz w:val="24"/>
          <w:szCs w:val="24"/>
          <w:lang w:val="en-US"/>
        </w:rPr>
        <w:footnoteReference w:id="7"/>
      </w:r>
    </w:p>
    <w:p w14:paraId="57D45381" w14:textId="01BF9FC1" w:rsidR="0032688D" w:rsidRDefault="00224E3F" w:rsidP="001A1FBC">
      <w:pPr>
        <w:pStyle w:val="PlainText"/>
        <w:spacing w:before="120" w:after="240" w:line="276" w:lineRule="auto"/>
        <w:rPr>
          <w:rFonts w:ascii="Times New Roman" w:hAnsi="Times New Roman" w:cs="Times New Roman"/>
          <w:sz w:val="24"/>
          <w:szCs w:val="24"/>
          <w:lang w:val="en-US"/>
        </w:rPr>
      </w:pPr>
      <w:r w:rsidRPr="00224E3F">
        <w:rPr>
          <w:rFonts w:ascii="Times New Roman" w:hAnsi="Times New Roman" w:cs="Times New Roman"/>
          <w:sz w:val="24"/>
          <w:szCs w:val="24"/>
          <w:lang w:val="en-US"/>
        </w:rPr>
        <w:t>Many observers see small denomination online payments as a current example where usage of official currency is impaired by high transaction fees of payment service providers</w:t>
      </w:r>
      <w:r w:rsidR="00AD1416">
        <w:rPr>
          <w:rFonts w:ascii="Times New Roman" w:hAnsi="Times New Roman" w:cs="Times New Roman"/>
          <w:sz w:val="24"/>
          <w:szCs w:val="24"/>
          <w:lang w:val="en-US"/>
        </w:rPr>
        <w:t>,</w:t>
      </w:r>
      <w:r w:rsidRPr="00224E3F">
        <w:rPr>
          <w:rFonts w:ascii="Times New Roman" w:hAnsi="Times New Roman" w:cs="Times New Roman"/>
          <w:sz w:val="24"/>
          <w:szCs w:val="24"/>
          <w:lang w:val="en-US"/>
        </w:rPr>
        <w:t xml:space="preserve"> opening a window for complementary currencies. In this case, it is not the unavailability of official currency in small denominations per se but the prevailing transaction costs involved in making online payments</w:t>
      </w:r>
      <w:r w:rsidR="005A6C78">
        <w:rPr>
          <w:rFonts w:ascii="Times New Roman" w:hAnsi="Times New Roman" w:cs="Times New Roman"/>
          <w:sz w:val="24"/>
          <w:szCs w:val="24"/>
          <w:lang w:val="en-US"/>
        </w:rPr>
        <w:t>,</w:t>
      </w:r>
      <w:r w:rsidRPr="00224E3F">
        <w:rPr>
          <w:rFonts w:ascii="Times New Roman" w:hAnsi="Times New Roman" w:cs="Times New Roman"/>
          <w:sz w:val="24"/>
          <w:szCs w:val="24"/>
          <w:lang w:val="en-US"/>
        </w:rPr>
        <w:t xml:space="preserve"> </w:t>
      </w:r>
      <w:r w:rsidR="005A6C78">
        <w:rPr>
          <w:rFonts w:ascii="Times New Roman" w:hAnsi="Times New Roman" w:cs="Times New Roman"/>
          <w:sz w:val="24"/>
          <w:szCs w:val="24"/>
          <w:lang w:val="en-US"/>
        </w:rPr>
        <w:t>which</w:t>
      </w:r>
      <w:r w:rsidR="005A6C78" w:rsidRPr="00224E3F">
        <w:rPr>
          <w:rFonts w:ascii="Times New Roman" w:hAnsi="Times New Roman" w:cs="Times New Roman"/>
          <w:sz w:val="24"/>
          <w:szCs w:val="24"/>
          <w:lang w:val="en-US"/>
        </w:rPr>
        <w:t xml:space="preserve"> </w:t>
      </w:r>
      <w:r w:rsidRPr="00224E3F">
        <w:rPr>
          <w:rFonts w:ascii="Times New Roman" w:hAnsi="Times New Roman" w:cs="Times New Roman"/>
          <w:sz w:val="24"/>
          <w:szCs w:val="24"/>
          <w:lang w:val="en-US"/>
        </w:rPr>
        <w:t xml:space="preserve">may deter users from making small denomination payments in official currency. Established payment service providers (like Paypal, credit card firms, Western Union etc.) charge fees for their services which can be so high in relation to the payment sums as to deter small-sum transactions altogether. Filling that gap is one of the uses which Bitcoin and similar cryptocurrency schemes are designed for. By making the provision of payment services a byproduct of competition among Bitcoin </w:t>
      </w:r>
      <w:r w:rsidR="00635245" w:rsidRPr="008B2ED9">
        <w:rPr>
          <w:rFonts w:ascii="Times New Roman" w:hAnsi="Times New Roman" w:cs="Times New Roman"/>
          <w:sz w:val="24"/>
          <w:szCs w:val="24"/>
          <w:lang w:val="en-US"/>
        </w:rPr>
        <w:t>‘</w:t>
      </w:r>
      <w:r w:rsidR="003B58DD" w:rsidRPr="008B2ED9">
        <w:rPr>
          <w:rFonts w:ascii="Times New Roman" w:hAnsi="Times New Roman" w:cs="Times New Roman"/>
          <w:sz w:val="24"/>
          <w:szCs w:val="24"/>
          <w:lang w:val="en-US"/>
        </w:rPr>
        <w:t>miners</w:t>
      </w:r>
      <w:r w:rsidR="00635245" w:rsidRPr="008B2ED9">
        <w:rPr>
          <w:rFonts w:ascii="Times New Roman" w:hAnsi="Times New Roman" w:cs="Times New Roman"/>
          <w:sz w:val="24"/>
          <w:szCs w:val="24"/>
          <w:lang w:val="en-US"/>
        </w:rPr>
        <w:t>’</w:t>
      </w:r>
      <w:r w:rsidR="003B58DD" w:rsidRPr="008B2ED9">
        <w:rPr>
          <w:rFonts w:ascii="Times New Roman" w:hAnsi="Times New Roman" w:cs="Times New Roman"/>
          <w:sz w:val="24"/>
          <w:szCs w:val="24"/>
          <w:lang w:val="en-US"/>
        </w:rPr>
        <w:t xml:space="preserve"> for obtaining new currency from the vault, transaction fees </w:t>
      </w:r>
      <w:r w:rsidR="0074485F" w:rsidRPr="008B2ED9">
        <w:rPr>
          <w:rFonts w:ascii="Times New Roman" w:hAnsi="Times New Roman" w:cs="Times New Roman"/>
          <w:sz w:val="24"/>
          <w:szCs w:val="24"/>
          <w:lang w:val="en-US"/>
        </w:rPr>
        <w:t xml:space="preserve">for users </w:t>
      </w:r>
      <w:r w:rsidR="003B58DD" w:rsidRPr="008B2ED9">
        <w:rPr>
          <w:rFonts w:ascii="Times New Roman" w:hAnsi="Times New Roman" w:cs="Times New Roman"/>
          <w:sz w:val="24"/>
          <w:szCs w:val="24"/>
          <w:lang w:val="en-US"/>
        </w:rPr>
        <w:t>are kept very low in the introductory phase</w:t>
      </w:r>
      <w:r w:rsidR="005A404B" w:rsidRPr="008B2ED9">
        <w:rPr>
          <w:rFonts w:ascii="Times New Roman" w:hAnsi="Times New Roman" w:cs="Times New Roman"/>
          <w:sz w:val="24"/>
          <w:szCs w:val="24"/>
          <w:lang w:val="en-US"/>
        </w:rPr>
        <w:t xml:space="preserve"> of the project</w:t>
      </w:r>
      <w:r w:rsidR="003B58DD" w:rsidRPr="008B2ED9">
        <w:rPr>
          <w:rFonts w:ascii="Times New Roman" w:hAnsi="Times New Roman" w:cs="Times New Roman"/>
          <w:sz w:val="24"/>
          <w:szCs w:val="24"/>
          <w:lang w:val="en-US"/>
        </w:rPr>
        <w:t>. In contrast to payment service providers in official currencies, who have to recover their cost</w:t>
      </w:r>
      <w:r w:rsidR="005A404B" w:rsidRPr="008B2ED9">
        <w:rPr>
          <w:rFonts w:ascii="Times New Roman" w:hAnsi="Times New Roman" w:cs="Times New Roman"/>
          <w:sz w:val="24"/>
          <w:szCs w:val="24"/>
          <w:lang w:val="en-US"/>
        </w:rPr>
        <w:t>s</w:t>
      </w:r>
      <w:r w:rsidR="003B58DD" w:rsidRPr="008B2ED9">
        <w:rPr>
          <w:rFonts w:ascii="Times New Roman" w:hAnsi="Times New Roman" w:cs="Times New Roman"/>
          <w:sz w:val="24"/>
          <w:szCs w:val="24"/>
          <w:lang w:val="en-US"/>
        </w:rPr>
        <w:t xml:space="preserve"> through fees, the Bitcoin network compensates their service providers with newly issued currency. Based on the expectation that limited supply will increase Bitcoin</w:t>
      </w:r>
      <w:r w:rsidR="00F0164B">
        <w:rPr>
          <w:rFonts w:ascii="Times New Roman" w:hAnsi="Times New Roman" w:cs="Times New Roman"/>
          <w:sz w:val="24"/>
          <w:szCs w:val="24"/>
          <w:lang w:val="en-US"/>
        </w:rPr>
        <w:t>’</w:t>
      </w:r>
      <w:r w:rsidR="003B58DD" w:rsidRPr="008B2ED9">
        <w:rPr>
          <w:rFonts w:ascii="Times New Roman" w:hAnsi="Times New Roman" w:cs="Times New Roman"/>
          <w:sz w:val="24"/>
          <w:szCs w:val="24"/>
          <w:lang w:val="en-US"/>
        </w:rPr>
        <w:t xml:space="preserve">s value in terms of official currency, the network has so far been able to attract sufficient volunteers </w:t>
      </w:r>
      <w:r w:rsidR="00DE2EE7" w:rsidRPr="008B2ED9">
        <w:rPr>
          <w:rFonts w:ascii="Times New Roman" w:hAnsi="Times New Roman" w:cs="Times New Roman"/>
          <w:sz w:val="24"/>
          <w:szCs w:val="24"/>
          <w:lang w:val="en-US"/>
        </w:rPr>
        <w:t>(</w:t>
      </w:r>
      <w:r w:rsidR="008B2ED9">
        <w:rPr>
          <w:rFonts w:ascii="Times New Roman" w:hAnsi="Times New Roman" w:cs="Times New Roman"/>
          <w:sz w:val="24"/>
          <w:szCs w:val="24"/>
          <w:lang w:val="en-US"/>
        </w:rPr>
        <w:t>‘</w:t>
      </w:r>
      <w:r w:rsidR="00DE2EE7" w:rsidRPr="008B2ED9">
        <w:rPr>
          <w:rFonts w:ascii="Times New Roman" w:hAnsi="Times New Roman" w:cs="Times New Roman"/>
          <w:sz w:val="24"/>
          <w:szCs w:val="24"/>
          <w:lang w:val="en-US"/>
        </w:rPr>
        <w:t>miners</w:t>
      </w:r>
      <w:r w:rsidR="008B2ED9">
        <w:rPr>
          <w:rFonts w:ascii="Times New Roman" w:hAnsi="Times New Roman" w:cs="Times New Roman"/>
          <w:sz w:val="24"/>
          <w:szCs w:val="24"/>
          <w:lang w:val="en-US"/>
        </w:rPr>
        <w:t>’</w:t>
      </w:r>
      <w:r w:rsidR="00DE2EE7" w:rsidRPr="008B2ED9">
        <w:rPr>
          <w:rFonts w:ascii="Times New Roman" w:hAnsi="Times New Roman" w:cs="Times New Roman"/>
          <w:sz w:val="24"/>
          <w:szCs w:val="24"/>
          <w:lang w:val="en-US"/>
        </w:rPr>
        <w:t xml:space="preserve">) </w:t>
      </w:r>
      <w:r w:rsidR="003B58DD" w:rsidRPr="008B2ED9">
        <w:rPr>
          <w:rFonts w:ascii="Times New Roman" w:hAnsi="Times New Roman" w:cs="Times New Roman"/>
          <w:sz w:val="24"/>
          <w:szCs w:val="24"/>
          <w:lang w:val="en-US"/>
        </w:rPr>
        <w:t xml:space="preserve">ready to engage in that gamble, in turn </w:t>
      </w:r>
      <w:r w:rsidR="003311D1" w:rsidRPr="008B2ED9">
        <w:rPr>
          <w:rFonts w:ascii="Times New Roman" w:hAnsi="Times New Roman" w:cs="Times New Roman"/>
          <w:sz w:val="24"/>
          <w:szCs w:val="24"/>
          <w:lang w:val="en-US"/>
        </w:rPr>
        <w:t>enabling</w:t>
      </w:r>
      <w:r w:rsidR="003B58DD" w:rsidRPr="008B2ED9">
        <w:rPr>
          <w:rFonts w:ascii="Times New Roman" w:hAnsi="Times New Roman" w:cs="Times New Roman"/>
          <w:sz w:val="24"/>
          <w:szCs w:val="24"/>
          <w:lang w:val="en-US"/>
        </w:rPr>
        <w:t xml:space="preserve"> </w:t>
      </w:r>
      <w:r w:rsidR="003311D1" w:rsidRPr="008B2ED9">
        <w:rPr>
          <w:rFonts w:ascii="Times New Roman" w:hAnsi="Times New Roman" w:cs="Times New Roman"/>
          <w:sz w:val="24"/>
          <w:szCs w:val="24"/>
          <w:lang w:val="en-US"/>
        </w:rPr>
        <w:t>cheap transactions among</w:t>
      </w:r>
      <w:r w:rsidR="003B58DD" w:rsidRPr="008B2ED9">
        <w:rPr>
          <w:rFonts w:ascii="Times New Roman" w:hAnsi="Times New Roman" w:cs="Times New Roman"/>
          <w:sz w:val="24"/>
          <w:szCs w:val="24"/>
          <w:lang w:val="en-US"/>
        </w:rPr>
        <w:t xml:space="preserve"> users of its payment network (that nevertheless entail considerable loss risks).</w:t>
      </w:r>
      <w:r w:rsidR="00426E42">
        <w:rPr>
          <w:rStyle w:val="FootnoteReference"/>
          <w:rFonts w:ascii="Times New Roman" w:hAnsi="Times New Roman" w:cs="Times New Roman"/>
          <w:sz w:val="24"/>
          <w:szCs w:val="24"/>
          <w:lang w:val="en-US"/>
        </w:rPr>
        <w:footnoteReference w:id="8"/>
      </w:r>
      <w:r w:rsidR="003B58DD" w:rsidRPr="008B2ED9">
        <w:rPr>
          <w:rFonts w:ascii="Times New Roman" w:hAnsi="Times New Roman" w:cs="Times New Roman"/>
          <w:sz w:val="24"/>
          <w:szCs w:val="24"/>
          <w:lang w:val="en-US"/>
        </w:rPr>
        <w:t xml:space="preserve"> </w:t>
      </w:r>
    </w:p>
    <w:p w14:paraId="07944ED0" w14:textId="77777777" w:rsidR="001A1FBC" w:rsidRPr="008B2ED9" w:rsidRDefault="001A1FBC" w:rsidP="001A1FBC">
      <w:pPr>
        <w:pStyle w:val="PlainText"/>
        <w:spacing w:before="120" w:after="240" w:line="276" w:lineRule="auto"/>
        <w:rPr>
          <w:rFonts w:ascii="Times New Roman" w:hAnsi="Times New Roman" w:cs="Times New Roman"/>
          <w:sz w:val="24"/>
          <w:szCs w:val="24"/>
          <w:lang w:val="en-US"/>
        </w:rPr>
      </w:pPr>
    </w:p>
    <w:p w14:paraId="5FA037F5" w14:textId="77777777" w:rsidR="00311FB5" w:rsidRPr="005B0895" w:rsidRDefault="001A1FBC" w:rsidP="001A1FBC">
      <w:pPr>
        <w:pStyle w:val="Heading3"/>
        <w:rPr>
          <w:lang w:val="en-US"/>
        </w:rPr>
      </w:pPr>
      <w:r>
        <w:rPr>
          <w:lang w:val="en-US"/>
        </w:rPr>
        <w:t xml:space="preserve">b) </w:t>
      </w:r>
      <w:r w:rsidR="00637980" w:rsidRPr="005B0895">
        <w:rPr>
          <w:lang w:val="en-US"/>
        </w:rPr>
        <w:t xml:space="preserve">Complementarity </w:t>
      </w:r>
      <w:r w:rsidR="00A45FB3" w:rsidRPr="005B0895">
        <w:rPr>
          <w:lang w:val="en-US"/>
        </w:rPr>
        <w:t>W</w:t>
      </w:r>
      <w:r w:rsidR="00637980" w:rsidRPr="005B0895">
        <w:rPr>
          <w:lang w:val="en-US"/>
        </w:rPr>
        <w:t xml:space="preserve">ith </w:t>
      </w:r>
      <w:r w:rsidR="00A45FB3" w:rsidRPr="005B0895">
        <w:rPr>
          <w:lang w:val="en-US"/>
        </w:rPr>
        <w:t>R</w:t>
      </w:r>
      <w:r w:rsidR="00637980" w:rsidRPr="005B0895">
        <w:rPr>
          <w:lang w:val="en-US"/>
        </w:rPr>
        <w:t xml:space="preserve">espect to </w:t>
      </w:r>
      <w:r w:rsidR="00A45FB3" w:rsidRPr="005B0895">
        <w:rPr>
          <w:lang w:val="en-US"/>
        </w:rPr>
        <w:t>S</w:t>
      </w:r>
      <w:r w:rsidR="00F24075" w:rsidRPr="005B0895">
        <w:rPr>
          <w:lang w:val="en-US"/>
        </w:rPr>
        <w:t xml:space="preserve">pecific </w:t>
      </w:r>
      <w:r w:rsidR="00A45FB3" w:rsidRPr="005B0895">
        <w:rPr>
          <w:lang w:val="en-US"/>
        </w:rPr>
        <w:t>G</w:t>
      </w:r>
      <w:r w:rsidR="0074485F" w:rsidRPr="005B0895">
        <w:rPr>
          <w:lang w:val="en-US"/>
        </w:rPr>
        <w:t xml:space="preserve">eographical </w:t>
      </w:r>
      <w:r w:rsidR="00A45FB3" w:rsidRPr="005B0895">
        <w:rPr>
          <w:lang w:val="en-US"/>
        </w:rPr>
        <w:t>A</w:t>
      </w:r>
      <w:r w:rsidR="0074485F" w:rsidRPr="005B0895">
        <w:rPr>
          <w:lang w:val="en-US"/>
        </w:rPr>
        <w:t>reas</w:t>
      </w:r>
    </w:p>
    <w:p w14:paraId="208FAD43" w14:textId="77777777" w:rsidR="0074485F" w:rsidRPr="008B2ED9" w:rsidRDefault="00634730"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 xml:space="preserve">There were a number of episodes in history where regions (or private actors within regions) temporarily introduced complementary currencies because they experienced shortage of cash </w:t>
      </w:r>
      <w:r w:rsidR="00D23472" w:rsidRPr="008B2ED9">
        <w:rPr>
          <w:rFonts w:ascii="Times New Roman" w:hAnsi="Times New Roman" w:cs="Times New Roman"/>
          <w:sz w:val="24"/>
          <w:szCs w:val="24"/>
          <w:lang w:val="en-US"/>
        </w:rPr>
        <w:t>in the wake of</w:t>
      </w:r>
      <w:r w:rsidRPr="008B2ED9">
        <w:rPr>
          <w:rFonts w:ascii="Times New Roman" w:hAnsi="Times New Roman" w:cs="Times New Roman"/>
          <w:sz w:val="24"/>
          <w:szCs w:val="24"/>
          <w:lang w:val="en-US"/>
        </w:rPr>
        <w:t xml:space="preserve"> interruptions of the financial infrastructure. </w:t>
      </w:r>
    </w:p>
    <w:p w14:paraId="42F6B576" w14:textId="77777777" w:rsidR="00314451" w:rsidRPr="008B2ED9" w:rsidRDefault="00314451"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Mining and lumber companies of the 19th century in the U</w:t>
      </w:r>
      <w:r w:rsidR="007E2B48">
        <w:rPr>
          <w:rFonts w:ascii="Times New Roman" w:hAnsi="Times New Roman" w:cs="Times New Roman"/>
          <w:sz w:val="24"/>
          <w:szCs w:val="24"/>
          <w:lang w:val="en-US"/>
        </w:rPr>
        <w:t>.</w:t>
      </w:r>
      <w:r w:rsidRPr="008B2ED9">
        <w:rPr>
          <w:rFonts w:ascii="Times New Roman" w:hAnsi="Times New Roman" w:cs="Times New Roman"/>
          <w:sz w:val="24"/>
          <w:szCs w:val="24"/>
          <w:lang w:val="en-US"/>
        </w:rPr>
        <w:t>S</w:t>
      </w:r>
      <w:r w:rsidR="007E2B48">
        <w:rPr>
          <w:rFonts w:ascii="Times New Roman" w:hAnsi="Times New Roman" w:cs="Times New Roman"/>
          <w:sz w:val="24"/>
          <w:szCs w:val="24"/>
          <w:lang w:val="en-US"/>
        </w:rPr>
        <w:t>.</w:t>
      </w:r>
      <w:r w:rsidRPr="008B2ED9">
        <w:rPr>
          <w:rFonts w:ascii="Times New Roman" w:hAnsi="Times New Roman" w:cs="Times New Roman"/>
          <w:sz w:val="24"/>
          <w:szCs w:val="24"/>
          <w:lang w:val="en-US"/>
        </w:rPr>
        <w:t xml:space="preserve"> and elsewhere were often active in remote locations. Setting up company towns and serving their staff through company stores, these companies often issued their own currency </w:t>
      </w:r>
      <w:r w:rsidR="005A404B" w:rsidRPr="008B2ED9">
        <w:rPr>
          <w:rFonts w:ascii="Times New Roman" w:hAnsi="Times New Roman" w:cs="Times New Roman"/>
          <w:sz w:val="24"/>
          <w:szCs w:val="24"/>
          <w:lang w:val="en-US"/>
        </w:rPr>
        <w:t xml:space="preserve">(redeemable against goods in the company store) </w:t>
      </w:r>
      <w:r w:rsidRPr="008B2ED9">
        <w:rPr>
          <w:rFonts w:ascii="Times New Roman" w:hAnsi="Times New Roman" w:cs="Times New Roman"/>
          <w:sz w:val="24"/>
          <w:szCs w:val="24"/>
          <w:lang w:val="en-US"/>
        </w:rPr>
        <w:t xml:space="preserve">to pay workers. </w:t>
      </w:r>
      <w:r w:rsidR="005B0895">
        <w:rPr>
          <w:rFonts w:ascii="Times New Roman" w:hAnsi="Times New Roman" w:cs="Times New Roman"/>
          <w:sz w:val="24"/>
          <w:szCs w:val="24"/>
          <w:lang w:val="en-US"/>
        </w:rPr>
        <w:t>They</w:t>
      </w:r>
      <w:r w:rsidRPr="008B2ED9">
        <w:rPr>
          <w:rFonts w:ascii="Times New Roman" w:hAnsi="Times New Roman" w:cs="Times New Roman"/>
          <w:sz w:val="24"/>
          <w:szCs w:val="24"/>
          <w:lang w:val="en-US"/>
        </w:rPr>
        <w:t xml:space="preserve"> could </w:t>
      </w:r>
      <w:r w:rsidR="005B0895">
        <w:rPr>
          <w:rFonts w:ascii="Times New Roman" w:hAnsi="Times New Roman" w:cs="Times New Roman"/>
          <w:sz w:val="24"/>
          <w:szCs w:val="24"/>
          <w:lang w:val="en-US"/>
        </w:rPr>
        <w:t xml:space="preserve">thereby </w:t>
      </w:r>
      <w:r w:rsidRPr="008B2ED9">
        <w:rPr>
          <w:rFonts w:ascii="Times New Roman" w:hAnsi="Times New Roman" w:cs="Times New Roman"/>
          <w:sz w:val="24"/>
          <w:szCs w:val="24"/>
          <w:lang w:val="en-US"/>
        </w:rPr>
        <w:t xml:space="preserve">overcome costs and risks involved in </w:t>
      </w:r>
      <w:r w:rsidRPr="008B2ED9">
        <w:rPr>
          <w:rFonts w:ascii="Times New Roman" w:hAnsi="Times New Roman" w:cs="Times New Roman"/>
          <w:sz w:val="24"/>
          <w:szCs w:val="24"/>
          <w:lang w:val="en-US"/>
        </w:rPr>
        <w:lastRenderedPageBreak/>
        <w:t>large distance transportation of physical currency</w:t>
      </w:r>
      <w:r w:rsidR="00E47CF2" w:rsidRPr="008B2ED9">
        <w:rPr>
          <w:rFonts w:ascii="Times New Roman" w:hAnsi="Times New Roman" w:cs="Times New Roman"/>
          <w:sz w:val="24"/>
          <w:szCs w:val="24"/>
          <w:lang w:val="en-US"/>
        </w:rPr>
        <w:t>,</w:t>
      </w:r>
      <w:r w:rsidR="00B84746">
        <w:rPr>
          <w:rStyle w:val="FootnoteReference"/>
          <w:rFonts w:ascii="Times New Roman" w:hAnsi="Times New Roman" w:cs="Times New Roman"/>
          <w:sz w:val="24"/>
          <w:szCs w:val="24"/>
          <w:lang w:val="en-US"/>
        </w:rPr>
        <w:footnoteReference w:id="9"/>
      </w:r>
      <w:r w:rsidRPr="008B2ED9">
        <w:rPr>
          <w:rFonts w:ascii="Times New Roman" w:hAnsi="Times New Roman" w:cs="Times New Roman"/>
          <w:sz w:val="24"/>
          <w:szCs w:val="24"/>
          <w:lang w:val="en-US"/>
        </w:rPr>
        <w:t xml:space="preserve"> and profit from the advantages in holding a local monopoly in offering </w:t>
      </w:r>
      <w:r w:rsidR="005A404B" w:rsidRPr="008B2ED9">
        <w:rPr>
          <w:rFonts w:ascii="Times New Roman" w:hAnsi="Times New Roman" w:cs="Times New Roman"/>
          <w:sz w:val="24"/>
          <w:szCs w:val="24"/>
          <w:lang w:val="en-US"/>
        </w:rPr>
        <w:t xml:space="preserve">employment and </w:t>
      </w:r>
      <w:r w:rsidRPr="008B2ED9">
        <w:rPr>
          <w:rFonts w:ascii="Times New Roman" w:hAnsi="Times New Roman" w:cs="Times New Roman"/>
          <w:sz w:val="24"/>
          <w:szCs w:val="24"/>
          <w:lang w:val="en-US"/>
        </w:rPr>
        <w:t xml:space="preserve">goods, pricing them and issuing the means of payment. </w:t>
      </w:r>
      <w:r w:rsidR="001C04BE" w:rsidRPr="008B2ED9">
        <w:rPr>
          <w:rFonts w:ascii="Times New Roman" w:hAnsi="Times New Roman" w:cs="Times New Roman"/>
          <w:sz w:val="24"/>
          <w:szCs w:val="24"/>
          <w:lang w:val="en-US"/>
        </w:rPr>
        <w:t xml:space="preserve">Prisoner of war camps, military bases abroad and ships on long voyages have also </w:t>
      </w:r>
      <w:r w:rsidR="003311D1" w:rsidRPr="008B2ED9">
        <w:rPr>
          <w:rFonts w:ascii="Times New Roman" w:hAnsi="Times New Roman" w:cs="Times New Roman"/>
          <w:sz w:val="24"/>
          <w:szCs w:val="24"/>
          <w:lang w:val="en-US"/>
        </w:rPr>
        <w:t>set up similar schemes</w:t>
      </w:r>
      <w:r w:rsidR="001C04BE" w:rsidRPr="008B2ED9">
        <w:rPr>
          <w:rFonts w:ascii="Times New Roman" w:hAnsi="Times New Roman" w:cs="Times New Roman"/>
          <w:sz w:val="24"/>
          <w:szCs w:val="24"/>
          <w:lang w:val="en-US"/>
        </w:rPr>
        <w:t>.</w:t>
      </w:r>
      <w:r w:rsidR="001A1FBC">
        <w:rPr>
          <w:rFonts w:ascii="Times New Roman" w:hAnsi="Times New Roman" w:cs="Times New Roman"/>
          <w:sz w:val="24"/>
          <w:szCs w:val="24"/>
          <w:lang w:val="en-US"/>
        </w:rPr>
        <w:t xml:space="preserve"> </w:t>
      </w:r>
      <w:r w:rsidR="00EE2807" w:rsidRPr="008B2ED9">
        <w:rPr>
          <w:rFonts w:ascii="Times New Roman" w:hAnsi="Times New Roman" w:cs="Times New Roman"/>
          <w:sz w:val="24"/>
          <w:szCs w:val="24"/>
          <w:lang w:val="en-US"/>
        </w:rPr>
        <w:t xml:space="preserve">With growing reach of financial infrastructure and the diffusion of electronic forms of payment, such arrangements have become </w:t>
      </w:r>
      <w:r w:rsidR="00EB176E" w:rsidRPr="008B2ED9">
        <w:rPr>
          <w:rFonts w:ascii="Times New Roman" w:hAnsi="Times New Roman" w:cs="Times New Roman"/>
          <w:sz w:val="24"/>
          <w:szCs w:val="24"/>
          <w:lang w:val="en-US"/>
        </w:rPr>
        <w:t xml:space="preserve">more or less </w:t>
      </w:r>
      <w:r w:rsidR="00EE2807" w:rsidRPr="008B2ED9">
        <w:rPr>
          <w:rFonts w:ascii="Times New Roman" w:hAnsi="Times New Roman" w:cs="Times New Roman"/>
          <w:sz w:val="24"/>
          <w:szCs w:val="24"/>
          <w:lang w:val="en-US"/>
        </w:rPr>
        <w:t>superfluous.</w:t>
      </w:r>
    </w:p>
    <w:p w14:paraId="0D9C4CB5" w14:textId="4EEAFC13" w:rsidR="00314451" w:rsidRPr="008B2ED9" w:rsidRDefault="00F10DC7" w:rsidP="001A1FBC">
      <w:pPr>
        <w:pStyle w:val="PlainText"/>
        <w:spacing w:before="120"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t>During</w:t>
      </w:r>
      <w:r w:rsidRPr="008B2ED9">
        <w:rPr>
          <w:rFonts w:ascii="Times New Roman" w:hAnsi="Times New Roman" w:cs="Times New Roman"/>
          <w:sz w:val="24"/>
          <w:szCs w:val="24"/>
          <w:lang w:val="en-US"/>
        </w:rPr>
        <w:t xml:space="preserve"> </w:t>
      </w:r>
      <w:r w:rsidR="00314451" w:rsidRPr="008B2ED9">
        <w:rPr>
          <w:rFonts w:ascii="Times New Roman" w:hAnsi="Times New Roman" w:cs="Times New Roman"/>
          <w:sz w:val="24"/>
          <w:szCs w:val="24"/>
          <w:lang w:val="en-US"/>
        </w:rPr>
        <w:t xml:space="preserve">the </w:t>
      </w:r>
      <w:r w:rsidR="00D23472" w:rsidRPr="008B2ED9">
        <w:rPr>
          <w:rFonts w:ascii="Times New Roman" w:hAnsi="Times New Roman" w:cs="Times New Roman"/>
          <w:sz w:val="24"/>
          <w:szCs w:val="24"/>
          <w:lang w:val="en-US"/>
        </w:rPr>
        <w:t>G</w:t>
      </w:r>
      <w:r w:rsidR="00314451" w:rsidRPr="008B2ED9">
        <w:rPr>
          <w:rFonts w:ascii="Times New Roman" w:hAnsi="Times New Roman" w:cs="Times New Roman"/>
          <w:sz w:val="24"/>
          <w:szCs w:val="24"/>
          <w:lang w:val="en-US"/>
        </w:rPr>
        <w:t xml:space="preserve">reat </w:t>
      </w:r>
      <w:r w:rsidR="00D23472" w:rsidRPr="008B2ED9">
        <w:rPr>
          <w:rFonts w:ascii="Times New Roman" w:hAnsi="Times New Roman" w:cs="Times New Roman"/>
          <w:sz w:val="24"/>
          <w:szCs w:val="24"/>
          <w:lang w:val="en-US"/>
        </w:rPr>
        <w:t>D</w:t>
      </w:r>
      <w:r w:rsidR="00314451" w:rsidRPr="008B2ED9">
        <w:rPr>
          <w:rFonts w:ascii="Times New Roman" w:hAnsi="Times New Roman" w:cs="Times New Roman"/>
          <w:sz w:val="24"/>
          <w:szCs w:val="24"/>
          <w:lang w:val="en-US"/>
        </w:rPr>
        <w:t xml:space="preserve">epression of the 1930s, banks </w:t>
      </w:r>
      <w:r w:rsidR="003D601F" w:rsidRPr="008B2ED9">
        <w:rPr>
          <w:rFonts w:ascii="Times New Roman" w:hAnsi="Times New Roman" w:cs="Times New Roman"/>
          <w:sz w:val="24"/>
          <w:szCs w:val="24"/>
          <w:lang w:val="en-US"/>
        </w:rPr>
        <w:t xml:space="preserve">in many regions </w:t>
      </w:r>
      <w:r w:rsidR="00314451" w:rsidRPr="008B2ED9">
        <w:rPr>
          <w:rFonts w:ascii="Times New Roman" w:hAnsi="Times New Roman" w:cs="Times New Roman"/>
          <w:sz w:val="24"/>
          <w:szCs w:val="24"/>
          <w:lang w:val="en-US"/>
        </w:rPr>
        <w:t xml:space="preserve">closed or restricted the amount </w:t>
      </w:r>
      <w:r w:rsidR="003311D1" w:rsidRPr="008B2ED9">
        <w:rPr>
          <w:rFonts w:ascii="Times New Roman" w:hAnsi="Times New Roman" w:cs="Times New Roman"/>
          <w:sz w:val="24"/>
          <w:szCs w:val="24"/>
          <w:lang w:val="en-US"/>
        </w:rPr>
        <w:t xml:space="preserve">of cash </w:t>
      </w:r>
      <w:r w:rsidR="00314451" w:rsidRPr="008B2ED9">
        <w:rPr>
          <w:rFonts w:ascii="Times New Roman" w:hAnsi="Times New Roman" w:cs="Times New Roman"/>
          <w:sz w:val="24"/>
          <w:szCs w:val="24"/>
          <w:lang w:val="en-US"/>
        </w:rPr>
        <w:t>customers could withdraw</w:t>
      </w:r>
      <w:r w:rsidR="00F05425">
        <w:rPr>
          <w:rFonts w:ascii="Times New Roman" w:hAnsi="Times New Roman" w:cs="Times New Roman"/>
          <w:sz w:val="24"/>
          <w:szCs w:val="24"/>
          <w:lang w:val="en-US"/>
        </w:rPr>
        <w:t xml:space="preserve"> </w:t>
      </w:r>
      <w:r w:rsidR="00F05425" w:rsidRPr="008B2ED9">
        <w:rPr>
          <w:rFonts w:ascii="Times New Roman" w:hAnsi="Times New Roman" w:cs="Times New Roman"/>
          <w:sz w:val="24"/>
          <w:szCs w:val="24"/>
          <w:lang w:val="en-US"/>
        </w:rPr>
        <w:t>after experiencing runs on their deposits</w:t>
      </w:r>
      <w:r w:rsidR="00314451" w:rsidRPr="008B2ED9">
        <w:rPr>
          <w:rFonts w:ascii="Times New Roman" w:hAnsi="Times New Roman" w:cs="Times New Roman"/>
          <w:sz w:val="24"/>
          <w:szCs w:val="24"/>
          <w:lang w:val="en-US"/>
        </w:rPr>
        <w:t>. To counter the resulting liquidity shortages, many regional authorities in the U</w:t>
      </w:r>
      <w:r w:rsidR="00A2723C">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S</w:t>
      </w:r>
      <w:r w:rsidR="00A2723C">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Germany, Austria</w:t>
      </w:r>
      <w:r w:rsidR="00CE6C27">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xml:space="preserve"> and other countries resorted to issuing so called </w:t>
      </w:r>
      <w:r w:rsidR="008A667D">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scrip money</w:t>
      </w:r>
      <w:r w:rsidR="008A667D">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xml:space="preserve">. These were </w:t>
      </w:r>
      <w:r w:rsidR="00D23472" w:rsidRPr="008B2ED9">
        <w:rPr>
          <w:rFonts w:ascii="Times New Roman" w:hAnsi="Times New Roman" w:cs="Times New Roman"/>
          <w:sz w:val="24"/>
          <w:szCs w:val="24"/>
          <w:lang w:val="en-US"/>
        </w:rPr>
        <w:t>means of payment</w:t>
      </w:r>
      <w:r w:rsidR="00314451" w:rsidRPr="008B2ED9">
        <w:rPr>
          <w:rFonts w:ascii="Times New Roman" w:hAnsi="Times New Roman" w:cs="Times New Roman"/>
          <w:sz w:val="24"/>
          <w:szCs w:val="24"/>
          <w:lang w:val="en-US"/>
        </w:rPr>
        <w:t xml:space="preserve"> denominated in the official unit of account and redeemable for either proper money at a future date</w:t>
      </w:r>
      <w:r w:rsidR="00DE2EE7" w:rsidRPr="008B2ED9">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xml:space="preserve"> for goods (as offered either by the issuer or some other producers ready to accept </w:t>
      </w:r>
      <w:r w:rsidR="0074485F" w:rsidRPr="008B2ED9">
        <w:rPr>
          <w:rFonts w:ascii="Times New Roman" w:hAnsi="Times New Roman" w:cs="Times New Roman"/>
          <w:sz w:val="24"/>
          <w:szCs w:val="24"/>
          <w:lang w:val="en-US"/>
        </w:rPr>
        <w:t>scrip</w:t>
      </w:r>
      <w:r w:rsidR="00314451" w:rsidRPr="008B2ED9">
        <w:rPr>
          <w:rFonts w:ascii="Times New Roman" w:hAnsi="Times New Roman" w:cs="Times New Roman"/>
          <w:sz w:val="24"/>
          <w:szCs w:val="24"/>
          <w:lang w:val="en-US"/>
        </w:rPr>
        <w:t xml:space="preserve">) </w:t>
      </w:r>
      <w:r w:rsidR="00DE2EE7" w:rsidRPr="008B2ED9">
        <w:rPr>
          <w:rFonts w:ascii="Times New Roman" w:hAnsi="Times New Roman" w:cs="Times New Roman"/>
          <w:sz w:val="24"/>
          <w:szCs w:val="24"/>
          <w:lang w:val="en-US"/>
        </w:rPr>
        <w:t>or as dis</w:t>
      </w:r>
      <w:r w:rsidR="00E27C7C" w:rsidRPr="008B2ED9">
        <w:rPr>
          <w:rFonts w:ascii="Times New Roman" w:hAnsi="Times New Roman" w:cs="Times New Roman"/>
          <w:sz w:val="24"/>
          <w:szCs w:val="24"/>
          <w:lang w:val="en-US"/>
        </w:rPr>
        <w:t>charge of local tax liabilities</w:t>
      </w:r>
      <w:r w:rsidR="00AD1416">
        <w:rPr>
          <w:rFonts w:ascii="Times New Roman" w:hAnsi="Times New Roman" w:cs="Times New Roman"/>
          <w:sz w:val="24"/>
          <w:szCs w:val="24"/>
          <w:lang w:val="en-US"/>
        </w:rPr>
        <w:t>.</w:t>
      </w:r>
      <w:r w:rsidR="00B4001D">
        <w:rPr>
          <w:rStyle w:val="FootnoteReference"/>
          <w:rFonts w:ascii="Times New Roman" w:hAnsi="Times New Roman" w:cs="Times New Roman"/>
          <w:sz w:val="24"/>
          <w:szCs w:val="24"/>
          <w:lang w:val="en-US"/>
        </w:rPr>
        <w:footnoteReference w:id="10"/>
      </w:r>
      <w:r w:rsidR="00AD1416">
        <w:rPr>
          <w:rFonts w:ascii="Times New Roman" w:hAnsi="Times New Roman" w:cs="Times New Roman"/>
          <w:sz w:val="24"/>
          <w:szCs w:val="24"/>
          <w:lang w:val="en-US"/>
        </w:rPr>
        <w:t xml:space="preserve"> </w:t>
      </w:r>
      <w:r w:rsidR="00CD4A4B" w:rsidRPr="008B2ED9">
        <w:rPr>
          <w:rFonts w:ascii="Times New Roman" w:hAnsi="Times New Roman" w:cs="Times New Roman"/>
          <w:sz w:val="24"/>
          <w:szCs w:val="24"/>
          <w:lang w:val="en-US"/>
        </w:rPr>
        <w:t>A similar phenomenon was observed in Russia</w:t>
      </w:r>
      <w:r w:rsidR="00B01BFD">
        <w:rPr>
          <w:rFonts w:ascii="Times New Roman" w:hAnsi="Times New Roman" w:cs="Times New Roman"/>
          <w:sz w:val="24"/>
          <w:szCs w:val="24"/>
          <w:lang w:val="en-US"/>
        </w:rPr>
        <w:t>’</w:t>
      </w:r>
      <w:r w:rsidR="00CD4A4B" w:rsidRPr="008B2ED9">
        <w:rPr>
          <w:rFonts w:ascii="Times New Roman" w:hAnsi="Times New Roman" w:cs="Times New Roman"/>
          <w:sz w:val="24"/>
          <w:szCs w:val="24"/>
          <w:lang w:val="en-US"/>
        </w:rPr>
        <w:t>s transition from a centrally planned economy in the 1990s</w:t>
      </w:r>
      <w:r w:rsidR="00AD1416">
        <w:rPr>
          <w:rFonts w:ascii="Times New Roman" w:hAnsi="Times New Roman" w:cs="Times New Roman"/>
          <w:sz w:val="24"/>
          <w:szCs w:val="24"/>
          <w:lang w:val="en-US"/>
        </w:rPr>
        <w:t>.</w:t>
      </w:r>
      <w:r w:rsidR="00B01BFD">
        <w:rPr>
          <w:rStyle w:val="FootnoteReference"/>
          <w:rFonts w:ascii="Times New Roman" w:hAnsi="Times New Roman" w:cs="Times New Roman"/>
          <w:sz w:val="24"/>
          <w:szCs w:val="24"/>
          <w:lang w:val="en-US"/>
        </w:rPr>
        <w:footnoteReference w:id="11"/>
      </w:r>
      <w:r w:rsidR="00CD4A4B" w:rsidRPr="008B2ED9">
        <w:rPr>
          <w:rFonts w:ascii="Times New Roman" w:hAnsi="Times New Roman" w:cs="Times New Roman"/>
          <w:sz w:val="24"/>
          <w:szCs w:val="24"/>
          <w:lang w:val="en-US"/>
        </w:rPr>
        <w:t xml:space="preserve"> In a </w:t>
      </w:r>
      <w:r w:rsidR="008B5860" w:rsidRPr="008B2ED9">
        <w:rPr>
          <w:rFonts w:ascii="Times New Roman" w:hAnsi="Times New Roman" w:cs="Times New Roman"/>
          <w:sz w:val="24"/>
          <w:szCs w:val="24"/>
          <w:lang w:val="en-US"/>
        </w:rPr>
        <w:t>political</w:t>
      </w:r>
      <w:r w:rsidR="00CD4A4B" w:rsidRPr="008B2ED9">
        <w:rPr>
          <w:rFonts w:ascii="Times New Roman" w:hAnsi="Times New Roman" w:cs="Times New Roman"/>
          <w:sz w:val="24"/>
          <w:szCs w:val="24"/>
          <w:lang w:val="en-US"/>
        </w:rPr>
        <w:t xml:space="preserve"> crisis</w:t>
      </w:r>
      <w:r w:rsidR="008B5860" w:rsidRPr="008B2ED9">
        <w:rPr>
          <w:rFonts w:ascii="Times New Roman" w:hAnsi="Times New Roman" w:cs="Times New Roman"/>
          <w:sz w:val="24"/>
          <w:szCs w:val="24"/>
          <w:lang w:val="en-US"/>
        </w:rPr>
        <w:t xml:space="preserve"> concerning the state budget</w:t>
      </w:r>
      <w:r w:rsidR="00CD4A4B" w:rsidRPr="008B2ED9">
        <w:rPr>
          <w:rFonts w:ascii="Times New Roman" w:hAnsi="Times New Roman" w:cs="Times New Roman"/>
          <w:sz w:val="24"/>
          <w:szCs w:val="24"/>
          <w:lang w:val="en-US"/>
        </w:rPr>
        <w:t xml:space="preserve"> in 2009, even the state of California resorted to issuing IOUs to </w:t>
      </w:r>
      <w:r w:rsidR="00CD4A4B" w:rsidRPr="0044629F">
        <w:rPr>
          <w:rFonts w:ascii="Times New Roman" w:hAnsi="Times New Roman" w:cs="Times New Roman"/>
          <w:sz w:val="24"/>
          <w:szCs w:val="24"/>
          <w:lang w:val="en-US"/>
        </w:rPr>
        <w:t xml:space="preserve">meet its </w:t>
      </w:r>
      <w:r w:rsidR="00B01BFD" w:rsidRPr="0044629F">
        <w:rPr>
          <w:rFonts w:ascii="Times New Roman" w:hAnsi="Times New Roman" w:cs="Times New Roman"/>
          <w:sz w:val="24"/>
          <w:lang w:val="en-US"/>
        </w:rPr>
        <w:t>short-term</w:t>
      </w:r>
      <w:r w:rsidR="00CD4A4B" w:rsidRPr="0044629F">
        <w:rPr>
          <w:rFonts w:ascii="Times New Roman" w:hAnsi="Times New Roman" w:cs="Times New Roman"/>
          <w:sz w:val="24"/>
          <w:lang w:val="en-US"/>
        </w:rPr>
        <w:t xml:space="preserve"> financial obligations for a few months</w:t>
      </w:r>
      <w:r w:rsidR="00AD1416" w:rsidRPr="0044629F">
        <w:rPr>
          <w:rFonts w:ascii="Times New Roman" w:hAnsi="Times New Roman" w:cs="Times New Roman"/>
          <w:sz w:val="24"/>
          <w:lang w:val="en-US"/>
        </w:rPr>
        <w:t>.</w:t>
      </w:r>
      <w:r w:rsidR="00B01BFD" w:rsidRPr="0044629F">
        <w:rPr>
          <w:rStyle w:val="FootnoteReference"/>
          <w:rFonts w:ascii="Times New Roman" w:hAnsi="Times New Roman" w:cs="Times New Roman"/>
          <w:sz w:val="24"/>
          <w:lang w:val="en-US"/>
        </w:rPr>
        <w:footnoteReference w:id="12"/>
      </w:r>
      <w:r w:rsidR="008B5860" w:rsidRPr="008B2ED9">
        <w:rPr>
          <w:rFonts w:ascii="Times New Roman" w:hAnsi="Times New Roman" w:cs="Times New Roman"/>
          <w:lang w:val="en-US"/>
        </w:rPr>
        <w:t xml:space="preserve"> </w:t>
      </w:r>
      <w:r w:rsidR="008672EF">
        <w:rPr>
          <w:rFonts w:ascii="Times New Roman" w:hAnsi="Times New Roman" w:cs="Times New Roman"/>
          <w:sz w:val="24"/>
          <w:szCs w:val="24"/>
          <w:lang w:val="en-US"/>
        </w:rPr>
        <w:t xml:space="preserve">In the recent crisis of 2008 </w:t>
      </w:r>
      <w:r w:rsidR="0044629F">
        <w:rPr>
          <w:rFonts w:ascii="Times New Roman" w:hAnsi="Times New Roman" w:cs="Times New Roman"/>
          <w:sz w:val="24"/>
          <w:szCs w:val="24"/>
          <w:lang w:val="en-US"/>
        </w:rPr>
        <w:t>–</w:t>
      </w:r>
      <w:r w:rsidR="00E71FA6">
        <w:rPr>
          <w:rFonts w:ascii="Times New Roman" w:hAnsi="Times New Roman" w:cs="Times New Roman"/>
          <w:sz w:val="24"/>
          <w:szCs w:val="24"/>
          <w:lang w:val="en-US"/>
        </w:rPr>
        <w:t xml:space="preserve">which </w:t>
      </w:r>
      <w:r w:rsidR="00EE2807" w:rsidRPr="008B2ED9">
        <w:rPr>
          <w:rFonts w:ascii="Times New Roman" w:hAnsi="Times New Roman" w:cs="Times New Roman"/>
          <w:sz w:val="24"/>
          <w:szCs w:val="24"/>
          <w:lang w:val="en-US"/>
        </w:rPr>
        <w:t>in many ways was compared to the Great Depression</w:t>
      </w:r>
      <w:r w:rsidR="008672EF">
        <w:rPr>
          <w:rFonts w:ascii="Times New Roman" w:hAnsi="Times New Roman" w:cs="Times New Roman"/>
          <w:sz w:val="24"/>
          <w:szCs w:val="24"/>
          <w:lang w:val="en-US"/>
        </w:rPr>
        <w:t xml:space="preserve"> </w:t>
      </w:r>
      <w:r w:rsidR="0044629F">
        <w:rPr>
          <w:rFonts w:ascii="Times New Roman" w:hAnsi="Times New Roman" w:cs="Times New Roman"/>
          <w:sz w:val="24"/>
          <w:szCs w:val="24"/>
          <w:lang w:val="en-US"/>
        </w:rPr>
        <w:t>–</w:t>
      </w:r>
      <w:r w:rsidR="008672EF">
        <w:rPr>
          <w:rFonts w:ascii="Times New Roman" w:hAnsi="Times New Roman" w:cs="Times New Roman"/>
          <w:sz w:val="24"/>
          <w:szCs w:val="24"/>
          <w:lang w:val="en-US"/>
        </w:rPr>
        <w:t xml:space="preserve"> </w:t>
      </w:r>
      <w:r w:rsidR="00A03CA6">
        <w:rPr>
          <w:rFonts w:ascii="Times New Roman" w:hAnsi="Times New Roman" w:cs="Times New Roman"/>
          <w:sz w:val="24"/>
          <w:szCs w:val="24"/>
          <w:lang w:val="en-US"/>
        </w:rPr>
        <w:t>policy</w:t>
      </w:r>
      <w:r w:rsidR="00EE2807" w:rsidRPr="008B2ED9">
        <w:rPr>
          <w:rFonts w:ascii="Times New Roman" w:hAnsi="Times New Roman" w:cs="Times New Roman"/>
          <w:sz w:val="24"/>
          <w:szCs w:val="24"/>
          <w:lang w:val="en-US"/>
        </w:rPr>
        <w:t xml:space="preserve"> makers in </w:t>
      </w:r>
      <w:r w:rsidR="003311D1" w:rsidRPr="008B2ED9">
        <w:rPr>
          <w:rFonts w:ascii="Times New Roman" w:hAnsi="Times New Roman" w:cs="Times New Roman"/>
          <w:sz w:val="24"/>
          <w:szCs w:val="24"/>
          <w:lang w:val="en-US"/>
        </w:rPr>
        <w:t xml:space="preserve">most </w:t>
      </w:r>
      <w:r w:rsidR="00EE2807" w:rsidRPr="008B2ED9">
        <w:rPr>
          <w:rFonts w:ascii="Times New Roman" w:hAnsi="Times New Roman" w:cs="Times New Roman"/>
          <w:sz w:val="24"/>
          <w:szCs w:val="24"/>
          <w:lang w:val="en-US"/>
        </w:rPr>
        <w:t>industriali</w:t>
      </w:r>
      <w:r w:rsidR="008D340B" w:rsidRPr="008B2ED9">
        <w:rPr>
          <w:rFonts w:ascii="Times New Roman" w:hAnsi="Times New Roman" w:cs="Times New Roman"/>
          <w:sz w:val="24"/>
          <w:szCs w:val="24"/>
          <w:lang w:val="en-US"/>
        </w:rPr>
        <w:t>z</w:t>
      </w:r>
      <w:r w:rsidR="00EE2807" w:rsidRPr="008B2ED9">
        <w:rPr>
          <w:rFonts w:ascii="Times New Roman" w:hAnsi="Times New Roman" w:cs="Times New Roman"/>
          <w:sz w:val="24"/>
          <w:szCs w:val="24"/>
          <w:lang w:val="en-US"/>
        </w:rPr>
        <w:t>ed countries took measures to prevent deflation and breakdown of the financial infrastructure comparable to</w:t>
      </w:r>
      <w:r w:rsidR="008672EF">
        <w:rPr>
          <w:rFonts w:ascii="Times New Roman" w:hAnsi="Times New Roman" w:cs="Times New Roman"/>
          <w:sz w:val="24"/>
          <w:szCs w:val="24"/>
          <w:lang w:val="en-US"/>
        </w:rPr>
        <w:t xml:space="preserve"> the 1930s. In some countries </w:t>
      </w:r>
      <w:r w:rsidR="00EE2807" w:rsidRPr="008B2ED9">
        <w:rPr>
          <w:rFonts w:ascii="Times New Roman" w:hAnsi="Times New Roman" w:cs="Times New Roman"/>
          <w:sz w:val="24"/>
          <w:szCs w:val="24"/>
          <w:lang w:val="en-US"/>
        </w:rPr>
        <w:t>though, policy constraints prevented the use of such measures, leading to a renewed interest in currency related innovations.</w:t>
      </w:r>
    </w:p>
    <w:p w14:paraId="40377141" w14:textId="77777777" w:rsidR="00672201" w:rsidRPr="008B2ED9" w:rsidRDefault="00DE2EE7"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 xml:space="preserve">An </w:t>
      </w:r>
      <w:r w:rsidR="00954596" w:rsidRPr="008B2ED9">
        <w:rPr>
          <w:rFonts w:ascii="Times New Roman" w:hAnsi="Times New Roman" w:cs="Times New Roman"/>
          <w:sz w:val="24"/>
          <w:szCs w:val="24"/>
          <w:lang w:val="en-US"/>
        </w:rPr>
        <w:t>often-cited</w:t>
      </w:r>
      <w:r w:rsidRPr="008B2ED9">
        <w:rPr>
          <w:rFonts w:ascii="Times New Roman" w:hAnsi="Times New Roman" w:cs="Times New Roman"/>
          <w:sz w:val="24"/>
          <w:szCs w:val="24"/>
          <w:lang w:val="en-US"/>
        </w:rPr>
        <w:t xml:space="preserve"> modern case in this respect is Argentina. </w:t>
      </w:r>
      <w:r w:rsidR="00672201" w:rsidRPr="008B2ED9">
        <w:rPr>
          <w:rFonts w:ascii="Times New Roman" w:hAnsi="Times New Roman" w:cs="Times New Roman"/>
          <w:sz w:val="24"/>
          <w:szCs w:val="24"/>
          <w:lang w:val="en-US"/>
        </w:rPr>
        <w:t>When Argentina was hit by a financial crisis in 2001, access to bank accounts was severely impaired, leading to a surge in surrogate</w:t>
      </w:r>
      <w:r w:rsidR="00D23472" w:rsidRPr="008B2ED9">
        <w:rPr>
          <w:rFonts w:ascii="Times New Roman" w:hAnsi="Times New Roman" w:cs="Times New Roman"/>
          <w:sz w:val="24"/>
          <w:szCs w:val="24"/>
          <w:lang w:val="en-US"/>
        </w:rPr>
        <w:t xml:space="preserve"> means of payment</w:t>
      </w:r>
      <w:r w:rsidR="00954596">
        <w:rPr>
          <w:rFonts w:ascii="Times New Roman" w:hAnsi="Times New Roman" w:cs="Times New Roman"/>
          <w:sz w:val="24"/>
          <w:szCs w:val="24"/>
          <w:lang w:val="en-US"/>
        </w:rPr>
        <w:t>.</w:t>
      </w:r>
      <w:r w:rsidR="00672201" w:rsidRPr="008B2ED9">
        <w:rPr>
          <w:rFonts w:ascii="Times New Roman" w:hAnsi="Times New Roman" w:cs="Times New Roman"/>
          <w:sz w:val="24"/>
          <w:szCs w:val="24"/>
          <w:lang w:val="en-US"/>
        </w:rPr>
        <w:t xml:space="preserve"> </w:t>
      </w:r>
      <w:r w:rsidR="00954596">
        <w:rPr>
          <w:rFonts w:ascii="Times New Roman" w:hAnsi="Times New Roman" w:cs="Times New Roman"/>
          <w:sz w:val="24"/>
          <w:szCs w:val="24"/>
          <w:lang w:val="en-US"/>
        </w:rPr>
        <w:t>R</w:t>
      </w:r>
      <w:r w:rsidR="00672201" w:rsidRPr="008B2ED9">
        <w:rPr>
          <w:rFonts w:ascii="Times New Roman" w:hAnsi="Times New Roman" w:cs="Times New Roman"/>
          <w:sz w:val="24"/>
          <w:szCs w:val="24"/>
          <w:lang w:val="en-US"/>
        </w:rPr>
        <w:t xml:space="preserve">egional authorities issued scrip money and individuals joined barter clubs, where club </w:t>
      </w:r>
      <w:r w:rsidR="00D23472" w:rsidRPr="008B2ED9">
        <w:rPr>
          <w:rFonts w:ascii="Times New Roman" w:hAnsi="Times New Roman" w:cs="Times New Roman"/>
          <w:sz w:val="24"/>
          <w:szCs w:val="24"/>
          <w:lang w:val="en-US"/>
        </w:rPr>
        <w:t>means of payment</w:t>
      </w:r>
      <w:r w:rsidR="003D3F52" w:rsidRPr="008B2ED9">
        <w:rPr>
          <w:rFonts w:ascii="Times New Roman" w:hAnsi="Times New Roman" w:cs="Times New Roman"/>
          <w:sz w:val="24"/>
          <w:szCs w:val="24"/>
          <w:lang w:val="en-US"/>
        </w:rPr>
        <w:t xml:space="preserve"> </w:t>
      </w:r>
      <w:r w:rsidR="00672201" w:rsidRPr="008B2ED9">
        <w:rPr>
          <w:rFonts w:ascii="Times New Roman" w:hAnsi="Times New Roman" w:cs="Times New Roman"/>
          <w:sz w:val="24"/>
          <w:szCs w:val="24"/>
          <w:lang w:val="en-US"/>
        </w:rPr>
        <w:t>w</w:t>
      </w:r>
      <w:r w:rsidR="003D3F52" w:rsidRPr="008B2ED9">
        <w:rPr>
          <w:rFonts w:ascii="Times New Roman" w:hAnsi="Times New Roman" w:cs="Times New Roman"/>
          <w:sz w:val="24"/>
          <w:szCs w:val="24"/>
          <w:lang w:val="en-US"/>
        </w:rPr>
        <w:t>ere</w:t>
      </w:r>
      <w:r w:rsidR="00672201" w:rsidRPr="008B2ED9">
        <w:rPr>
          <w:rFonts w:ascii="Times New Roman" w:hAnsi="Times New Roman" w:cs="Times New Roman"/>
          <w:sz w:val="24"/>
          <w:szCs w:val="24"/>
          <w:lang w:val="en-US"/>
        </w:rPr>
        <w:t xml:space="preserve"> issued to facilitate trade of goods and services among members. After a few months, instances of fraud and mismanagement within these arrangements and an improvement of overall financial stability led to the decline of private </w:t>
      </w:r>
      <w:r w:rsidR="00D25D04" w:rsidRPr="008B2ED9">
        <w:rPr>
          <w:rFonts w:ascii="Times New Roman" w:hAnsi="Times New Roman" w:cs="Times New Roman"/>
          <w:sz w:val="24"/>
          <w:szCs w:val="24"/>
          <w:lang w:val="en-US"/>
        </w:rPr>
        <w:t xml:space="preserve">complementary </w:t>
      </w:r>
      <w:r w:rsidR="00672201" w:rsidRPr="008B2ED9">
        <w:rPr>
          <w:rFonts w:ascii="Times New Roman" w:hAnsi="Times New Roman" w:cs="Times New Roman"/>
          <w:sz w:val="24"/>
          <w:szCs w:val="24"/>
          <w:lang w:val="en-US"/>
        </w:rPr>
        <w:t>currency use</w:t>
      </w:r>
      <w:r w:rsidR="00AD1416">
        <w:rPr>
          <w:rFonts w:ascii="Times New Roman" w:hAnsi="Times New Roman" w:cs="Times New Roman"/>
          <w:sz w:val="24"/>
          <w:szCs w:val="24"/>
          <w:lang w:val="en-US"/>
        </w:rPr>
        <w:t>.</w:t>
      </w:r>
      <w:r w:rsidR="00E67621">
        <w:rPr>
          <w:rStyle w:val="FootnoteReference"/>
          <w:rFonts w:ascii="Times New Roman" w:hAnsi="Times New Roman" w:cs="Times New Roman"/>
          <w:sz w:val="24"/>
          <w:szCs w:val="24"/>
          <w:lang w:val="en-US"/>
        </w:rPr>
        <w:footnoteReference w:id="13"/>
      </w:r>
    </w:p>
    <w:p w14:paraId="2A00989E" w14:textId="3B7E6885" w:rsidR="00E67621" w:rsidRDefault="00692179"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 xml:space="preserve">Some </w:t>
      </w:r>
      <w:r w:rsidR="00020EFF" w:rsidRPr="008B2ED9">
        <w:rPr>
          <w:rFonts w:ascii="Times New Roman" w:hAnsi="Times New Roman" w:cs="Times New Roman"/>
          <w:sz w:val="24"/>
          <w:szCs w:val="24"/>
          <w:lang w:val="en-US"/>
        </w:rPr>
        <w:t xml:space="preserve">regional complementary </w:t>
      </w:r>
      <w:r w:rsidRPr="008B2ED9">
        <w:rPr>
          <w:rFonts w:ascii="Times New Roman" w:hAnsi="Times New Roman" w:cs="Times New Roman"/>
          <w:sz w:val="24"/>
          <w:szCs w:val="24"/>
          <w:lang w:val="en-US"/>
        </w:rPr>
        <w:t xml:space="preserve">projects </w:t>
      </w:r>
      <w:r w:rsidR="00020EFF" w:rsidRPr="008B2ED9">
        <w:rPr>
          <w:rFonts w:ascii="Times New Roman" w:hAnsi="Times New Roman" w:cs="Times New Roman"/>
          <w:sz w:val="24"/>
          <w:szCs w:val="24"/>
          <w:lang w:val="en-US"/>
        </w:rPr>
        <w:t>aim at reducing leakage of purchasing power and reorienting economic circulation towards the regional level. As envisaged by currency reformer Silvio Gesell in the 1920s, some of these projects involve demurrage</w:t>
      </w:r>
      <w:r w:rsidR="00E67621">
        <w:rPr>
          <w:rFonts w:ascii="Times New Roman" w:hAnsi="Times New Roman" w:cs="Times New Roman"/>
          <w:sz w:val="24"/>
          <w:szCs w:val="24"/>
          <w:lang w:val="en-US"/>
        </w:rPr>
        <w:t>.</w:t>
      </w:r>
      <w:r w:rsidR="003D3F52" w:rsidRPr="008B2ED9">
        <w:rPr>
          <w:rFonts w:ascii="Times New Roman" w:hAnsi="Times New Roman" w:cs="Times New Roman"/>
          <w:sz w:val="24"/>
          <w:szCs w:val="24"/>
          <w:lang w:val="en-US"/>
        </w:rPr>
        <w:t xml:space="preserve"> These c</w:t>
      </w:r>
      <w:r w:rsidR="00020EFF" w:rsidRPr="008B2ED9">
        <w:rPr>
          <w:rFonts w:ascii="Times New Roman" w:hAnsi="Times New Roman" w:cs="Times New Roman"/>
          <w:sz w:val="24"/>
          <w:szCs w:val="24"/>
          <w:lang w:val="en-US"/>
        </w:rPr>
        <w:t xml:space="preserve">urrencies deliberately lose value over time, thereby encouraging their fast circulation and discouraging hoarding. </w:t>
      </w:r>
      <w:r w:rsidR="00FE2627" w:rsidRPr="008B2ED9">
        <w:rPr>
          <w:rFonts w:ascii="Times New Roman" w:hAnsi="Times New Roman" w:cs="Times New Roman"/>
          <w:sz w:val="24"/>
          <w:szCs w:val="24"/>
          <w:lang w:val="en-US"/>
        </w:rPr>
        <w:t>Sometimes such currencies are taken up and seem partly succesful</w:t>
      </w:r>
      <w:r w:rsidR="00020EFF" w:rsidRPr="008B2ED9">
        <w:rPr>
          <w:rFonts w:ascii="Times New Roman" w:hAnsi="Times New Roman" w:cs="Times New Roman"/>
          <w:sz w:val="24"/>
          <w:szCs w:val="24"/>
          <w:lang w:val="en-US"/>
        </w:rPr>
        <w:t xml:space="preserve">, </w:t>
      </w:r>
      <w:r w:rsidR="00F05425">
        <w:rPr>
          <w:rFonts w:ascii="Times New Roman" w:hAnsi="Times New Roman" w:cs="Times New Roman"/>
          <w:sz w:val="24"/>
          <w:szCs w:val="24"/>
          <w:lang w:val="en-US"/>
        </w:rPr>
        <w:t xml:space="preserve">to </w:t>
      </w:r>
      <w:r w:rsidR="00F05425">
        <w:rPr>
          <w:rFonts w:ascii="Times New Roman" w:hAnsi="Times New Roman" w:cs="Times New Roman"/>
          <w:sz w:val="24"/>
          <w:szCs w:val="24"/>
          <w:lang w:val="en-US"/>
        </w:rPr>
        <w:lastRenderedPageBreak/>
        <w:t xml:space="preserve">some extent </w:t>
      </w:r>
      <w:r w:rsidR="00020EFF" w:rsidRPr="008B2ED9">
        <w:rPr>
          <w:rFonts w:ascii="Times New Roman" w:hAnsi="Times New Roman" w:cs="Times New Roman"/>
          <w:sz w:val="24"/>
          <w:szCs w:val="24"/>
          <w:lang w:val="en-US"/>
        </w:rPr>
        <w:t>because their novelty factor makes them popular with tourists</w:t>
      </w:r>
      <w:r w:rsidR="00FE2627" w:rsidRPr="008B2ED9">
        <w:rPr>
          <w:rFonts w:ascii="Times New Roman" w:hAnsi="Times New Roman" w:cs="Times New Roman"/>
          <w:sz w:val="24"/>
          <w:szCs w:val="24"/>
          <w:lang w:val="en-US"/>
        </w:rPr>
        <w:t xml:space="preserve"> and currency collectors</w:t>
      </w:r>
      <w:r w:rsidR="00020EFF" w:rsidRPr="008B2ED9">
        <w:rPr>
          <w:rFonts w:ascii="Times New Roman" w:hAnsi="Times New Roman" w:cs="Times New Roman"/>
          <w:sz w:val="24"/>
          <w:szCs w:val="24"/>
          <w:lang w:val="en-US"/>
        </w:rPr>
        <w:t xml:space="preserve">. But in general they fail to cover much ground because </w:t>
      </w:r>
      <w:r w:rsidR="004970D1">
        <w:rPr>
          <w:rFonts w:ascii="Times New Roman" w:hAnsi="Times New Roman" w:cs="Times New Roman"/>
          <w:sz w:val="24"/>
          <w:szCs w:val="24"/>
          <w:lang w:val="en-US"/>
        </w:rPr>
        <w:t>they entail structural problems.</w:t>
      </w:r>
      <w:r w:rsidR="00020EFF" w:rsidRPr="008B2ED9">
        <w:rPr>
          <w:rFonts w:ascii="Times New Roman" w:hAnsi="Times New Roman" w:cs="Times New Roman"/>
          <w:sz w:val="24"/>
          <w:szCs w:val="24"/>
          <w:lang w:val="en-US"/>
        </w:rPr>
        <w:t xml:space="preserve"> </w:t>
      </w:r>
      <w:r w:rsidR="004970D1">
        <w:rPr>
          <w:rFonts w:ascii="Times New Roman" w:hAnsi="Times New Roman" w:cs="Times New Roman"/>
          <w:sz w:val="24"/>
          <w:szCs w:val="24"/>
          <w:lang w:val="en-US"/>
        </w:rPr>
        <w:t>O</w:t>
      </w:r>
      <w:r w:rsidR="00020EFF" w:rsidRPr="008B2ED9">
        <w:rPr>
          <w:rFonts w:ascii="Times New Roman" w:hAnsi="Times New Roman" w:cs="Times New Roman"/>
          <w:sz w:val="24"/>
          <w:szCs w:val="24"/>
          <w:lang w:val="en-US"/>
        </w:rPr>
        <w:t>ffers</w:t>
      </w:r>
      <w:r w:rsidR="004970D1">
        <w:rPr>
          <w:rFonts w:ascii="Times New Roman" w:hAnsi="Times New Roman" w:cs="Times New Roman"/>
          <w:sz w:val="24"/>
          <w:szCs w:val="24"/>
          <w:lang w:val="en-US"/>
        </w:rPr>
        <w:t>,</w:t>
      </w:r>
      <w:r w:rsidR="00020EFF" w:rsidRPr="008B2ED9">
        <w:rPr>
          <w:rFonts w:ascii="Times New Roman" w:hAnsi="Times New Roman" w:cs="Times New Roman"/>
          <w:sz w:val="24"/>
          <w:szCs w:val="24"/>
          <w:lang w:val="en-US"/>
        </w:rPr>
        <w:t xml:space="preserve"> which prove uncompetitive on the market</w:t>
      </w:r>
      <w:r w:rsidR="004970D1">
        <w:rPr>
          <w:rFonts w:ascii="Times New Roman" w:hAnsi="Times New Roman" w:cs="Times New Roman"/>
          <w:sz w:val="24"/>
          <w:szCs w:val="24"/>
          <w:lang w:val="en-US"/>
        </w:rPr>
        <w:t>,</w:t>
      </w:r>
      <w:r w:rsidR="00020EFF" w:rsidRPr="008B2ED9">
        <w:rPr>
          <w:rFonts w:ascii="Times New Roman" w:hAnsi="Times New Roman" w:cs="Times New Roman"/>
          <w:sz w:val="24"/>
          <w:szCs w:val="24"/>
          <w:lang w:val="en-US"/>
        </w:rPr>
        <w:t xml:space="preserve"> cannot be rendered competitive by offering potential customers a different </w:t>
      </w:r>
      <w:r w:rsidR="00D23472" w:rsidRPr="008B2ED9">
        <w:rPr>
          <w:rFonts w:ascii="Times New Roman" w:hAnsi="Times New Roman" w:cs="Times New Roman"/>
          <w:sz w:val="24"/>
          <w:szCs w:val="24"/>
          <w:lang w:val="en-US"/>
        </w:rPr>
        <w:t>currency</w:t>
      </w:r>
      <w:r w:rsidR="00F21420">
        <w:rPr>
          <w:rFonts w:ascii="Times New Roman" w:hAnsi="Times New Roman" w:cs="Times New Roman"/>
          <w:sz w:val="24"/>
          <w:szCs w:val="24"/>
          <w:lang w:val="en-US"/>
        </w:rPr>
        <w:t xml:space="preserve"> </w:t>
      </w:r>
      <w:r w:rsidR="00020EFF" w:rsidRPr="008B2ED9">
        <w:rPr>
          <w:rFonts w:ascii="Times New Roman" w:hAnsi="Times New Roman" w:cs="Times New Roman"/>
          <w:sz w:val="24"/>
          <w:szCs w:val="24"/>
          <w:lang w:val="en-US"/>
        </w:rPr>
        <w:t xml:space="preserve">unless </w:t>
      </w:r>
      <w:r w:rsidR="00D23472" w:rsidRPr="008B2ED9">
        <w:rPr>
          <w:rFonts w:ascii="Times New Roman" w:hAnsi="Times New Roman" w:cs="Times New Roman"/>
          <w:sz w:val="24"/>
          <w:szCs w:val="24"/>
          <w:lang w:val="en-US"/>
        </w:rPr>
        <w:t>it</w:t>
      </w:r>
      <w:r w:rsidR="00020EFF" w:rsidRPr="008B2ED9">
        <w:rPr>
          <w:rFonts w:ascii="Times New Roman" w:hAnsi="Times New Roman" w:cs="Times New Roman"/>
          <w:sz w:val="24"/>
          <w:szCs w:val="24"/>
          <w:lang w:val="en-US"/>
        </w:rPr>
        <w:t xml:space="preserve"> gives access to a hidden form of price reduction, i.e. when local currencies are de facto vouchers granting their users discounts off</w:t>
      </w:r>
      <w:r w:rsidR="00F21420">
        <w:rPr>
          <w:rFonts w:ascii="Times New Roman" w:hAnsi="Times New Roman" w:cs="Times New Roman"/>
          <w:sz w:val="24"/>
          <w:szCs w:val="24"/>
          <w:lang w:val="en-US"/>
        </w:rPr>
        <w:t xml:space="preserve"> list prices at local merchants</w:t>
      </w:r>
      <w:r w:rsidR="00020EFF" w:rsidRPr="008B2ED9">
        <w:rPr>
          <w:rFonts w:ascii="Times New Roman" w:hAnsi="Times New Roman" w:cs="Times New Roman"/>
          <w:sz w:val="24"/>
          <w:szCs w:val="24"/>
          <w:lang w:val="en-US"/>
        </w:rPr>
        <w:t xml:space="preserve">. Typical regional currencies offer less choice than official </w:t>
      </w:r>
      <w:r w:rsidR="00937D65" w:rsidRPr="008B2ED9">
        <w:rPr>
          <w:rFonts w:ascii="Times New Roman" w:hAnsi="Times New Roman" w:cs="Times New Roman"/>
          <w:sz w:val="24"/>
          <w:szCs w:val="24"/>
          <w:lang w:val="en-US"/>
        </w:rPr>
        <w:t>currenc</w:t>
      </w:r>
      <w:r w:rsidR="00020EFF" w:rsidRPr="008B2ED9">
        <w:rPr>
          <w:rFonts w:ascii="Times New Roman" w:hAnsi="Times New Roman" w:cs="Times New Roman"/>
          <w:sz w:val="24"/>
          <w:szCs w:val="24"/>
          <w:lang w:val="en-US"/>
        </w:rPr>
        <w:t>y</w:t>
      </w:r>
      <w:r w:rsidR="00E67621">
        <w:rPr>
          <w:rFonts w:ascii="Times New Roman" w:hAnsi="Times New Roman" w:cs="Times New Roman"/>
          <w:sz w:val="24"/>
          <w:szCs w:val="24"/>
          <w:lang w:val="en-US"/>
        </w:rPr>
        <w:t>.</w:t>
      </w:r>
      <w:r w:rsidR="00020EFF" w:rsidRPr="008B2ED9">
        <w:rPr>
          <w:rFonts w:ascii="Times New Roman" w:hAnsi="Times New Roman" w:cs="Times New Roman"/>
          <w:sz w:val="24"/>
          <w:szCs w:val="24"/>
          <w:lang w:val="en-US"/>
        </w:rPr>
        <w:t xml:space="preserve"> </w:t>
      </w:r>
      <w:r w:rsidR="007C5A3D" w:rsidRPr="008B2ED9">
        <w:rPr>
          <w:rFonts w:ascii="Times New Roman" w:hAnsi="Times New Roman" w:cs="Times New Roman"/>
          <w:sz w:val="24"/>
          <w:szCs w:val="24"/>
          <w:lang w:val="en-US"/>
        </w:rPr>
        <w:t>At best t</w:t>
      </w:r>
      <w:r w:rsidR="00020EFF" w:rsidRPr="008B2ED9">
        <w:rPr>
          <w:rFonts w:ascii="Times New Roman" w:hAnsi="Times New Roman" w:cs="Times New Roman"/>
          <w:sz w:val="24"/>
          <w:szCs w:val="24"/>
          <w:lang w:val="en-US"/>
        </w:rPr>
        <w:t>hey are accepted by local merchants, and if t</w:t>
      </w:r>
      <w:r w:rsidR="00A22FAC" w:rsidRPr="008B2ED9">
        <w:rPr>
          <w:rFonts w:ascii="Times New Roman" w:hAnsi="Times New Roman" w:cs="Times New Roman"/>
          <w:sz w:val="24"/>
          <w:szCs w:val="24"/>
          <w:lang w:val="en-US"/>
        </w:rPr>
        <w:t>hey entail demurrage, they favo</w:t>
      </w:r>
      <w:r w:rsidR="00020EFF" w:rsidRPr="008B2ED9">
        <w:rPr>
          <w:rFonts w:ascii="Times New Roman" w:hAnsi="Times New Roman" w:cs="Times New Roman"/>
          <w:sz w:val="24"/>
          <w:szCs w:val="24"/>
          <w:lang w:val="en-US"/>
        </w:rPr>
        <w:t xml:space="preserve">r fast consumption </w:t>
      </w:r>
      <w:r w:rsidR="003311D1" w:rsidRPr="008B2ED9">
        <w:rPr>
          <w:rFonts w:ascii="Times New Roman" w:hAnsi="Times New Roman" w:cs="Times New Roman"/>
          <w:sz w:val="24"/>
          <w:szCs w:val="24"/>
          <w:lang w:val="en-US"/>
        </w:rPr>
        <w:t xml:space="preserve">spending </w:t>
      </w:r>
      <w:r w:rsidR="00020EFF" w:rsidRPr="008B2ED9">
        <w:rPr>
          <w:rFonts w:ascii="Times New Roman" w:hAnsi="Times New Roman" w:cs="Times New Roman"/>
          <w:sz w:val="24"/>
          <w:szCs w:val="24"/>
          <w:lang w:val="en-US"/>
        </w:rPr>
        <w:t xml:space="preserve">which might not be in line with consumers </w:t>
      </w:r>
      <w:r w:rsidR="001E0453" w:rsidRPr="008B2ED9">
        <w:rPr>
          <w:rFonts w:ascii="Times New Roman" w:hAnsi="Times New Roman" w:cs="Times New Roman"/>
          <w:sz w:val="24"/>
          <w:szCs w:val="24"/>
          <w:lang w:val="en-US"/>
        </w:rPr>
        <w:t>preferences</w:t>
      </w:r>
      <w:r w:rsidR="00FE2627" w:rsidRPr="008B2ED9">
        <w:rPr>
          <w:rFonts w:ascii="Times New Roman" w:hAnsi="Times New Roman" w:cs="Times New Roman"/>
          <w:sz w:val="24"/>
          <w:szCs w:val="24"/>
          <w:lang w:val="en-US"/>
        </w:rPr>
        <w:t xml:space="preserve">. Their use does not provide access to any goods </w:t>
      </w:r>
      <w:r w:rsidR="001E0453" w:rsidRPr="008B2ED9">
        <w:rPr>
          <w:rFonts w:ascii="Times New Roman" w:hAnsi="Times New Roman" w:cs="Times New Roman"/>
          <w:sz w:val="24"/>
          <w:szCs w:val="24"/>
          <w:lang w:val="en-US"/>
        </w:rPr>
        <w:t xml:space="preserve">that </w:t>
      </w:r>
      <w:r w:rsidR="00FE2627" w:rsidRPr="008B2ED9">
        <w:rPr>
          <w:rFonts w:ascii="Times New Roman" w:hAnsi="Times New Roman" w:cs="Times New Roman"/>
          <w:sz w:val="24"/>
          <w:szCs w:val="24"/>
          <w:lang w:val="en-US"/>
        </w:rPr>
        <w:t>are unavailable in official currency. So the network is smaller compared to official currency</w:t>
      </w:r>
      <w:r w:rsidR="001E0453" w:rsidRPr="008B2ED9">
        <w:rPr>
          <w:rFonts w:ascii="Times New Roman" w:hAnsi="Times New Roman" w:cs="Times New Roman"/>
          <w:sz w:val="24"/>
          <w:szCs w:val="24"/>
          <w:lang w:val="en-US"/>
        </w:rPr>
        <w:t>, offering a smaller choice of uses</w:t>
      </w:r>
      <w:r w:rsidR="00F05425">
        <w:rPr>
          <w:rFonts w:ascii="Times New Roman" w:hAnsi="Times New Roman" w:cs="Times New Roman"/>
          <w:sz w:val="24"/>
          <w:szCs w:val="24"/>
          <w:lang w:val="en-US"/>
        </w:rPr>
        <w:t>. Those uses (i.e. the goods and services accessible via the currency) are</w:t>
      </w:r>
      <w:r w:rsidR="001E0453" w:rsidRPr="008B2ED9">
        <w:rPr>
          <w:rFonts w:ascii="Times New Roman" w:hAnsi="Times New Roman" w:cs="Times New Roman"/>
          <w:sz w:val="24"/>
          <w:szCs w:val="24"/>
          <w:lang w:val="en-US"/>
        </w:rPr>
        <w:t xml:space="preserve"> non-distinct from the potential uses of official currency, </w:t>
      </w:r>
      <w:r w:rsidR="00020EFF" w:rsidRPr="008B2ED9">
        <w:rPr>
          <w:rFonts w:ascii="Times New Roman" w:hAnsi="Times New Roman" w:cs="Times New Roman"/>
          <w:sz w:val="24"/>
          <w:szCs w:val="24"/>
          <w:lang w:val="en-US"/>
        </w:rPr>
        <w:t>and</w:t>
      </w:r>
      <w:r w:rsidR="008672EF">
        <w:rPr>
          <w:rFonts w:ascii="Times New Roman" w:hAnsi="Times New Roman" w:cs="Times New Roman"/>
          <w:sz w:val="24"/>
          <w:szCs w:val="24"/>
          <w:lang w:val="en-US"/>
        </w:rPr>
        <w:t xml:space="preserve"> </w:t>
      </w:r>
      <w:r w:rsidR="0044629F">
        <w:rPr>
          <w:rFonts w:ascii="Times New Roman" w:hAnsi="Times New Roman" w:cs="Times New Roman"/>
          <w:sz w:val="24"/>
          <w:szCs w:val="24"/>
          <w:lang w:val="en-US"/>
        </w:rPr>
        <w:t>–</w:t>
      </w:r>
      <w:r w:rsidR="008672EF">
        <w:rPr>
          <w:rFonts w:ascii="Times New Roman" w:hAnsi="Times New Roman" w:cs="Times New Roman"/>
          <w:sz w:val="24"/>
          <w:szCs w:val="24"/>
          <w:lang w:val="en-US"/>
        </w:rPr>
        <w:t xml:space="preserve"> </w:t>
      </w:r>
      <w:r w:rsidR="001D7D23" w:rsidRPr="008B2ED9">
        <w:rPr>
          <w:rFonts w:ascii="Times New Roman" w:hAnsi="Times New Roman" w:cs="Times New Roman"/>
          <w:sz w:val="24"/>
          <w:szCs w:val="24"/>
          <w:lang w:val="en-US"/>
        </w:rPr>
        <w:t xml:space="preserve">in the case of demurrage-based operation </w:t>
      </w:r>
      <w:r w:rsidR="00E67621" w:rsidRPr="008B2ED9">
        <w:rPr>
          <w:rFonts w:ascii="Times New Roman" w:hAnsi="Times New Roman" w:cs="Times New Roman"/>
          <w:sz w:val="24"/>
          <w:szCs w:val="24"/>
          <w:lang w:val="en-US"/>
        </w:rPr>
        <w:t>–</w:t>
      </w:r>
      <w:r w:rsidR="00020EFF" w:rsidRPr="008B2ED9">
        <w:rPr>
          <w:rFonts w:ascii="Times New Roman" w:hAnsi="Times New Roman" w:cs="Times New Roman"/>
          <w:sz w:val="24"/>
          <w:szCs w:val="24"/>
          <w:lang w:val="en-US"/>
        </w:rPr>
        <w:t xml:space="preserve"> the issuer deliberately impairs the</w:t>
      </w:r>
      <w:r w:rsidR="008672EF">
        <w:rPr>
          <w:rFonts w:ascii="Times New Roman" w:hAnsi="Times New Roman" w:cs="Times New Roman"/>
          <w:sz w:val="24"/>
          <w:szCs w:val="24"/>
          <w:lang w:val="en-US"/>
        </w:rPr>
        <w:t xml:space="preserve"> currency’</w:t>
      </w:r>
      <w:r w:rsidR="00937D65" w:rsidRPr="008B2ED9">
        <w:rPr>
          <w:rFonts w:ascii="Times New Roman" w:hAnsi="Times New Roman" w:cs="Times New Roman"/>
          <w:sz w:val="24"/>
          <w:szCs w:val="24"/>
          <w:lang w:val="en-US"/>
        </w:rPr>
        <w:t>s full functioning as</w:t>
      </w:r>
      <w:r w:rsidR="00020EFF" w:rsidRPr="008B2ED9">
        <w:rPr>
          <w:rFonts w:ascii="Times New Roman" w:hAnsi="Times New Roman" w:cs="Times New Roman"/>
          <w:sz w:val="24"/>
          <w:szCs w:val="24"/>
          <w:lang w:val="en-US"/>
        </w:rPr>
        <w:t xml:space="preserve"> money by making it useless for </w:t>
      </w:r>
      <w:r w:rsidR="00F05425">
        <w:rPr>
          <w:rFonts w:ascii="Times New Roman" w:hAnsi="Times New Roman" w:cs="Times New Roman"/>
          <w:sz w:val="24"/>
          <w:szCs w:val="24"/>
          <w:lang w:val="en-US"/>
        </w:rPr>
        <w:t xml:space="preserve">storing </w:t>
      </w:r>
      <w:r w:rsidR="00020EFF" w:rsidRPr="008B2ED9">
        <w:rPr>
          <w:rFonts w:ascii="Times New Roman" w:hAnsi="Times New Roman" w:cs="Times New Roman"/>
          <w:sz w:val="24"/>
          <w:szCs w:val="24"/>
          <w:lang w:val="en-US"/>
        </w:rPr>
        <w:t xml:space="preserve">wealth. </w:t>
      </w:r>
    </w:p>
    <w:p w14:paraId="73EB9C3E" w14:textId="77777777" w:rsidR="001D5696" w:rsidRDefault="003311D1"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Making u</w:t>
      </w:r>
      <w:r w:rsidR="001E0453" w:rsidRPr="008B2ED9">
        <w:rPr>
          <w:rFonts w:ascii="Times New Roman" w:hAnsi="Times New Roman" w:cs="Times New Roman"/>
          <w:sz w:val="24"/>
          <w:szCs w:val="24"/>
          <w:lang w:val="en-US"/>
        </w:rPr>
        <w:t xml:space="preserve">se of </w:t>
      </w:r>
      <w:r w:rsidRPr="008B2ED9">
        <w:rPr>
          <w:rFonts w:ascii="Times New Roman" w:hAnsi="Times New Roman" w:cs="Times New Roman"/>
          <w:sz w:val="24"/>
          <w:szCs w:val="24"/>
          <w:lang w:val="en-US"/>
        </w:rPr>
        <w:t xml:space="preserve">the </w:t>
      </w:r>
      <w:r w:rsidR="001E0453" w:rsidRPr="008B2ED9">
        <w:rPr>
          <w:rFonts w:ascii="Times New Roman" w:hAnsi="Times New Roman" w:cs="Times New Roman"/>
          <w:sz w:val="24"/>
          <w:szCs w:val="24"/>
          <w:lang w:val="en-US"/>
        </w:rPr>
        <w:t>currency mainly promises to contribute to the collective good of regional prosperity</w:t>
      </w:r>
      <w:r w:rsidR="00BD211A">
        <w:rPr>
          <w:rFonts w:ascii="Times New Roman" w:hAnsi="Times New Roman" w:cs="Times New Roman"/>
          <w:sz w:val="24"/>
          <w:szCs w:val="24"/>
          <w:lang w:val="en-US"/>
        </w:rPr>
        <w:t xml:space="preserve">, </w:t>
      </w:r>
      <w:r w:rsidR="001E0453" w:rsidRPr="008B2ED9">
        <w:rPr>
          <w:rFonts w:ascii="Times New Roman" w:hAnsi="Times New Roman" w:cs="Times New Roman"/>
          <w:sz w:val="24"/>
          <w:szCs w:val="24"/>
          <w:lang w:val="en-US"/>
        </w:rPr>
        <w:t xml:space="preserve">although that depends on whether and how any additional incomes created by regional currency </w:t>
      </w:r>
      <w:r w:rsidR="007C5A3D" w:rsidRPr="008B2ED9">
        <w:rPr>
          <w:rFonts w:ascii="Times New Roman" w:hAnsi="Times New Roman" w:cs="Times New Roman"/>
          <w:sz w:val="24"/>
          <w:szCs w:val="24"/>
          <w:lang w:val="en-US"/>
        </w:rPr>
        <w:t xml:space="preserve">circulation </w:t>
      </w:r>
      <w:r w:rsidR="001E0453" w:rsidRPr="008B2ED9">
        <w:rPr>
          <w:rFonts w:ascii="Times New Roman" w:hAnsi="Times New Roman" w:cs="Times New Roman"/>
          <w:sz w:val="24"/>
          <w:szCs w:val="24"/>
          <w:lang w:val="en-US"/>
        </w:rPr>
        <w:t xml:space="preserve">are distributed within the region. </w:t>
      </w:r>
      <w:r w:rsidR="00020EFF" w:rsidRPr="008B2ED9">
        <w:rPr>
          <w:rFonts w:ascii="Times New Roman" w:hAnsi="Times New Roman" w:cs="Times New Roman"/>
          <w:sz w:val="24"/>
          <w:szCs w:val="24"/>
          <w:lang w:val="en-US"/>
        </w:rPr>
        <w:t xml:space="preserve">But if people before the introduction of regional currency were not willing to </w:t>
      </w:r>
      <w:r w:rsidR="00BD211A">
        <w:rPr>
          <w:rFonts w:ascii="Times New Roman" w:hAnsi="Times New Roman" w:cs="Times New Roman"/>
          <w:sz w:val="24"/>
          <w:szCs w:val="24"/>
          <w:lang w:val="en-US"/>
        </w:rPr>
        <w:t>‘</w:t>
      </w:r>
      <w:r w:rsidR="00020EFF" w:rsidRPr="008B2ED9">
        <w:rPr>
          <w:rFonts w:ascii="Times New Roman" w:hAnsi="Times New Roman" w:cs="Times New Roman"/>
          <w:sz w:val="24"/>
          <w:szCs w:val="24"/>
          <w:lang w:val="en-US"/>
        </w:rPr>
        <w:t>buy local</w:t>
      </w:r>
      <w:r w:rsidR="00BD211A">
        <w:rPr>
          <w:rFonts w:ascii="Times New Roman" w:hAnsi="Times New Roman" w:cs="Times New Roman"/>
          <w:sz w:val="24"/>
          <w:szCs w:val="24"/>
          <w:lang w:val="en-US"/>
        </w:rPr>
        <w:t>’</w:t>
      </w:r>
      <w:r w:rsidR="00020EFF" w:rsidRPr="008B2ED9">
        <w:rPr>
          <w:rFonts w:ascii="Times New Roman" w:hAnsi="Times New Roman" w:cs="Times New Roman"/>
          <w:sz w:val="24"/>
          <w:szCs w:val="24"/>
          <w:lang w:val="en-US"/>
        </w:rPr>
        <w:t xml:space="preserve"> with official currency and instead preferred greater choice, why should they gi</w:t>
      </w:r>
      <w:r w:rsidR="00A22FAC" w:rsidRPr="008B2ED9">
        <w:rPr>
          <w:rFonts w:ascii="Times New Roman" w:hAnsi="Times New Roman" w:cs="Times New Roman"/>
          <w:sz w:val="24"/>
          <w:szCs w:val="24"/>
          <w:lang w:val="en-US"/>
        </w:rPr>
        <w:t>ve up official currency in favo</w:t>
      </w:r>
      <w:r w:rsidR="00020EFF" w:rsidRPr="008B2ED9">
        <w:rPr>
          <w:rFonts w:ascii="Times New Roman" w:hAnsi="Times New Roman" w:cs="Times New Roman"/>
          <w:sz w:val="24"/>
          <w:szCs w:val="24"/>
          <w:lang w:val="en-US"/>
        </w:rPr>
        <w:t>r of a complementary currenc</w:t>
      </w:r>
      <w:r w:rsidR="003D3F52" w:rsidRPr="008B2ED9">
        <w:rPr>
          <w:rFonts w:ascii="Times New Roman" w:hAnsi="Times New Roman" w:cs="Times New Roman"/>
          <w:sz w:val="24"/>
          <w:szCs w:val="24"/>
          <w:lang w:val="en-US"/>
        </w:rPr>
        <w:t>y</w:t>
      </w:r>
      <w:r w:rsidR="00020EFF" w:rsidRPr="008B2ED9">
        <w:rPr>
          <w:rFonts w:ascii="Times New Roman" w:hAnsi="Times New Roman" w:cs="Times New Roman"/>
          <w:sz w:val="24"/>
          <w:szCs w:val="24"/>
          <w:lang w:val="en-US"/>
        </w:rPr>
        <w:t xml:space="preserve"> which offers less choice? </w:t>
      </w:r>
      <w:r w:rsidR="00FE2627" w:rsidRPr="008B2ED9">
        <w:rPr>
          <w:rFonts w:ascii="Times New Roman" w:hAnsi="Times New Roman" w:cs="Times New Roman"/>
          <w:sz w:val="24"/>
          <w:szCs w:val="24"/>
          <w:lang w:val="en-US"/>
        </w:rPr>
        <w:t>The discrepancy between people</w:t>
      </w:r>
      <w:r w:rsidR="001D5696">
        <w:rPr>
          <w:rFonts w:ascii="Times New Roman" w:hAnsi="Times New Roman" w:cs="Times New Roman"/>
          <w:sz w:val="24"/>
          <w:szCs w:val="24"/>
          <w:lang w:val="en-US"/>
        </w:rPr>
        <w:t>’</w:t>
      </w:r>
      <w:r w:rsidR="00FE2627" w:rsidRPr="008B2ED9">
        <w:rPr>
          <w:rFonts w:ascii="Times New Roman" w:hAnsi="Times New Roman" w:cs="Times New Roman"/>
          <w:sz w:val="24"/>
          <w:szCs w:val="24"/>
          <w:lang w:val="en-US"/>
        </w:rPr>
        <w:t xml:space="preserve">s </w:t>
      </w:r>
      <w:r w:rsidR="00F05425">
        <w:rPr>
          <w:rFonts w:ascii="Times New Roman" w:hAnsi="Times New Roman" w:cs="Times New Roman"/>
          <w:sz w:val="24"/>
          <w:szCs w:val="24"/>
          <w:lang w:val="en-US"/>
        </w:rPr>
        <w:t xml:space="preserve">individual </w:t>
      </w:r>
      <w:r w:rsidRPr="008B2ED9">
        <w:rPr>
          <w:rFonts w:ascii="Times New Roman" w:hAnsi="Times New Roman" w:cs="Times New Roman"/>
          <w:sz w:val="24"/>
          <w:szCs w:val="24"/>
          <w:lang w:val="en-US"/>
        </w:rPr>
        <w:t xml:space="preserve">consumer </w:t>
      </w:r>
      <w:r w:rsidR="00F05425">
        <w:rPr>
          <w:rFonts w:ascii="Times New Roman" w:hAnsi="Times New Roman" w:cs="Times New Roman"/>
          <w:sz w:val="24"/>
          <w:szCs w:val="24"/>
          <w:lang w:val="en-US"/>
        </w:rPr>
        <w:t xml:space="preserve">preferences and their </w:t>
      </w:r>
      <w:r w:rsidR="00F05425" w:rsidRPr="008B2ED9">
        <w:rPr>
          <w:rFonts w:ascii="Times New Roman" w:hAnsi="Times New Roman" w:cs="Times New Roman"/>
          <w:sz w:val="24"/>
          <w:szCs w:val="24"/>
          <w:lang w:val="en-US"/>
        </w:rPr>
        <w:t xml:space="preserve">wish for regional prosperity </w:t>
      </w:r>
      <w:r w:rsidR="00FE2627" w:rsidRPr="008B2ED9">
        <w:rPr>
          <w:rFonts w:ascii="Times New Roman" w:hAnsi="Times New Roman" w:cs="Times New Roman"/>
          <w:sz w:val="24"/>
          <w:szCs w:val="24"/>
          <w:lang w:val="en-US"/>
        </w:rPr>
        <w:t xml:space="preserve">reflects a tension between individual and collective rationality. </w:t>
      </w:r>
    </w:p>
    <w:p w14:paraId="30D5F53A" w14:textId="77777777" w:rsidR="00020EFF" w:rsidRPr="008B2ED9" w:rsidRDefault="007C4D06" w:rsidP="001A1FBC">
      <w:pPr>
        <w:pStyle w:val="PlainText"/>
        <w:spacing w:before="120"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Introducing a regional currency does not eliminate this dilemma but simply shifts it </w:t>
      </w:r>
      <w:r w:rsidR="00020EFF" w:rsidRPr="008B2ED9">
        <w:rPr>
          <w:rFonts w:ascii="Times New Roman" w:hAnsi="Times New Roman" w:cs="Times New Roman"/>
          <w:sz w:val="24"/>
          <w:szCs w:val="24"/>
          <w:lang w:val="en-US"/>
        </w:rPr>
        <w:t xml:space="preserve">from the stage where consumption decisions are made towards the stage where the means of payment </w:t>
      </w:r>
      <w:r>
        <w:rPr>
          <w:rFonts w:ascii="Times New Roman" w:hAnsi="Times New Roman" w:cs="Times New Roman"/>
          <w:sz w:val="24"/>
          <w:szCs w:val="24"/>
          <w:lang w:val="en-US"/>
        </w:rPr>
        <w:t>are</w:t>
      </w:r>
      <w:r w:rsidR="00020EFF" w:rsidRPr="008B2ED9">
        <w:rPr>
          <w:rFonts w:ascii="Times New Roman" w:hAnsi="Times New Roman" w:cs="Times New Roman"/>
          <w:sz w:val="24"/>
          <w:szCs w:val="24"/>
          <w:lang w:val="en-US"/>
        </w:rPr>
        <w:t xml:space="preserve"> chosen</w:t>
      </w:r>
      <w:r>
        <w:rPr>
          <w:rFonts w:ascii="Times New Roman" w:hAnsi="Times New Roman" w:cs="Times New Roman"/>
          <w:sz w:val="24"/>
          <w:szCs w:val="24"/>
          <w:lang w:val="en-US"/>
        </w:rPr>
        <w:t xml:space="preserve">. </w:t>
      </w:r>
      <w:r w:rsidR="00E622FD">
        <w:rPr>
          <w:rFonts w:ascii="Times New Roman" w:hAnsi="Times New Roman" w:cs="Times New Roman"/>
          <w:sz w:val="24"/>
          <w:szCs w:val="24"/>
          <w:lang w:val="en-US"/>
        </w:rPr>
        <w:t>It is only u</w:t>
      </w:r>
      <w:r>
        <w:rPr>
          <w:rFonts w:ascii="Times New Roman" w:hAnsi="Times New Roman" w:cs="Times New Roman"/>
          <w:sz w:val="24"/>
          <w:szCs w:val="24"/>
          <w:lang w:val="en-US"/>
        </w:rPr>
        <w:t>nder s</w:t>
      </w:r>
      <w:r w:rsidR="00E622FD">
        <w:rPr>
          <w:rFonts w:ascii="Times New Roman" w:hAnsi="Times New Roman" w:cs="Times New Roman"/>
          <w:sz w:val="24"/>
          <w:szCs w:val="24"/>
          <w:lang w:val="en-US"/>
        </w:rPr>
        <w:t xml:space="preserve">pecific </w:t>
      </w:r>
      <w:r>
        <w:rPr>
          <w:rFonts w:ascii="Times New Roman" w:hAnsi="Times New Roman" w:cs="Times New Roman"/>
          <w:sz w:val="24"/>
          <w:szCs w:val="24"/>
          <w:lang w:val="en-US"/>
        </w:rPr>
        <w:t>circumstances</w:t>
      </w:r>
      <w:r w:rsidR="00E622FD">
        <w:rPr>
          <w:rFonts w:ascii="Times New Roman" w:hAnsi="Times New Roman" w:cs="Times New Roman"/>
          <w:sz w:val="24"/>
          <w:szCs w:val="24"/>
          <w:lang w:val="en-US"/>
        </w:rPr>
        <w:t xml:space="preserve"> that such a </w:t>
      </w:r>
      <w:r>
        <w:rPr>
          <w:rFonts w:ascii="Times New Roman" w:hAnsi="Times New Roman" w:cs="Times New Roman"/>
          <w:sz w:val="24"/>
          <w:szCs w:val="24"/>
          <w:lang w:val="en-US"/>
        </w:rPr>
        <w:t>shift might indeed make a difference</w:t>
      </w:r>
      <w:r w:rsidR="00F21420">
        <w:rPr>
          <w:rFonts w:ascii="Times New Roman" w:hAnsi="Times New Roman" w:cs="Times New Roman"/>
          <w:sz w:val="24"/>
          <w:szCs w:val="24"/>
          <w:lang w:val="en-US"/>
        </w:rPr>
        <w:t>.</w:t>
      </w:r>
      <w:r>
        <w:rPr>
          <w:rFonts w:ascii="Times New Roman" w:hAnsi="Times New Roman" w:cs="Times New Roman"/>
          <w:sz w:val="24"/>
          <w:szCs w:val="24"/>
          <w:lang w:val="en-US"/>
        </w:rPr>
        <w:t xml:space="preserve"> If the choice of the means of payment is </w:t>
      </w:r>
      <w:r w:rsidR="00E622FD">
        <w:rPr>
          <w:rFonts w:ascii="Times New Roman" w:hAnsi="Times New Roman" w:cs="Times New Roman"/>
          <w:sz w:val="24"/>
          <w:szCs w:val="24"/>
          <w:lang w:val="en-US"/>
        </w:rPr>
        <w:t xml:space="preserve">exposed to greater transparency and closer community surveillance, peer pressure could be more effective than in the application on </w:t>
      </w:r>
      <w:r w:rsidR="00E622FD" w:rsidRPr="008B2ED9">
        <w:rPr>
          <w:rFonts w:ascii="Times New Roman" w:hAnsi="Times New Roman" w:cs="Times New Roman"/>
          <w:sz w:val="24"/>
          <w:szCs w:val="24"/>
          <w:lang w:val="en-US"/>
        </w:rPr>
        <w:t>dispersed individual shopping behavior</w:t>
      </w:r>
      <w:r w:rsidR="00E622FD">
        <w:rPr>
          <w:rFonts w:ascii="Times New Roman" w:hAnsi="Times New Roman" w:cs="Times New Roman"/>
          <w:sz w:val="24"/>
          <w:szCs w:val="24"/>
          <w:lang w:val="en-US"/>
        </w:rPr>
        <w:t>.</w:t>
      </w:r>
      <w:r w:rsidR="001A1FBC">
        <w:rPr>
          <w:rFonts w:ascii="Times New Roman" w:hAnsi="Times New Roman" w:cs="Times New Roman"/>
          <w:sz w:val="24"/>
          <w:szCs w:val="24"/>
          <w:lang w:val="en-US"/>
        </w:rPr>
        <w:t xml:space="preserve"> </w:t>
      </w:r>
      <w:r w:rsidR="00937D65" w:rsidRPr="008B2ED9">
        <w:rPr>
          <w:rFonts w:ascii="Times New Roman" w:hAnsi="Times New Roman" w:cs="Times New Roman"/>
          <w:sz w:val="24"/>
          <w:szCs w:val="24"/>
          <w:lang w:val="en-US"/>
        </w:rPr>
        <w:t>Regional currencies can also have a marketing effect that raises awareness among potential users. But a</w:t>
      </w:r>
      <w:r w:rsidR="00B86F4C" w:rsidRPr="008B2ED9">
        <w:rPr>
          <w:rFonts w:ascii="Times New Roman" w:hAnsi="Times New Roman" w:cs="Times New Roman"/>
          <w:sz w:val="24"/>
          <w:szCs w:val="24"/>
          <w:lang w:val="en-US"/>
        </w:rPr>
        <w:t>s long as the economy is based on markets where individual choices of producers and consumers determine outcomes</w:t>
      </w:r>
      <w:r w:rsidR="00FE2627" w:rsidRPr="008B2ED9">
        <w:rPr>
          <w:rFonts w:ascii="Times New Roman" w:hAnsi="Times New Roman" w:cs="Times New Roman"/>
          <w:sz w:val="24"/>
          <w:szCs w:val="24"/>
          <w:lang w:val="en-US"/>
        </w:rPr>
        <w:t>, instead of collective decision making with binding consequences for individuals</w:t>
      </w:r>
      <w:r w:rsidR="00B86F4C" w:rsidRPr="008B2ED9">
        <w:rPr>
          <w:rFonts w:ascii="Times New Roman" w:hAnsi="Times New Roman" w:cs="Times New Roman"/>
          <w:sz w:val="24"/>
          <w:szCs w:val="24"/>
          <w:lang w:val="en-US"/>
        </w:rPr>
        <w:t xml:space="preserve">, individual preferences </w:t>
      </w:r>
      <w:r w:rsidR="00E622FD">
        <w:rPr>
          <w:rFonts w:ascii="Times New Roman" w:hAnsi="Times New Roman" w:cs="Times New Roman"/>
          <w:sz w:val="24"/>
          <w:szCs w:val="24"/>
          <w:lang w:val="en-US"/>
        </w:rPr>
        <w:t>are likely</w:t>
      </w:r>
      <w:r w:rsidR="00B86F4C" w:rsidRPr="008B2ED9">
        <w:rPr>
          <w:rFonts w:ascii="Times New Roman" w:hAnsi="Times New Roman" w:cs="Times New Roman"/>
          <w:sz w:val="24"/>
          <w:szCs w:val="24"/>
          <w:lang w:val="en-US"/>
        </w:rPr>
        <w:t xml:space="preserve"> to prevail whenever there is a dilemma between individual and collective rationality.</w:t>
      </w:r>
    </w:p>
    <w:p w14:paraId="1B2D91E8" w14:textId="77777777" w:rsidR="00F168E3" w:rsidRDefault="000C5A13"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Complementary currency projects with demurrage features assume that money can be reduced to serve as me</w:t>
      </w:r>
      <w:r w:rsidR="00937D65" w:rsidRPr="008B2ED9">
        <w:rPr>
          <w:rFonts w:ascii="Times New Roman" w:hAnsi="Times New Roman" w:cs="Times New Roman"/>
          <w:sz w:val="24"/>
          <w:szCs w:val="24"/>
          <w:lang w:val="en-US"/>
        </w:rPr>
        <w:t>ans of payment</w:t>
      </w:r>
      <w:r w:rsidRPr="008B2ED9">
        <w:rPr>
          <w:rFonts w:ascii="Times New Roman" w:hAnsi="Times New Roman" w:cs="Times New Roman"/>
          <w:sz w:val="24"/>
          <w:szCs w:val="24"/>
          <w:lang w:val="en-US"/>
        </w:rPr>
        <w:t xml:space="preserve"> in a process of mutual exchange. </w:t>
      </w:r>
      <w:r w:rsidR="00904A3B" w:rsidRPr="008B2ED9">
        <w:rPr>
          <w:rFonts w:ascii="Times New Roman" w:hAnsi="Times New Roman" w:cs="Times New Roman"/>
          <w:sz w:val="24"/>
          <w:szCs w:val="24"/>
          <w:lang w:val="en-US"/>
        </w:rPr>
        <w:t>Uncertainties</w:t>
      </w:r>
      <w:r w:rsidRPr="008B2ED9">
        <w:rPr>
          <w:rFonts w:ascii="Times New Roman" w:hAnsi="Times New Roman" w:cs="Times New Roman"/>
          <w:sz w:val="24"/>
          <w:szCs w:val="24"/>
          <w:lang w:val="en-US"/>
        </w:rPr>
        <w:t xml:space="preserve"> deriving from the current reality of a non-transparent economy</w:t>
      </w:r>
      <w:r w:rsidR="00904A3B">
        <w:rPr>
          <w:rFonts w:ascii="Times New Roman" w:hAnsi="Times New Roman" w:cs="Times New Roman"/>
          <w:sz w:val="24"/>
          <w:szCs w:val="24"/>
          <w:lang w:val="en-US"/>
        </w:rPr>
        <w:t xml:space="preserve">, the </w:t>
      </w:r>
      <w:r w:rsidRPr="008B2ED9">
        <w:rPr>
          <w:rFonts w:ascii="Times New Roman" w:hAnsi="Times New Roman" w:cs="Times New Roman"/>
          <w:sz w:val="24"/>
          <w:szCs w:val="24"/>
          <w:lang w:val="en-US"/>
        </w:rPr>
        <w:t>decentralized decision making of private property owners, and the implications for investors</w:t>
      </w:r>
      <w:r w:rsidR="006E4E83">
        <w:rPr>
          <w:rFonts w:ascii="Times New Roman" w:hAnsi="Times New Roman" w:cs="Times New Roman"/>
          <w:sz w:val="24"/>
          <w:szCs w:val="24"/>
          <w:lang w:val="en-US"/>
        </w:rPr>
        <w:t xml:space="preserve"> dependent on</w:t>
      </w:r>
      <w:r w:rsidRPr="008B2ED9">
        <w:rPr>
          <w:rFonts w:ascii="Times New Roman" w:hAnsi="Times New Roman" w:cs="Times New Roman"/>
          <w:sz w:val="24"/>
          <w:szCs w:val="24"/>
          <w:lang w:val="en-US"/>
        </w:rPr>
        <w:t xml:space="preserve"> </w:t>
      </w:r>
      <w:r w:rsidR="006E4E83">
        <w:rPr>
          <w:rFonts w:ascii="Times New Roman" w:hAnsi="Times New Roman" w:cs="Times New Roman"/>
          <w:sz w:val="24"/>
          <w:szCs w:val="24"/>
          <w:lang w:val="en-US"/>
        </w:rPr>
        <w:t xml:space="preserve">expectation-based </w:t>
      </w:r>
      <w:r w:rsidRPr="008B2ED9">
        <w:rPr>
          <w:rFonts w:ascii="Times New Roman" w:hAnsi="Times New Roman" w:cs="Times New Roman"/>
          <w:sz w:val="24"/>
          <w:szCs w:val="24"/>
          <w:lang w:val="en-US"/>
        </w:rPr>
        <w:t>production efforts</w:t>
      </w:r>
      <w:r w:rsidR="006E4E83">
        <w:rPr>
          <w:rFonts w:ascii="Times New Roman" w:hAnsi="Times New Roman" w:cs="Times New Roman"/>
          <w:sz w:val="24"/>
          <w:szCs w:val="24"/>
          <w:lang w:val="en-US"/>
        </w:rPr>
        <w:t>,</w:t>
      </w:r>
      <w:r w:rsidRPr="008B2ED9">
        <w:rPr>
          <w:rFonts w:ascii="Times New Roman" w:hAnsi="Times New Roman" w:cs="Times New Roman"/>
          <w:sz w:val="24"/>
          <w:szCs w:val="24"/>
          <w:lang w:val="en-US"/>
        </w:rPr>
        <w:t xml:space="preserve"> are ignored. But in the modern economy, money fulfills an essential function beyond being a means of </w:t>
      </w:r>
      <w:r w:rsidR="00937D65" w:rsidRPr="008B2ED9">
        <w:rPr>
          <w:rFonts w:ascii="Times New Roman" w:hAnsi="Times New Roman" w:cs="Times New Roman"/>
          <w:sz w:val="24"/>
          <w:szCs w:val="24"/>
          <w:lang w:val="en-US"/>
        </w:rPr>
        <w:t>payment</w:t>
      </w:r>
      <w:r w:rsidR="006E4E83">
        <w:rPr>
          <w:rFonts w:ascii="Times New Roman" w:hAnsi="Times New Roman" w:cs="Times New Roman"/>
          <w:sz w:val="24"/>
          <w:szCs w:val="24"/>
          <w:lang w:val="en-US"/>
        </w:rPr>
        <w:t>.</w:t>
      </w:r>
      <w:r w:rsidRPr="008B2ED9">
        <w:rPr>
          <w:rFonts w:ascii="Times New Roman" w:hAnsi="Times New Roman" w:cs="Times New Roman"/>
          <w:sz w:val="24"/>
          <w:szCs w:val="24"/>
          <w:lang w:val="en-US"/>
        </w:rPr>
        <w:t xml:space="preserve"> </w:t>
      </w:r>
      <w:r w:rsidR="006E4E83">
        <w:rPr>
          <w:rFonts w:ascii="Times New Roman" w:hAnsi="Times New Roman" w:cs="Times New Roman"/>
          <w:sz w:val="24"/>
          <w:szCs w:val="24"/>
          <w:lang w:val="en-US"/>
        </w:rPr>
        <w:t xml:space="preserve">Money </w:t>
      </w:r>
      <w:r w:rsidR="00937D65" w:rsidRPr="008B2ED9">
        <w:rPr>
          <w:rFonts w:ascii="Times New Roman" w:hAnsi="Times New Roman" w:cs="Times New Roman"/>
          <w:sz w:val="24"/>
          <w:szCs w:val="24"/>
          <w:lang w:val="en-US"/>
        </w:rPr>
        <w:t xml:space="preserve">is a unit of </w:t>
      </w:r>
      <w:r w:rsidR="006E4E83" w:rsidRPr="008B2ED9">
        <w:rPr>
          <w:rFonts w:ascii="Times New Roman" w:hAnsi="Times New Roman" w:cs="Times New Roman"/>
          <w:sz w:val="24"/>
          <w:szCs w:val="24"/>
          <w:lang w:val="en-US"/>
        </w:rPr>
        <w:t>account, which</w:t>
      </w:r>
      <w:r w:rsidR="00937D65" w:rsidRPr="008B2ED9">
        <w:rPr>
          <w:rFonts w:ascii="Times New Roman" w:hAnsi="Times New Roman" w:cs="Times New Roman"/>
          <w:sz w:val="24"/>
          <w:szCs w:val="24"/>
          <w:lang w:val="en-US"/>
        </w:rPr>
        <w:t xml:space="preserve"> is decisive for the formation of comparable prices, and it</w:t>
      </w:r>
      <w:r w:rsidRPr="008B2ED9">
        <w:rPr>
          <w:rFonts w:ascii="Times New Roman" w:hAnsi="Times New Roman" w:cs="Times New Roman"/>
          <w:sz w:val="24"/>
          <w:szCs w:val="24"/>
          <w:lang w:val="en-US"/>
        </w:rPr>
        <w:t xml:space="preserve"> is the most liquid store of value. Liquidity </w:t>
      </w:r>
      <w:r w:rsidR="003311D1" w:rsidRPr="008B2ED9">
        <w:rPr>
          <w:rFonts w:ascii="Times New Roman" w:hAnsi="Times New Roman" w:cs="Times New Roman"/>
          <w:sz w:val="24"/>
          <w:szCs w:val="24"/>
          <w:lang w:val="en-US"/>
        </w:rPr>
        <w:t>offers</w:t>
      </w:r>
      <w:r w:rsidRPr="008B2ED9">
        <w:rPr>
          <w:rFonts w:ascii="Times New Roman" w:hAnsi="Times New Roman" w:cs="Times New Roman"/>
          <w:sz w:val="24"/>
          <w:szCs w:val="24"/>
          <w:lang w:val="en-US"/>
        </w:rPr>
        <w:t xml:space="preserve"> a hedge against uncertainty intrinsic to a capitalist market economy. Many reformers want to do </w:t>
      </w:r>
      <w:r w:rsidRPr="008B2ED9">
        <w:rPr>
          <w:rFonts w:ascii="Times New Roman" w:hAnsi="Times New Roman" w:cs="Times New Roman"/>
          <w:sz w:val="24"/>
          <w:szCs w:val="24"/>
          <w:lang w:val="en-US"/>
        </w:rPr>
        <w:lastRenderedPageBreak/>
        <w:t xml:space="preserve">away with this function because if uncertainty increases and people make increased use of money as store of value instead of investing it, money is hoarded and its circulation slows. The consequence </w:t>
      </w:r>
      <w:r w:rsidR="001D7D23" w:rsidRPr="008B2ED9">
        <w:rPr>
          <w:rFonts w:ascii="Times New Roman" w:hAnsi="Times New Roman" w:cs="Times New Roman"/>
          <w:sz w:val="24"/>
          <w:szCs w:val="24"/>
          <w:lang w:val="en-US"/>
        </w:rPr>
        <w:t>can be</w:t>
      </w:r>
      <w:r w:rsidRPr="008B2ED9">
        <w:rPr>
          <w:rFonts w:ascii="Times New Roman" w:hAnsi="Times New Roman" w:cs="Times New Roman"/>
          <w:sz w:val="24"/>
          <w:szCs w:val="24"/>
          <w:lang w:val="en-US"/>
        </w:rPr>
        <w:t xml:space="preserve"> a fall in consumption and investment and </w:t>
      </w:r>
      <w:r w:rsidR="001D7D23" w:rsidRPr="008B2ED9">
        <w:rPr>
          <w:rFonts w:ascii="Times New Roman" w:hAnsi="Times New Roman" w:cs="Times New Roman"/>
          <w:sz w:val="24"/>
          <w:szCs w:val="24"/>
          <w:lang w:val="en-US"/>
        </w:rPr>
        <w:t xml:space="preserve">rising </w:t>
      </w:r>
      <w:r w:rsidRPr="008B2ED9">
        <w:rPr>
          <w:rFonts w:ascii="Times New Roman" w:hAnsi="Times New Roman" w:cs="Times New Roman"/>
          <w:sz w:val="24"/>
          <w:szCs w:val="24"/>
          <w:lang w:val="en-US"/>
        </w:rPr>
        <w:t>unemployment. Th</w:t>
      </w:r>
      <w:r w:rsidR="00F168E3">
        <w:rPr>
          <w:rFonts w:ascii="Times New Roman" w:hAnsi="Times New Roman" w:cs="Times New Roman"/>
          <w:sz w:val="24"/>
          <w:szCs w:val="24"/>
          <w:lang w:val="en-US"/>
        </w:rPr>
        <w:t>us i</w:t>
      </w:r>
      <w:r w:rsidR="00A22FAC" w:rsidRPr="008B2ED9">
        <w:rPr>
          <w:rFonts w:ascii="Times New Roman" w:hAnsi="Times New Roman" w:cs="Times New Roman"/>
          <w:sz w:val="24"/>
          <w:szCs w:val="24"/>
          <w:lang w:val="en-US"/>
        </w:rPr>
        <w:t>ndividually rational behavio</w:t>
      </w:r>
      <w:r w:rsidRPr="008B2ED9">
        <w:rPr>
          <w:rFonts w:ascii="Times New Roman" w:hAnsi="Times New Roman" w:cs="Times New Roman"/>
          <w:sz w:val="24"/>
          <w:szCs w:val="24"/>
          <w:lang w:val="en-US"/>
        </w:rPr>
        <w:t xml:space="preserve">r yields dysfunctional collective results. </w:t>
      </w:r>
    </w:p>
    <w:p w14:paraId="3E4330F9" w14:textId="44B6B0A4" w:rsidR="000C5A13" w:rsidRDefault="00F168E3" w:rsidP="001A1FBC">
      <w:pPr>
        <w:pStyle w:val="PlainText"/>
        <w:spacing w:before="120"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t>In order to</w:t>
      </w:r>
      <w:r w:rsidR="000C5A13" w:rsidRPr="008B2ED9">
        <w:rPr>
          <w:rFonts w:ascii="Times New Roman" w:hAnsi="Times New Roman" w:cs="Times New Roman"/>
          <w:sz w:val="24"/>
          <w:szCs w:val="24"/>
          <w:lang w:val="en-US"/>
        </w:rPr>
        <w:t xml:space="preserve"> succesfully reduce uncertainty economic prospects must be improved by economic policy. Depriving people </w:t>
      </w:r>
      <w:r w:rsidR="00D63BFD">
        <w:rPr>
          <w:rFonts w:ascii="Times New Roman" w:hAnsi="Times New Roman" w:cs="Times New Roman"/>
          <w:sz w:val="24"/>
          <w:szCs w:val="24"/>
          <w:lang w:val="en-US"/>
        </w:rPr>
        <w:t>of a store of value and</w:t>
      </w:r>
      <w:r w:rsidRPr="008B2ED9">
        <w:rPr>
          <w:rFonts w:ascii="Times New Roman" w:hAnsi="Times New Roman" w:cs="Times New Roman"/>
          <w:sz w:val="24"/>
          <w:szCs w:val="24"/>
          <w:lang w:val="en-US"/>
        </w:rPr>
        <w:t xml:space="preserve"> trying to force them to spend </w:t>
      </w:r>
      <w:r w:rsidR="008672EF">
        <w:rPr>
          <w:rFonts w:ascii="Times New Roman" w:hAnsi="Times New Roman" w:cs="Times New Roman"/>
          <w:sz w:val="24"/>
          <w:szCs w:val="24"/>
          <w:lang w:val="en-US"/>
        </w:rPr>
        <w:t xml:space="preserve">is not a means </w:t>
      </w:r>
      <w:r w:rsidR="000C5A13" w:rsidRPr="008B2ED9">
        <w:rPr>
          <w:rFonts w:ascii="Times New Roman" w:hAnsi="Times New Roman" w:cs="Times New Roman"/>
          <w:sz w:val="24"/>
          <w:szCs w:val="24"/>
          <w:lang w:val="en-US"/>
        </w:rPr>
        <w:t xml:space="preserve">to protect </w:t>
      </w:r>
      <w:r>
        <w:rPr>
          <w:rFonts w:ascii="Times New Roman" w:hAnsi="Times New Roman" w:cs="Times New Roman"/>
          <w:sz w:val="24"/>
          <w:szCs w:val="24"/>
          <w:lang w:val="en-US"/>
        </w:rPr>
        <w:t>against</w:t>
      </w:r>
      <w:r w:rsidRPr="008B2ED9">
        <w:rPr>
          <w:rFonts w:ascii="Times New Roman" w:hAnsi="Times New Roman" w:cs="Times New Roman"/>
          <w:sz w:val="24"/>
          <w:szCs w:val="24"/>
          <w:lang w:val="en-US"/>
        </w:rPr>
        <w:t xml:space="preserve"> </w:t>
      </w:r>
      <w:r w:rsidR="000C5A13" w:rsidRPr="008B2ED9">
        <w:rPr>
          <w:rFonts w:ascii="Times New Roman" w:hAnsi="Times New Roman" w:cs="Times New Roman"/>
          <w:sz w:val="24"/>
          <w:szCs w:val="24"/>
          <w:lang w:val="en-US"/>
        </w:rPr>
        <w:t>uncertainty</w:t>
      </w:r>
      <w:r>
        <w:rPr>
          <w:rFonts w:ascii="Times New Roman" w:hAnsi="Times New Roman" w:cs="Times New Roman"/>
          <w:sz w:val="24"/>
          <w:szCs w:val="24"/>
          <w:lang w:val="en-US"/>
        </w:rPr>
        <w:t>.</w:t>
      </w:r>
      <w:r w:rsidR="000C5A13" w:rsidRPr="008B2ED9">
        <w:rPr>
          <w:rFonts w:ascii="Times New Roman" w:hAnsi="Times New Roman" w:cs="Times New Roman"/>
          <w:sz w:val="24"/>
          <w:szCs w:val="24"/>
          <w:lang w:val="en-US"/>
        </w:rPr>
        <w:t xml:space="preserve"> </w:t>
      </w:r>
      <w:r w:rsidR="00C0077A">
        <w:rPr>
          <w:rFonts w:ascii="Times New Roman" w:hAnsi="Times New Roman" w:cs="Times New Roman"/>
          <w:sz w:val="24"/>
          <w:szCs w:val="24"/>
          <w:lang w:val="en-US"/>
        </w:rPr>
        <w:t xml:space="preserve">Making money dysfunctional </w:t>
      </w:r>
      <w:r w:rsidR="00D63BFD">
        <w:rPr>
          <w:rFonts w:ascii="Times New Roman" w:hAnsi="Times New Roman" w:cs="Times New Roman"/>
          <w:sz w:val="24"/>
          <w:szCs w:val="24"/>
          <w:lang w:val="en-US"/>
        </w:rPr>
        <w:t>as store of value</w:t>
      </w:r>
      <w:r w:rsidR="00C0077A">
        <w:rPr>
          <w:rFonts w:ascii="Times New Roman" w:hAnsi="Times New Roman" w:cs="Times New Roman"/>
          <w:sz w:val="24"/>
          <w:szCs w:val="24"/>
          <w:lang w:val="en-US"/>
        </w:rPr>
        <w:t xml:space="preserve"> does not encourage people to stop hoarding; the</w:t>
      </w:r>
      <w:r w:rsidR="00082B53">
        <w:rPr>
          <w:rFonts w:ascii="Times New Roman" w:hAnsi="Times New Roman" w:cs="Times New Roman"/>
          <w:sz w:val="24"/>
          <w:szCs w:val="24"/>
          <w:lang w:val="en-US"/>
        </w:rPr>
        <w:t>y</w:t>
      </w:r>
      <w:r w:rsidR="00C0077A">
        <w:rPr>
          <w:rFonts w:ascii="Times New Roman" w:hAnsi="Times New Roman" w:cs="Times New Roman"/>
          <w:sz w:val="24"/>
          <w:szCs w:val="24"/>
          <w:lang w:val="en-US"/>
        </w:rPr>
        <w:t xml:space="preserve"> simply </w:t>
      </w:r>
      <w:r w:rsidR="00D63BFD">
        <w:rPr>
          <w:rFonts w:ascii="Times New Roman" w:hAnsi="Times New Roman" w:cs="Times New Roman"/>
          <w:sz w:val="24"/>
          <w:szCs w:val="24"/>
          <w:lang w:val="en-US"/>
        </w:rPr>
        <w:t xml:space="preserve">start </w:t>
      </w:r>
      <w:r w:rsidR="00C0077A">
        <w:rPr>
          <w:rFonts w:ascii="Times New Roman" w:hAnsi="Times New Roman" w:cs="Times New Roman"/>
          <w:sz w:val="24"/>
          <w:szCs w:val="24"/>
          <w:lang w:val="en-US"/>
        </w:rPr>
        <w:t>search</w:t>
      </w:r>
      <w:r w:rsidR="00D63BFD">
        <w:rPr>
          <w:rFonts w:ascii="Times New Roman" w:hAnsi="Times New Roman" w:cs="Times New Roman"/>
          <w:sz w:val="24"/>
          <w:szCs w:val="24"/>
          <w:lang w:val="en-US"/>
        </w:rPr>
        <w:t>ing</w:t>
      </w:r>
      <w:r w:rsidR="00C0077A">
        <w:rPr>
          <w:rFonts w:ascii="Times New Roman" w:hAnsi="Times New Roman" w:cs="Times New Roman"/>
          <w:sz w:val="24"/>
          <w:szCs w:val="24"/>
          <w:lang w:val="en-US"/>
        </w:rPr>
        <w:t xml:space="preserve"> for</w:t>
      </w:r>
      <w:r w:rsidR="000C5A13" w:rsidRPr="008B2ED9">
        <w:rPr>
          <w:rFonts w:ascii="Times New Roman" w:hAnsi="Times New Roman" w:cs="Times New Roman"/>
          <w:sz w:val="24"/>
          <w:szCs w:val="24"/>
          <w:lang w:val="en-US"/>
        </w:rPr>
        <w:t xml:space="preserve"> different modes to preserve value or </w:t>
      </w:r>
      <w:r w:rsidR="003311D1" w:rsidRPr="008B2ED9">
        <w:rPr>
          <w:rFonts w:ascii="Times New Roman" w:hAnsi="Times New Roman" w:cs="Times New Roman"/>
          <w:sz w:val="24"/>
          <w:szCs w:val="24"/>
          <w:lang w:val="en-US"/>
        </w:rPr>
        <w:t xml:space="preserve">for </w:t>
      </w:r>
      <w:r w:rsidR="001A1FBC">
        <w:rPr>
          <w:rFonts w:ascii="Times New Roman" w:hAnsi="Times New Roman" w:cs="Times New Roman"/>
          <w:sz w:val="24"/>
          <w:szCs w:val="24"/>
          <w:lang w:val="en-US"/>
        </w:rPr>
        <w:t>a different kind of money.</w:t>
      </w:r>
    </w:p>
    <w:p w14:paraId="32BA8312" w14:textId="77777777" w:rsidR="001A1FBC" w:rsidRPr="008B2ED9" w:rsidRDefault="001A1FBC" w:rsidP="001A1FBC">
      <w:pPr>
        <w:pStyle w:val="PlainText"/>
        <w:spacing w:before="120" w:after="240" w:line="276" w:lineRule="auto"/>
        <w:rPr>
          <w:rFonts w:ascii="Times New Roman" w:hAnsi="Times New Roman" w:cs="Times New Roman"/>
          <w:sz w:val="24"/>
          <w:szCs w:val="24"/>
          <w:lang w:val="en-US"/>
        </w:rPr>
      </w:pPr>
    </w:p>
    <w:p w14:paraId="38430F5F" w14:textId="77777777" w:rsidR="00311FB5" w:rsidRPr="009E53A7" w:rsidRDefault="001A1FBC" w:rsidP="001A1FBC">
      <w:pPr>
        <w:pStyle w:val="Heading3"/>
        <w:rPr>
          <w:lang w:val="en-US"/>
        </w:rPr>
      </w:pPr>
      <w:r>
        <w:rPr>
          <w:lang w:val="en-US"/>
        </w:rPr>
        <w:t xml:space="preserve">c) </w:t>
      </w:r>
      <w:r w:rsidR="00314451" w:rsidRPr="009E53A7">
        <w:rPr>
          <w:lang w:val="en-US"/>
        </w:rPr>
        <w:t xml:space="preserve">Complementarity </w:t>
      </w:r>
      <w:r w:rsidR="00A45FB3" w:rsidRPr="009E53A7">
        <w:rPr>
          <w:lang w:val="en-US"/>
        </w:rPr>
        <w:t>W</w:t>
      </w:r>
      <w:r w:rsidR="00314451" w:rsidRPr="009E53A7">
        <w:rPr>
          <w:lang w:val="en-US"/>
        </w:rPr>
        <w:t xml:space="preserve">ith </w:t>
      </w:r>
      <w:r w:rsidR="00A45FB3" w:rsidRPr="009E53A7">
        <w:rPr>
          <w:lang w:val="en-US"/>
        </w:rPr>
        <w:t>R</w:t>
      </w:r>
      <w:r w:rsidR="00314451" w:rsidRPr="009E53A7">
        <w:rPr>
          <w:lang w:val="en-US"/>
        </w:rPr>
        <w:t xml:space="preserve">espect to </w:t>
      </w:r>
      <w:r w:rsidR="00A45FB3" w:rsidRPr="009E53A7">
        <w:rPr>
          <w:lang w:val="en-US"/>
        </w:rPr>
        <w:t>S</w:t>
      </w:r>
      <w:r w:rsidR="00314451" w:rsidRPr="009E53A7">
        <w:rPr>
          <w:lang w:val="en-US"/>
        </w:rPr>
        <w:t xml:space="preserve">pecific </w:t>
      </w:r>
      <w:r w:rsidR="00A45FB3" w:rsidRPr="009E53A7">
        <w:rPr>
          <w:lang w:val="en-US"/>
        </w:rPr>
        <w:t>C</w:t>
      </w:r>
      <w:r w:rsidR="00314451" w:rsidRPr="009E53A7">
        <w:rPr>
          <w:lang w:val="en-US"/>
        </w:rPr>
        <w:t>ontracts</w:t>
      </w:r>
    </w:p>
    <w:p w14:paraId="7FB19470" w14:textId="2FA36429" w:rsidR="006847AD" w:rsidRPr="001A1FBC" w:rsidRDefault="00634730"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Suppliers can decide to make specific</w:t>
      </w:r>
      <w:r w:rsidR="00314451" w:rsidRPr="008B2ED9">
        <w:rPr>
          <w:rFonts w:ascii="Times New Roman" w:hAnsi="Times New Roman" w:cs="Times New Roman"/>
          <w:sz w:val="24"/>
          <w:szCs w:val="24"/>
          <w:lang w:val="en-US"/>
        </w:rPr>
        <w:t xml:space="preserve"> goods</w:t>
      </w:r>
      <w:r w:rsidR="001D7D23" w:rsidRPr="008B2ED9">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xml:space="preserve"> services</w:t>
      </w:r>
      <w:r w:rsidR="008672EF">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xml:space="preserve"> </w:t>
      </w:r>
      <w:r w:rsidR="001D7D23" w:rsidRPr="008B2ED9">
        <w:rPr>
          <w:rFonts w:ascii="Times New Roman" w:hAnsi="Times New Roman" w:cs="Times New Roman"/>
          <w:sz w:val="24"/>
          <w:szCs w:val="24"/>
          <w:lang w:val="en-US"/>
        </w:rPr>
        <w:t>and</w:t>
      </w:r>
      <w:r w:rsidR="00314451" w:rsidRPr="008B2ED9">
        <w:rPr>
          <w:rFonts w:ascii="Times New Roman" w:hAnsi="Times New Roman" w:cs="Times New Roman"/>
          <w:sz w:val="24"/>
          <w:szCs w:val="24"/>
          <w:lang w:val="en-US"/>
        </w:rPr>
        <w:t xml:space="preserve"> transaction</w:t>
      </w:r>
      <w:r w:rsidR="001D7D23" w:rsidRPr="008B2ED9">
        <w:rPr>
          <w:rFonts w:ascii="Times New Roman" w:hAnsi="Times New Roman" w:cs="Times New Roman"/>
          <w:sz w:val="24"/>
          <w:szCs w:val="24"/>
          <w:lang w:val="en-US"/>
        </w:rPr>
        <w:t xml:space="preserve"> type</w:t>
      </w:r>
      <w:r w:rsidR="00314451" w:rsidRPr="008B2ED9">
        <w:rPr>
          <w:rFonts w:ascii="Times New Roman" w:hAnsi="Times New Roman" w:cs="Times New Roman"/>
          <w:sz w:val="24"/>
          <w:szCs w:val="24"/>
          <w:lang w:val="en-US"/>
        </w:rPr>
        <w:t xml:space="preserve">s more or less exlusively available </w:t>
      </w:r>
      <w:r w:rsidRPr="008B2ED9">
        <w:rPr>
          <w:rFonts w:ascii="Times New Roman" w:hAnsi="Times New Roman" w:cs="Times New Roman"/>
          <w:sz w:val="24"/>
          <w:szCs w:val="24"/>
          <w:lang w:val="en-US"/>
        </w:rPr>
        <w:t>through</w:t>
      </w:r>
      <w:r w:rsidR="00314451" w:rsidRPr="008B2ED9">
        <w:rPr>
          <w:rFonts w:ascii="Times New Roman" w:hAnsi="Times New Roman" w:cs="Times New Roman"/>
          <w:sz w:val="24"/>
          <w:szCs w:val="24"/>
          <w:lang w:val="en-US"/>
        </w:rPr>
        <w:t xml:space="preserve"> certain </w:t>
      </w:r>
      <w:r w:rsidR="001D7D23" w:rsidRPr="008B2ED9">
        <w:rPr>
          <w:rFonts w:ascii="Times New Roman" w:hAnsi="Times New Roman" w:cs="Times New Roman"/>
          <w:sz w:val="24"/>
          <w:szCs w:val="24"/>
          <w:lang w:val="en-US"/>
        </w:rPr>
        <w:t>CCs</w:t>
      </w:r>
      <w:r w:rsidRPr="008B2ED9">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xml:space="preserve"> Examples include currencies issued by computer game </w:t>
      </w:r>
      <w:r w:rsidR="00E0788A" w:rsidRPr="008B2ED9">
        <w:rPr>
          <w:rFonts w:ascii="Times New Roman" w:hAnsi="Times New Roman" w:cs="Times New Roman"/>
          <w:sz w:val="24"/>
          <w:szCs w:val="24"/>
          <w:lang w:val="en-US"/>
        </w:rPr>
        <w:t>producers that</w:t>
      </w:r>
      <w:r w:rsidR="00314451" w:rsidRPr="008B2ED9">
        <w:rPr>
          <w:rFonts w:ascii="Times New Roman" w:hAnsi="Times New Roman" w:cs="Times New Roman"/>
          <w:sz w:val="24"/>
          <w:szCs w:val="24"/>
          <w:lang w:val="en-US"/>
        </w:rPr>
        <w:t xml:space="preserve"> give access to virtual goods in online games, and private </w:t>
      </w:r>
      <w:r w:rsidR="00E0788A" w:rsidRPr="008B2ED9">
        <w:rPr>
          <w:rFonts w:ascii="Times New Roman" w:hAnsi="Times New Roman" w:cs="Times New Roman"/>
          <w:sz w:val="24"/>
          <w:szCs w:val="24"/>
          <w:lang w:val="en-US"/>
        </w:rPr>
        <w:t>cryptocurrencies that</w:t>
      </w:r>
      <w:r w:rsidR="00314451" w:rsidRPr="008B2ED9">
        <w:rPr>
          <w:rFonts w:ascii="Times New Roman" w:hAnsi="Times New Roman" w:cs="Times New Roman"/>
          <w:sz w:val="24"/>
          <w:szCs w:val="24"/>
          <w:lang w:val="en-US"/>
        </w:rPr>
        <w:t xml:space="preserve"> </w:t>
      </w:r>
      <w:r w:rsidR="00D63BFD">
        <w:rPr>
          <w:rFonts w:ascii="Times New Roman" w:hAnsi="Times New Roman" w:cs="Times New Roman"/>
          <w:sz w:val="24"/>
          <w:szCs w:val="24"/>
          <w:lang w:val="en-US"/>
        </w:rPr>
        <w:t>enable</w:t>
      </w:r>
      <w:r w:rsidR="00314451" w:rsidRPr="008B2ED9">
        <w:rPr>
          <w:rFonts w:ascii="Times New Roman" w:hAnsi="Times New Roman" w:cs="Times New Roman"/>
          <w:sz w:val="24"/>
          <w:szCs w:val="24"/>
          <w:lang w:val="en-US"/>
        </w:rPr>
        <w:t xml:space="preserve"> illegal transactions and tax evasion</w:t>
      </w:r>
      <w:r w:rsidR="00594E21" w:rsidRPr="008B2ED9">
        <w:rPr>
          <w:rFonts w:ascii="Times New Roman" w:hAnsi="Times New Roman" w:cs="Times New Roman"/>
          <w:sz w:val="24"/>
          <w:szCs w:val="24"/>
          <w:lang w:val="en-US"/>
        </w:rPr>
        <w:t>.</w:t>
      </w:r>
      <w:r w:rsidR="00314451" w:rsidRPr="008B2ED9">
        <w:rPr>
          <w:rFonts w:ascii="Times New Roman" w:hAnsi="Times New Roman" w:cs="Times New Roman"/>
          <w:sz w:val="24"/>
          <w:szCs w:val="24"/>
          <w:lang w:val="en-US"/>
        </w:rPr>
        <w:t xml:space="preserve"> </w:t>
      </w:r>
    </w:p>
    <w:p w14:paraId="5A98803A" w14:textId="77777777" w:rsidR="00DE4DB2" w:rsidRPr="008B2ED9" w:rsidRDefault="005C6B2B" w:rsidP="001A1FBC">
      <w:pPr>
        <w:spacing w:after="240" w:line="276" w:lineRule="auto"/>
        <w:rPr>
          <w:sz w:val="24"/>
          <w:lang w:val="en-US"/>
        </w:rPr>
      </w:pPr>
      <w:r w:rsidRPr="008B2ED9">
        <w:rPr>
          <w:rFonts w:ascii="Times New Roman" w:hAnsi="Times New Roman"/>
          <w:sz w:val="24"/>
          <w:lang w:val="en-US"/>
        </w:rPr>
        <w:t xml:space="preserve">In virtual online games like World of Warcraft or Second </w:t>
      </w:r>
      <w:r w:rsidR="00EE2807" w:rsidRPr="008B2ED9">
        <w:rPr>
          <w:rFonts w:ascii="Times New Roman" w:hAnsi="Times New Roman"/>
          <w:sz w:val="24"/>
          <w:lang w:val="en-US"/>
        </w:rPr>
        <w:t>L</w:t>
      </w:r>
      <w:r w:rsidRPr="008B2ED9">
        <w:rPr>
          <w:rFonts w:ascii="Times New Roman" w:hAnsi="Times New Roman"/>
          <w:sz w:val="24"/>
          <w:lang w:val="en-US"/>
        </w:rPr>
        <w:t xml:space="preserve">ife, the designers have introduced virtual currencies. </w:t>
      </w:r>
      <w:r w:rsidR="00DE455A" w:rsidRPr="008B2ED9">
        <w:rPr>
          <w:rFonts w:ascii="Times New Roman" w:hAnsi="Times New Roman"/>
          <w:sz w:val="24"/>
          <w:lang w:val="en-US"/>
        </w:rPr>
        <w:t>In Second Life, users can enter into transactions with each other using Linden Dollar.</w:t>
      </w:r>
      <w:r w:rsidR="008B238F" w:rsidRPr="008B2ED9">
        <w:rPr>
          <w:rFonts w:ascii="Times New Roman" w:hAnsi="Times New Roman"/>
          <w:sz w:val="24"/>
          <w:lang w:val="en-US"/>
        </w:rPr>
        <w:t xml:space="preserve"> The currency can be purchased from the game owner or from third party exchanges and used to purchase virtual goods and services (as offered by the game owner or other game users) within the game. The game owner tries to keep a stable exchange rate with the US </w:t>
      </w:r>
      <w:r w:rsidR="00AC0944">
        <w:rPr>
          <w:rFonts w:ascii="Times New Roman" w:hAnsi="Times New Roman"/>
          <w:sz w:val="24"/>
          <w:lang w:val="en-US"/>
        </w:rPr>
        <w:t>d</w:t>
      </w:r>
      <w:r w:rsidR="008B238F" w:rsidRPr="008B2ED9">
        <w:rPr>
          <w:rFonts w:ascii="Times New Roman" w:hAnsi="Times New Roman"/>
          <w:sz w:val="24"/>
          <w:lang w:val="en-US"/>
        </w:rPr>
        <w:t xml:space="preserve">ollar by </w:t>
      </w:r>
      <w:r w:rsidR="00D63BFD">
        <w:rPr>
          <w:rFonts w:ascii="Times New Roman" w:hAnsi="Times New Roman"/>
          <w:sz w:val="24"/>
          <w:lang w:val="en-US"/>
        </w:rPr>
        <w:t>crea</w:t>
      </w:r>
      <w:r w:rsidR="008B238F" w:rsidRPr="008B2ED9">
        <w:rPr>
          <w:rFonts w:ascii="Times New Roman" w:hAnsi="Times New Roman"/>
          <w:sz w:val="24"/>
          <w:lang w:val="en-US"/>
        </w:rPr>
        <w:t xml:space="preserve">ting new Linden Dollars as demand increases. </w:t>
      </w:r>
      <w:r w:rsidR="00DE455A" w:rsidRPr="008B2ED9">
        <w:rPr>
          <w:rFonts w:ascii="Times New Roman" w:hAnsi="Times New Roman"/>
          <w:sz w:val="24"/>
          <w:lang w:val="en-US"/>
        </w:rPr>
        <w:t xml:space="preserve">In World of Warcraft, users can buy equipment with digital </w:t>
      </w:r>
      <w:r w:rsidR="00AC0944">
        <w:rPr>
          <w:rFonts w:ascii="Times New Roman" w:hAnsi="Times New Roman"/>
          <w:sz w:val="24"/>
          <w:lang w:val="en-US"/>
        </w:rPr>
        <w:t>‘</w:t>
      </w:r>
      <w:r w:rsidR="00DE455A" w:rsidRPr="008B2ED9">
        <w:rPr>
          <w:rFonts w:ascii="Times New Roman" w:hAnsi="Times New Roman"/>
          <w:sz w:val="24"/>
          <w:lang w:val="en-US"/>
        </w:rPr>
        <w:t>gold coins</w:t>
      </w:r>
      <w:r w:rsidR="00AC0944">
        <w:rPr>
          <w:rFonts w:ascii="Times New Roman" w:hAnsi="Times New Roman"/>
          <w:sz w:val="24"/>
          <w:lang w:val="en-US"/>
        </w:rPr>
        <w:t>’</w:t>
      </w:r>
      <w:r w:rsidR="00DE455A" w:rsidRPr="008B2ED9">
        <w:rPr>
          <w:rFonts w:ascii="Times New Roman" w:hAnsi="Times New Roman"/>
          <w:sz w:val="24"/>
          <w:lang w:val="en-US"/>
        </w:rPr>
        <w:t xml:space="preserve"> in order to help them advance in the game. </w:t>
      </w:r>
      <w:r w:rsidR="00DE4DB2" w:rsidRPr="008B2ED9">
        <w:rPr>
          <w:rFonts w:ascii="Times New Roman" w:hAnsi="Times New Roman"/>
          <w:sz w:val="24"/>
          <w:lang w:val="en-US"/>
        </w:rPr>
        <w:t xml:space="preserve">Digital coins are given away </w:t>
      </w:r>
      <w:r w:rsidR="009B234A" w:rsidRPr="008B2ED9">
        <w:rPr>
          <w:rFonts w:ascii="Times New Roman" w:hAnsi="Times New Roman"/>
          <w:sz w:val="24"/>
          <w:lang w:val="en-US"/>
        </w:rPr>
        <w:t xml:space="preserve">by the game owners </w:t>
      </w:r>
      <w:r w:rsidR="00DE4DB2" w:rsidRPr="008B2ED9">
        <w:rPr>
          <w:rFonts w:ascii="Times New Roman" w:hAnsi="Times New Roman"/>
          <w:sz w:val="24"/>
          <w:lang w:val="en-US"/>
        </w:rPr>
        <w:t xml:space="preserve">as rewards for succesful players. They can also be obtained by selling virtual commodities produced or found by users. In addition, they can be obtained on exchanges, where </w:t>
      </w:r>
      <w:r w:rsidR="00AC0944">
        <w:rPr>
          <w:rFonts w:ascii="Times New Roman" w:hAnsi="Times New Roman"/>
          <w:sz w:val="24"/>
          <w:lang w:val="en-US"/>
        </w:rPr>
        <w:t>‘</w:t>
      </w:r>
      <w:r w:rsidR="00DE4DB2" w:rsidRPr="008B2ED9">
        <w:rPr>
          <w:rFonts w:ascii="Times New Roman" w:hAnsi="Times New Roman"/>
          <w:sz w:val="24"/>
          <w:lang w:val="en-US"/>
        </w:rPr>
        <w:t>gold farmers</w:t>
      </w:r>
      <w:r w:rsidR="00AC0944">
        <w:rPr>
          <w:rFonts w:ascii="Times New Roman" w:hAnsi="Times New Roman"/>
          <w:sz w:val="24"/>
          <w:lang w:val="en-US"/>
        </w:rPr>
        <w:t>’</w:t>
      </w:r>
      <w:r w:rsidR="00DE4DB2" w:rsidRPr="008B2ED9">
        <w:rPr>
          <w:rFonts w:ascii="Times New Roman" w:hAnsi="Times New Roman"/>
          <w:sz w:val="24"/>
          <w:lang w:val="en-US"/>
        </w:rPr>
        <w:t xml:space="preserve"> sell the products of their in-game labour against official currency. In this way, players short on time can outsource the time-intensive advancement in the game for their online character by paying official currency. The work is typically done by young gamers rich in time but poor in money from countries like China and elsewhere. The game owners try to discourage and prevent the latter kind of transactions.</w:t>
      </w:r>
      <w:r w:rsidR="00DE4DB2" w:rsidRPr="008B2ED9">
        <w:rPr>
          <w:sz w:val="24"/>
          <w:lang w:val="en-US"/>
        </w:rPr>
        <w:t xml:space="preserve"> </w:t>
      </w:r>
    </w:p>
    <w:p w14:paraId="277C0E82" w14:textId="77777777" w:rsidR="005C6B2B" w:rsidRPr="008B2ED9" w:rsidRDefault="00E6604D"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 xml:space="preserve">Game owners issue these currencies in order to financially motivate </w:t>
      </w:r>
      <w:r w:rsidR="001D7D23" w:rsidRPr="008B2ED9">
        <w:rPr>
          <w:rFonts w:ascii="Times New Roman" w:hAnsi="Times New Roman" w:cs="Times New Roman"/>
          <w:sz w:val="24"/>
          <w:szCs w:val="24"/>
          <w:lang w:val="en-US"/>
        </w:rPr>
        <w:t>players</w:t>
      </w:r>
      <w:r w:rsidRPr="008B2ED9">
        <w:rPr>
          <w:rFonts w:ascii="Times New Roman" w:hAnsi="Times New Roman" w:cs="Times New Roman"/>
          <w:sz w:val="24"/>
          <w:szCs w:val="24"/>
          <w:lang w:val="en-US"/>
        </w:rPr>
        <w:t xml:space="preserve">, provide an incentive </w:t>
      </w:r>
      <w:r w:rsidR="001D7D23" w:rsidRPr="008B2ED9">
        <w:rPr>
          <w:rFonts w:ascii="Times New Roman" w:hAnsi="Times New Roman" w:cs="Times New Roman"/>
          <w:sz w:val="24"/>
          <w:szCs w:val="24"/>
          <w:lang w:val="en-US"/>
        </w:rPr>
        <w:t>for customers</w:t>
      </w:r>
      <w:r w:rsidRPr="008B2ED9">
        <w:rPr>
          <w:rFonts w:ascii="Times New Roman" w:hAnsi="Times New Roman" w:cs="Times New Roman"/>
          <w:sz w:val="24"/>
          <w:szCs w:val="24"/>
          <w:lang w:val="en-US"/>
        </w:rPr>
        <w:t xml:space="preserve"> to return once they have accumulated certain wealth (</w:t>
      </w:r>
      <w:r w:rsidR="00AC0944">
        <w:rPr>
          <w:rFonts w:ascii="Times New Roman" w:hAnsi="Times New Roman" w:cs="Times New Roman"/>
          <w:sz w:val="24"/>
          <w:szCs w:val="24"/>
          <w:lang w:val="en-US"/>
        </w:rPr>
        <w:t>‘</w:t>
      </w:r>
      <w:r w:rsidRPr="008B2ED9">
        <w:rPr>
          <w:rFonts w:ascii="Times New Roman" w:hAnsi="Times New Roman" w:cs="Times New Roman"/>
          <w:sz w:val="24"/>
          <w:szCs w:val="24"/>
          <w:lang w:val="en-US"/>
        </w:rPr>
        <w:t>lock-in</w:t>
      </w:r>
      <w:r w:rsidR="00AC0944">
        <w:rPr>
          <w:rFonts w:ascii="Times New Roman" w:hAnsi="Times New Roman" w:cs="Times New Roman"/>
          <w:sz w:val="24"/>
          <w:szCs w:val="24"/>
          <w:lang w:val="en-US"/>
        </w:rPr>
        <w:t>’</w:t>
      </w:r>
      <w:r w:rsidRPr="008B2ED9">
        <w:rPr>
          <w:rFonts w:ascii="Times New Roman" w:hAnsi="Times New Roman" w:cs="Times New Roman"/>
          <w:sz w:val="24"/>
          <w:szCs w:val="24"/>
          <w:lang w:val="en-US"/>
        </w:rPr>
        <w:t>), and generate additional revenue for themselves</w:t>
      </w:r>
      <w:r w:rsidR="00AD1416">
        <w:rPr>
          <w:rFonts w:ascii="Times New Roman" w:hAnsi="Times New Roman" w:cs="Times New Roman"/>
          <w:sz w:val="24"/>
          <w:szCs w:val="24"/>
          <w:lang w:val="en-US"/>
        </w:rPr>
        <w:t>.</w:t>
      </w:r>
      <w:r w:rsidR="00AC0944">
        <w:rPr>
          <w:rStyle w:val="FootnoteReference"/>
          <w:rFonts w:ascii="Times New Roman" w:hAnsi="Times New Roman" w:cs="Times New Roman"/>
          <w:sz w:val="24"/>
          <w:szCs w:val="24"/>
          <w:lang w:val="en-US"/>
        </w:rPr>
        <w:footnoteReference w:id="14"/>
      </w:r>
      <w:r w:rsidR="00DD4280" w:rsidRPr="008B2ED9">
        <w:rPr>
          <w:rFonts w:ascii="Times New Roman" w:hAnsi="Times New Roman" w:cs="Times New Roman"/>
          <w:sz w:val="24"/>
          <w:szCs w:val="24"/>
          <w:lang w:val="en-US"/>
        </w:rPr>
        <w:t xml:space="preserve"> The basis of game currency success is that their issuers control access to goods in demand, which creates demand for the currency among game users.</w:t>
      </w:r>
      <w:r w:rsidR="00AF3FEE" w:rsidRPr="008B2ED9">
        <w:rPr>
          <w:rFonts w:ascii="Times New Roman" w:hAnsi="Times New Roman" w:cs="Times New Roman"/>
          <w:sz w:val="24"/>
          <w:szCs w:val="24"/>
          <w:lang w:val="en-US"/>
        </w:rPr>
        <w:t xml:space="preserve"> </w:t>
      </w:r>
    </w:p>
    <w:p w14:paraId="5D45581B" w14:textId="67A71F0B" w:rsidR="00DE455A" w:rsidRPr="008B2ED9" w:rsidRDefault="00372A52"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In some respects, a</w:t>
      </w:r>
      <w:r w:rsidR="008672EF">
        <w:rPr>
          <w:rFonts w:ascii="Times New Roman" w:hAnsi="Times New Roman" w:cs="Times New Roman"/>
          <w:sz w:val="24"/>
          <w:szCs w:val="24"/>
          <w:lang w:val="en-US"/>
        </w:rPr>
        <w:t>nonymous crypto</w:t>
      </w:r>
      <w:r w:rsidR="00DE455A" w:rsidRPr="008B2ED9">
        <w:rPr>
          <w:rFonts w:ascii="Times New Roman" w:hAnsi="Times New Roman" w:cs="Times New Roman"/>
          <w:sz w:val="24"/>
          <w:szCs w:val="24"/>
          <w:lang w:val="en-US"/>
        </w:rPr>
        <w:t xml:space="preserve">currencies like Bitcoin and many of its </w:t>
      </w:r>
      <w:r w:rsidR="00DD4280" w:rsidRPr="008B2ED9">
        <w:rPr>
          <w:rFonts w:ascii="Times New Roman" w:hAnsi="Times New Roman" w:cs="Times New Roman"/>
          <w:sz w:val="24"/>
          <w:szCs w:val="24"/>
          <w:lang w:val="en-US"/>
        </w:rPr>
        <w:t>variants are further examples</w:t>
      </w:r>
      <w:r w:rsidRPr="008B2ED9">
        <w:rPr>
          <w:rFonts w:ascii="Times New Roman" w:hAnsi="Times New Roman" w:cs="Times New Roman"/>
          <w:sz w:val="24"/>
          <w:szCs w:val="24"/>
          <w:lang w:val="en-US"/>
        </w:rPr>
        <w:t xml:space="preserve"> due to their offering anonymity in making payments</w:t>
      </w:r>
      <w:r w:rsidR="00DD4280" w:rsidRPr="008B2ED9">
        <w:rPr>
          <w:rFonts w:ascii="Times New Roman" w:hAnsi="Times New Roman" w:cs="Times New Roman"/>
          <w:sz w:val="24"/>
          <w:szCs w:val="24"/>
          <w:lang w:val="en-US"/>
        </w:rPr>
        <w:t xml:space="preserve">. Bitcoins do not have a central issuer but are issued by a community of users from a stock </w:t>
      </w:r>
      <w:r w:rsidR="00AF3FEE" w:rsidRPr="008B2ED9">
        <w:rPr>
          <w:rFonts w:ascii="Times New Roman" w:hAnsi="Times New Roman" w:cs="Times New Roman"/>
          <w:sz w:val="24"/>
          <w:szCs w:val="24"/>
          <w:lang w:val="en-US"/>
        </w:rPr>
        <w:t xml:space="preserve">according to predetermined </w:t>
      </w:r>
      <w:r w:rsidR="00AF3FEE" w:rsidRPr="008B2ED9">
        <w:rPr>
          <w:rFonts w:ascii="Times New Roman" w:hAnsi="Times New Roman" w:cs="Times New Roman"/>
          <w:sz w:val="24"/>
          <w:szCs w:val="24"/>
          <w:lang w:val="en-US"/>
        </w:rPr>
        <w:lastRenderedPageBreak/>
        <w:t>rules encoded in an open source software platform</w:t>
      </w:r>
      <w:r w:rsidR="00DD4280" w:rsidRPr="008B2ED9">
        <w:rPr>
          <w:rFonts w:ascii="Times New Roman" w:hAnsi="Times New Roman" w:cs="Times New Roman"/>
          <w:sz w:val="24"/>
          <w:szCs w:val="24"/>
          <w:lang w:val="en-US"/>
        </w:rPr>
        <w:t xml:space="preserve">. The project does not offer any goods for </w:t>
      </w:r>
      <w:r w:rsidR="00AC0944" w:rsidRPr="008B2ED9">
        <w:rPr>
          <w:rFonts w:ascii="Times New Roman" w:hAnsi="Times New Roman" w:cs="Times New Roman"/>
          <w:sz w:val="24"/>
          <w:szCs w:val="24"/>
          <w:lang w:val="en-US"/>
        </w:rPr>
        <w:t>sale that</w:t>
      </w:r>
      <w:r w:rsidR="00DD4280" w:rsidRPr="008B2ED9">
        <w:rPr>
          <w:rFonts w:ascii="Times New Roman" w:hAnsi="Times New Roman" w:cs="Times New Roman"/>
          <w:sz w:val="24"/>
          <w:szCs w:val="24"/>
          <w:lang w:val="en-US"/>
        </w:rPr>
        <w:t xml:space="preserve"> are exclusively available through Bitcoin. </w:t>
      </w:r>
      <w:r w:rsidR="00DE455A" w:rsidRPr="008B2ED9">
        <w:rPr>
          <w:rFonts w:ascii="Times New Roman" w:hAnsi="Times New Roman" w:cs="Times New Roman"/>
          <w:sz w:val="24"/>
          <w:szCs w:val="24"/>
          <w:lang w:val="en-US"/>
        </w:rPr>
        <w:t xml:space="preserve">While </w:t>
      </w:r>
      <w:r w:rsidR="00DD4280" w:rsidRPr="008B2ED9">
        <w:rPr>
          <w:rFonts w:ascii="Times New Roman" w:hAnsi="Times New Roman" w:cs="Times New Roman"/>
          <w:sz w:val="24"/>
          <w:szCs w:val="24"/>
          <w:lang w:val="en-US"/>
        </w:rPr>
        <w:t>Bitcoin and similar projects</w:t>
      </w:r>
      <w:r w:rsidR="00DE455A" w:rsidRPr="008B2ED9">
        <w:rPr>
          <w:rFonts w:ascii="Times New Roman" w:hAnsi="Times New Roman" w:cs="Times New Roman"/>
          <w:sz w:val="24"/>
          <w:szCs w:val="24"/>
          <w:lang w:val="en-US"/>
        </w:rPr>
        <w:t xml:space="preserve"> are intended </w:t>
      </w:r>
      <w:r w:rsidR="00E6604D" w:rsidRPr="008B2ED9">
        <w:rPr>
          <w:rFonts w:ascii="Times New Roman" w:hAnsi="Times New Roman" w:cs="Times New Roman"/>
          <w:sz w:val="24"/>
          <w:szCs w:val="24"/>
          <w:lang w:val="en-US"/>
        </w:rPr>
        <w:t xml:space="preserve">by their inventors </w:t>
      </w:r>
      <w:r w:rsidR="00DE455A" w:rsidRPr="008B2ED9">
        <w:rPr>
          <w:rFonts w:ascii="Times New Roman" w:hAnsi="Times New Roman" w:cs="Times New Roman"/>
          <w:sz w:val="24"/>
          <w:szCs w:val="24"/>
          <w:lang w:val="en-US"/>
        </w:rPr>
        <w:t>to rival existing currencies</w:t>
      </w:r>
      <w:r w:rsidR="00E6604D" w:rsidRPr="008B2ED9">
        <w:rPr>
          <w:rFonts w:ascii="Times New Roman" w:hAnsi="Times New Roman" w:cs="Times New Roman"/>
          <w:sz w:val="24"/>
          <w:szCs w:val="24"/>
          <w:lang w:val="en-US"/>
        </w:rPr>
        <w:t xml:space="preserve"> in </w:t>
      </w:r>
      <w:r w:rsidR="004B45B1" w:rsidRPr="008B2ED9">
        <w:rPr>
          <w:rFonts w:ascii="Times New Roman" w:hAnsi="Times New Roman" w:cs="Times New Roman"/>
          <w:sz w:val="24"/>
          <w:szCs w:val="24"/>
          <w:lang w:val="en-US"/>
        </w:rPr>
        <w:t>all kinds of transactions</w:t>
      </w:r>
      <w:r w:rsidR="00DE455A" w:rsidRPr="008B2ED9">
        <w:rPr>
          <w:rFonts w:ascii="Times New Roman" w:hAnsi="Times New Roman" w:cs="Times New Roman"/>
          <w:sz w:val="24"/>
          <w:szCs w:val="24"/>
          <w:lang w:val="en-US"/>
        </w:rPr>
        <w:t xml:space="preserve">, </w:t>
      </w:r>
      <w:r w:rsidR="00E6604D" w:rsidRPr="008B2ED9">
        <w:rPr>
          <w:rFonts w:ascii="Times New Roman" w:hAnsi="Times New Roman" w:cs="Times New Roman"/>
          <w:sz w:val="24"/>
          <w:szCs w:val="24"/>
          <w:lang w:val="en-US"/>
        </w:rPr>
        <w:t xml:space="preserve">their main advantage </w:t>
      </w:r>
      <w:r w:rsidR="001B1EE6" w:rsidRPr="008B2ED9">
        <w:rPr>
          <w:rFonts w:ascii="Times New Roman" w:hAnsi="Times New Roman" w:cs="Times New Roman"/>
          <w:sz w:val="24"/>
          <w:szCs w:val="24"/>
          <w:lang w:val="en-US"/>
        </w:rPr>
        <w:t xml:space="preserve">as means of payment </w:t>
      </w:r>
      <w:r w:rsidR="00E6604D" w:rsidRPr="008B2ED9">
        <w:rPr>
          <w:rFonts w:ascii="Times New Roman" w:hAnsi="Times New Roman" w:cs="Times New Roman"/>
          <w:sz w:val="24"/>
          <w:szCs w:val="24"/>
          <w:lang w:val="en-US"/>
        </w:rPr>
        <w:t xml:space="preserve">lies in transactions where there are reasons for transaction partners to avoid official </w:t>
      </w:r>
      <w:r w:rsidR="004B45B1" w:rsidRPr="008B2ED9">
        <w:rPr>
          <w:rFonts w:ascii="Times New Roman" w:hAnsi="Times New Roman" w:cs="Times New Roman"/>
          <w:sz w:val="24"/>
          <w:szCs w:val="24"/>
          <w:lang w:val="en-US"/>
        </w:rPr>
        <w:t>currenc</w:t>
      </w:r>
      <w:r w:rsidR="00E6604D" w:rsidRPr="008B2ED9">
        <w:rPr>
          <w:rFonts w:ascii="Times New Roman" w:hAnsi="Times New Roman" w:cs="Times New Roman"/>
          <w:sz w:val="24"/>
          <w:szCs w:val="24"/>
          <w:lang w:val="en-US"/>
        </w:rPr>
        <w:t>y</w:t>
      </w:r>
      <w:r w:rsidRPr="008B2ED9">
        <w:rPr>
          <w:rFonts w:ascii="Times New Roman" w:hAnsi="Times New Roman" w:cs="Times New Roman"/>
          <w:sz w:val="24"/>
          <w:szCs w:val="24"/>
          <w:lang w:val="en-US"/>
        </w:rPr>
        <w:t xml:space="preserve"> (apart from the small denomination payments referred to above)</w:t>
      </w:r>
      <w:r w:rsidR="00AC0944">
        <w:rPr>
          <w:rFonts w:ascii="Times New Roman" w:hAnsi="Times New Roman" w:cs="Times New Roman"/>
          <w:sz w:val="24"/>
          <w:szCs w:val="24"/>
          <w:lang w:val="en-US"/>
        </w:rPr>
        <w:t>.</w:t>
      </w:r>
      <w:r w:rsidR="00E6604D" w:rsidRPr="008B2ED9">
        <w:rPr>
          <w:rFonts w:ascii="Times New Roman" w:hAnsi="Times New Roman" w:cs="Times New Roman"/>
          <w:sz w:val="24"/>
          <w:szCs w:val="24"/>
          <w:lang w:val="en-US"/>
        </w:rPr>
        <w:t xml:space="preserve"> </w:t>
      </w:r>
      <w:r w:rsidR="00AF3FEE" w:rsidRPr="008B2ED9">
        <w:rPr>
          <w:rFonts w:ascii="Times New Roman" w:hAnsi="Times New Roman" w:cs="Times New Roman"/>
          <w:sz w:val="24"/>
          <w:szCs w:val="24"/>
          <w:lang w:val="en-US"/>
        </w:rPr>
        <w:t>In particular, m</w:t>
      </w:r>
      <w:r w:rsidR="00E6604D" w:rsidRPr="008B2ED9">
        <w:rPr>
          <w:rFonts w:ascii="Times New Roman" w:hAnsi="Times New Roman" w:cs="Times New Roman"/>
          <w:sz w:val="24"/>
          <w:szCs w:val="24"/>
          <w:lang w:val="en-US"/>
        </w:rPr>
        <w:t>oney laundering and transactions in illegal goods</w:t>
      </w:r>
      <w:r w:rsidRPr="008B2ED9">
        <w:rPr>
          <w:rFonts w:ascii="Times New Roman" w:hAnsi="Times New Roman" w:cs="Times New Roman"/>
          <w:sz w:val="24"/>
          <w:szCs w:val="24"/>
          <w:lang w:val="en-US"/>
        </w:rPr>
        <w:t xml:space="preserve"> can benefit from the anonymity offered by making payments in Bitcoin</w:t>
      </w:r>
      <w:r w:rsidR="00E6604D" w:rsidRPr="008B2ED9">
        <w:rPr>
          <w:rFonts w:ascii="Times New Roman" w:hAnsi="Times New Roman" w:cs="Times New Roman"/>
          <w:sz w:val="24"/>
          <w:szCs w:val="24"/>
          <w:lang w:val="en-US"/>
        </w:rPr>
        <w:t>.</w:t>
      </w:r>
      <w:r w:rsidR="007C5A3D" w:rsidRPr="008B2ED9">
        <w:rPr>
          <w:rFonts w:ascii="Times New Roman" w:hAnsi="Times New Roman" w:cs="Times New Roman"/>
          <w:sz w:val="24"/>
          <w:szCs w:val="24"/>
          <w:lang w:val="en-US"/>
        </w:rPr>
        <w:t xml:space="preserve"> </w:t>
      </w:r>
      <w:r w:rsidR="00D63BFD">
        <w:rPr>
          <w:rFonts w:ascii="Times New Roman" w:hAnsi="Times New Roman" w:cs="Times New Roman"/>
          <w:sz w:val="24"/>
          <w:szCs w:val="24"/>
          <w:lang w:val="en-US"/>
        </w:rPr>
        <w:t>(</w:t>
      </w:r>
      <w:r w:rsidR="007C5A3D" w:rsidRPr="008B2ED9">
        <w:rPr>
          <w:rFonts w:ascii="Times New Roman" w:hAnsi="Times New Roman" w:cs="Times New Roman"/>
          <w:sz w:val="24"/>
          <w:szCs w:val="24"/>
          <w:lang w:val="en-US"/>
        </w:rPr>
        <w:t xml:space="preserve">For regular consumer and business </w:t>
      </w:r>
      <w:r w:rsidR="003311D1" w:rsidRPr="008B2ED9">
        <w:rPr>
          <w:rFonts w:ascii="Times New Roman" w:hAnsi="Times New Roman" w:cs="Times New Roman"/>
          <w:sz w:val="24"/>
          <w:szCs w:val="24"/>
          <w:lang w:val="en-US"/>
        </w:rPr>
        <w:t>transactions</w:t>
      </w:r>
      <w:r w:rsidR="007C5A3D" w:rsidRPr="008B2ED9">
        <w:rPr>
          <w:rFonts w:ascii="Times New Roman" w:hAnsi="Times New Roman" w:cs="Times New Roman"/>
          <w:sz w:val="24"/>
          <w:szCs w:val="24"/>
          <w:lang w:val="en-US"/>
        </w:rPr>
        <w:t xml:space="preserve">, a currency like Bitcoin will not be widely used. </w:t>
      </w:r>
      <w:r w:rsidR="00AC0944">
        <w:rPr>
          <w:rFonts w:ascii="Times New Roman" w:hAnsi="Times New Roman" w:cs="Times New Roman"/>
          <w:sz w:val="24"/>
          <w:szCs w:val="24"/>
          <w:lang w:val="en-US"/>
        </w:rPr>
        <w:t>W</w:t>
      </w:r>
      <w:r w:rsidR="007C5A3D" w:rsidRPr="008B2ED9">
        <w:rPr>
          <w:rFonts w:ascii="Times New Roman" w:hAnsi="Times New Roman" w:cs="Times New Roman"/>
          <w:sz w:val="24"/>
          <w:szCs w:val="24"/>
          <w:lang w:val="en-US"/>
        </w:rPr>
        <w:t>hen a currency is designed to increase in value over time, it is better to hoard it, and pay current expenditure with a currency that is more stable.</w:t>
      </w:r>
      <w:r w:rsidR="00AF3FEE" w:rsidRPr="008B2ED9">
        <w:rPr>
          <w:rFonts w:ascii="Times New Roman" w:hAnsi="Times New Roman" w:cs="Times New Roman"/>
          <w:sz w:val="24"/>
          <w:szCs w:val="24"/>
          <w:lang w:val="en-US"/>
        </w:rPr>
        <w:t xml:space="preserve"> Without an issuer guaranteeing a certain stability, Bitcoin is </w:t>
      </w:r>
      <w:r w:rsidR="00AC0944" w:rsidRPr="008B2ED9">
        <w:rPr>
          <w:rFonts w:ascii="Times New Roman" w:hAnsi="Times New Roman" w:cs="Times New Roman"/>
          <w:sz w:val="24"/>
          <w:szCs w:val="24"/>
          <w:lang w:val="en-US"/>
        </w:rPr>
        <w:t>underqualified to</w:t>
      </w:r>
      <w:r w:rsidR="00AF3FEE" w:rsidRPr="008B2ED9">
        <w:rPr>
          <w:rFonts w:ascii="Times New Roman" w:hAnsi="Times New Roman" w:cs="Times New Roman"/>
          <w:sz w:val="24"/>
          <w:szCs w:val="24"/>
          <w:lang w:val="en-US"/>
        </w:rPr>
        <w:t xml:space="preserve"> serve as unit of account.</w:t>
      </w:r>
      <w:r w:rsidR="00D63BFD">
        <w:rPr>
          <w:rFonts w:ascii="Times New Roman" w:hAnsi="Times New Roman" w:cs="Times New Roman"/>
          <w:sz w:val="24"/>
          <w:szCs w:val="24"/>
          <w:lang w:val="en-US"/>
        </w:rPr>
        <w:t>)</w:t>
      </w:r>
    </w:p>
    <w:p w14:paraId="4851FD91" w14:textId="77777777" w:rsidR="00DD1330" w:rsidRDefault="00DD1330"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 xml:space="preserve">In projects like the Japanese Fureai kippu and other time bank projects around the world, </w:t>
      </w:r>
      <w:r w:rsidR="000D198C" w:rsidRPr="008B2ED9">
        <w:rPr>
          <w:rFonts w:ascii="Times New Roman" w:hAnsi="Times New Roman" w:cs="Times New Roman"/>
          <w:sz w:val="24"/>
          <w:szCs w:val="24"/>
          <w:lang w:val="en-US"/>
        </w:rPr>
        <w:t>services like care work are</w:t>
      </w:r>
      <w:r w:rsidRPr="008B2ED9">
        <w:rPr>
          <w:rFonts w:ascii="Times New Roman" w:hAnsi="Times New Roman" w:cs="Times New Roman"/>
          <w:sz w:val="24"/>
          <w:szCs w:val="24"/>
          <w:lang w:val="en-US"/>
        </w:rPr>
        <w:t xml:space="preserve"> evaluated based on labor time spent and </w:t>
      </w:r>
      <w:r w:rsidR="00D050E8" w:rsidRPr="008B2ED9">
        <w:rPr>
          <w:rFonts w:ascii="Times New Roman" w:hAnsi="Times New Roman" w:cs="Times New Roman"/>
          <w:sz w:val="24"/>
          <w:szCs w:val="24"/>
          <w:lang w:val="en-US"/>
        </w:rPr>
        <w:t>rewarded with</w:t>
      </w:r>
      <w:r w:rsidRPr="008B2ED9">
        <w:rPr>
          <w:rFonts w:ascii="Times New Roman" w:hAnsi="Times New Roman" w:cs="Times New Roman"/>
          <w:sz w:val="24"/>
          <w:szCs w:val="24"/>
          <w:lang w:val="en-US"/>
        </w:rPr>
        <w:t xml:space="preserve"> a credit </w:t>
      </w:r>
      <w:r w:rsidR="000D198C" w:rsidRPr="008B2ED9">
        <w:rPr>
          <w:rFonts w:ascii="Times New Roman" w:hAnsi="Times New Roman" w:cs="Times New Roman"/>
          <w:sz w:val="24"/>
          <w:szCs w:val="24"/>
          <w:lang w:val="en-US"/>
        </w:rPr>
        <w:t>for</w:t>
      </w:r>
      <w:r w:rsidR="00DD4280" w:rsidRPr="008B2ED9">
        <w:rPr>
          <w:rFonts w:ascii="Times New Roman" w:hAnsi="Times New Roman" w:cs="Times New Roman"/>
          <w:sz w:val="24"/>
          <w:szCs w:val="24"/>
          <w:lang w:val="en-US"/>
        </w:rPr>
        <w:t xml:space="preserve"> </w:t>
      </w:r>
      <w:r w:rsidR="000D198C" w:rsidRPr="008B2ED9">
        <w:rPr>
          <w:rFonts w:ascii="Times New Roman" w:hAnsi="Times New Roman" w:cs="Times New Roman"/>
          <w:sz w:val="24"/>
          <w:szCs w:val="24"/>
          <w:lang w:val="en-US"/>
        </w:rPr>
        <w:t xml:space="preserve">the supplier </w:t>
      </w:r>
      <w:r w:rsidRPr="008B2ED9">
        <w:rPr>
          <w:rFonts w:ascii="Times New Roman" w:hAnsi="Times New Roman" w:cs="Times New Roman"/>
          <w:sz w:val="24"/>
          <w:szCs w:val="24"/>
          <w:lang w:val="en-US"/>
        </w:rPr>
        <w:t xml:space="preserve">which can be spent </w:t>
      </w:r>
      <w:r w:rsidR="001B78F1" w:rsidRPr="008B2ED9">
        <w:rPr>
          <w:rFonts w:ascii="Times New Roman" w:hAnsi="Times New Roman" w:cs="Times New Roman"/>
          <w:sz w:val="24"/>
          <w:szCs w:val="24"/>
          <w:lang w:val="en-US"/>
        </w:rPr>
        <w:t>at</w:t>
      </w:r>
      <w:r w:rsidRPr="008B2ED9">
        <w:rPr>
          <w:rFonts w:ascii="Times New Roman" w:hAnsi="Times New Roman" w:cs="Times New Roman"/>
          <w:sz w:val="24"/>
          <w:szCs w:val="24"/>
          <w:lang w:val="en-US"/>
        </w:rPr>
        <w:t xml:space="preserve"> a future date </w:t>
      </w:r>
      <w:r w:rsidR="001B78F1" w:rsidRPr="008B2ED9">
        <w:rPr>
          <w:rFonts w:ascii="Times New Roman" w:hAnsi="Times New Roman" w:cs="Times New Roman"/>
          <w:sz w:val="24"/>
          <w:szCs w:val="24"/>
          <w:lang w:val="en-US"/>
        </w:rPr>
        <w:t>on consumption of</w:t>
      </w:r>
      <w:r w:rsidRPr="008B2ED9">
        <w:rPr>
          <w:rFonts w:ascii="Times New Roman" w:hAnsi="Times New Roman" w:cs="Times New Roman"/>
          <w:sz w:val="24"/>
          <w:szCs w:val="24"/>
          <w:lang w:val="en-US"/>
        </w:rPr>
        <w:t xml:space="preserve"> care benefits </w:t>
      </w:r>
      <w:r w:rsidR="001B78F1" w:rsidRPr="008B2ED9">
        <w:rPr>
          <w:rFonts w:ascii="Times New Roman" w:hAnsi="Times New Roman" w:cs="Times New Roman"/>
          <w:sz w:val="24"/>
          <w:szCs w:val="24"/>
          <w:lang w:val="en-US"/>
        </w:rPr>
        <w:t>provided</w:t>
      </w:r>
      <w:r w:rsidRPr="008B2ED9">
        <w:rPr>
          <w:rFonts w:ascii="Times New Roman" w:hAnsi="Times New Roman" w:cs="Times New Roman"/>
          <w:sz w:val="24"/>
          <w:szCs w:val="24"/>
          <w:lang w:val="en-US"/>
        </w:rPr>
        <w:t xml:space="preserve"> by other network members.</w:t>
      </w:r>
      <w:r w:rsidR="001B78F1" w:rsidRPr="008B2ED9">
        <w:rPr>
          <w:rFonts w:ascii="Times New Roman" w:hAnsi="Times New Roman" w:cs="Times New Roman"/>
          <w:sz w:val="24"/>
          <w:szCs w:val="24"/>
          <w:lang w:val="en-US"/>
        </w:rPr>
        <w:t xml:space="preserve"> Many members </w:t>
      </w:r>
      <w:r w:rsidR="00AF3FEE" w:rsidRPr="008B2ED9">
        <w:rPr>
          <w:rFonts w:ascii="Times New Roman" w:hAnsi="Times New Roman" w:cs="Times New Roman"/>
          <w:sz w:val="24"/>
          <w:szCs w:val="24"/>
          <w:lang w:val="en-US"/>
        </w:rPr>
        <w:t xml:space="preserve">seem to </w:t>
      </w:r>
      <w:r w:rsidR="001B78F1" w:rsidRPr="008B2ED9">
        <w:rPr>
          <w:rFonts w:ascii="Times New Roman" w:hAnsi="Times New Roman" w:cs="Times New Roman"/>
          <w:sz w:val="24"/>
          <w:szCs w:val="24"/>
          <w:lang w:val="en-US"/>
        </w:rPr>
        <w:t>perceive care work contributed under this system as being of superior quality, providing an incentive to join. In contrast to industrial labor, general care work is not subject to productivity differentials, making labor time spent a useful unit of account comparable among persons and over time</w:t>
      </w:r>
      <w:r w:rsidR="005D19AC">
        <w:rPr>
          <w:rFonts w:ascii="Times New Roman" w:hAnsi="Times New Roman" w:cs="Times New Roman"/>
          <w:sz w:val="24"/>
          <w:szCs w:val="24"/>
          <w:lang w:val="en-US"/>
        </w:rPr>
        <w:t>: s</w:t>
      </w:r>
      <w:r w:rsidR="00D050E8" w:rsidRPr="008B2ED9">
        <w:rPr>
          <w:rFonts w:ascii="Times New Roman" w:hAnsi="Times New Roman" w:cs="Times New Roman"/>
          <w:sz w:val="24"/>
          <w:szCs w:val="24"/>
          <w:lang w:val="en-US"/>
        </w:rPr>
        <w:t>pending one hour with a pers</w:t>
      </w:r>
      <w:r w:rsidR="008D340B" w:rsidRPr="008B2ED9">
        <w:rPr>
          <w:rFonts w:ascii="Times New Roman" w:hAnsi="Times New Roman" w:cs="Times New Roman"/>
          <w:sz w:val="24"/>
          <w:szCs w:val="24"/>
          <w:lang w:val="en-US"/>
        </w:rPr>
        <w:t>on five years ago can be equaliz</w:t>
      </w:r>
      <w:r w:rsidR="00D050E8" w:rsidRPr="008B2ED9">
        <w:rPr>
          <w:rFonts w:ascii="Times New Roman" w:hAnsi="Times New Roman" w:cs="Times New Roman"/>
          <w:sz w:val="24"/>
          <w:szCs w:val="24"/>
          <w:lang w:val="en-US"/>
        </w:rPr>
        <w:t>ed with spending one hour with another person in five years. In contrast, one hour of industrial labor</w:t>
      </w:r>
      <w:r w:rsidR="00AC0944">
        <w:rPr>
          <w:rFonts w:ascii="Times New Roman" w:hAnsi="Times New Roman" w:cs="Times New Roman"/>
          <w:sz w:val="24"/>
          <w:szCs w:val="24"/>
          <w:lang w:val="en-US"/>
        </w:rPr>
        <w:t>, for instance,</w:t>
      </w:r>
      <w:r w:rsidR="00D050E8" w:rsidRPr="008B2ED9">
        <w:rPr>
          <w:rFonts w:ascii="Times New Roman" w:hAnsi="Times New Roman" w:cs="Times New Roman"/>
          <w:sz w:val="24"/>
          <w:szCs w:val="24"/>
          <w:lang w:val="en-US"/>
        </w:rPr>
        <w:t xml:space="preserve"> in the garment industry may have resulted in one T-shirt five years ago, but may result in five T-shirts in five years, due to the continual technical advancement of machinery</w:t>
      </w:r>
      <w:r w:rsidR="001B78F1" w:rsidRPr="008B2ED9">
        <w:rPr>
          <w:rFonts w:ascii="Times New Roman" w:hAnsi="Times New Roman" w:cs="Times New Roman"/>
          <w:sz w:val="24"/>
          <w:szCs w:val="24"/>
          <w:lang w:val="en-US"/>
        </w:rPr>
        <w:t xml:space="preserve">. </w:t>
      </w:r>
      <w:r w:rsidR="004B45B1" w:rsidRPr="008B2ED9">
        <w:rPr>
          <w:rFonts w:ascii="Times New Roman" w:hAnsi="Times New Roman" w:cs="Times New Roman"/>
          <w:sz w:val="24"/>
          <w:szCs w:val="24"/>
          <w:lang w:val="en-US"/>
        </w:rPr>
        <w:t>As a consequence, t</w:t>
      </w:r>
      <w:r w:rsidR="00D050E8" w:rsidRPr="008B2ED9">
        <w:rPr>
          <w:rFonts w:ascii="Times New Roman" w:hAnsi="Times New Roman" w:cs="Times New Roman"/>
          <w:sz w:val="24"/>
          <w:szCs w:val="24"/>
          <w:lang w:val="en-US"/>
        </w:rPr>
        <w:t>ime</w:t>
      </w:r>
      <w:r w:rsidR="00B86F4C" w:rsidRPr="008B2ED9">
        <w:rPr>
          <w:rFonts w:ascii="Times New Roman" w:hAnsi="Times New Roman" w:cs="Times New Roman"/>
          <w:sz w:val="24"/>
          <w:szCs w:val="24"/>
          <w:lang w:val="en-US"/>
        </w:rPr>
        <w:t xml:space="preserve"> bank arrangements </w:t>
      </w:r>
      <w:r w:rsidR="00D050E8" w:rsidRPr="008B2ED9">
        <w:rPr>
          <w:rFonts w:ascii="Times New Roman" w:hAnsi="Times New Roman" w:cs="Times New Roman"/>
          <w:sz w:val="24"/>
          <w:szCs w:val="24"/>
          <w:lang w:val="en-US"/>
        </w:rPr>
        <w:t>can be suitable in settings where</w:t>
      </w:r>
      <w:r w:rsidR="00B86F4C" w:rsidRPr="008B2ED9">
        <w:rPr>
          <w:rFonts w:ascii="Times New Roman" w:hAnsi="Times New Roman" w:cs="Times New Roman"/>
          <w:sz w:val="24"/>
          <w:szCs w:val="24"/>
          <w:lang w:val="en-US"/>
        </w:rPr>
        <w:t xml:space="preserve"> one type of </w:t>
      </w:r>
      <w:r w:rsidR="00D050E8" w:rsidRPr="008B2ED9">
        <w:rPr>
          <w:rFonts w:ascii="Times New Roman" w:hAnsi="Times New Roman" w:cs="Times New Roman"/>
          <w:sz w:val="24"/>
          <w:szCs w:val="24"/>
          <w:lang w:val="en-US"/>
        </w:rPr>
        <w:t xml:space="preserve">homogenous </w:t>
      </w:r>
      <w:r w:rsidR="00B86F4C" w:rsidRPr="008B2ED9">
        <w:rPr>
          <w:rFonts w:ascii="Times New Roman" w:hAnsi="Times New Roman" w:cs="Times New Roman"/>
          <w:sz w:val="24"/>
          <w:szCs w:val="24"/>
          <w:lang w:val="en-US"/>
        </w:rPr>
        <w:t xml:space="preserve">service </w:t>
      </w:r>
      <w:r w:rsidR="00D050E8" w:rsidRPr="008B2ED9">
        <w:rPr>
          <w:rFonts w:ascii="Times New Roman" w:hAnsi="Times New Roman" w:cs="Times New Roman"/>
          <w:sz w:val="24"/>
          <w:szCs w:val="24"/>
          <w:lang w:val="en-US"/>
        </w:rPr>
        <w:t xml:space="preserve">of roughly constant quality </w:t>
      </w:r>
      <w:r w:rsidR="00B86F4C" w:rsidRPr="008B2ED9">
        <w:rPr>
          <w:rFonts w:ascii="Times New Roman" w:hAnsi="Times New Roman" w:cs="Times New Roman"/>
          <w:sz w:val="24"/>
          <w:szCs w:val="24"/>
          <w:lang w:val="en-US"/>
        </w:rPr>
        <w:t xml:space="preserve">is exchanged among people who deliver their contribution at different </w:t>
      </w:r>
      <w:r w:rsidR="00AF3FEE" w:rsidRPr="008B2ED9">
        <w:rPr>
          <w:rFonts w:ascii="Times New Roman" w:hAnsi="Times New Roman" w:cs="Times New Roman"/>
          <w:sz w:val="24"/>
          <w:szCs w:val="24"/>
          <w:lang w:val="en-US"/>
        </w:rPr>
        <w:t xml:space="preserve">points in </w:t>
      </w:r>
      <w:r w:rsidR="00B86F4C" w:rsidRPr="008B2ED9">
        <w:rPr>
          <w:rFonts w:ascii="Times New Roman" w:hAnsi="Times New Roman" w:cs="Times New Roman"/>
          <w:sz w:val="24"/>
          <w:szCs w:val="24"/>
          <w:lang w:val="en-US"/>
        </w:rPr>
        <w:t>time.</w:t>
      </w:r>
      <w:r w:rsidR="00DE2EE7" w:rsidRPr="008B2ED9">
        <w:rPr>
          <w:rFonts w:ascii="Times New Roman" w:hAnsi="Times New Roman" w:cs="Times New Roman"/>
          <w:sz w:val="24"/>
          <w:szCs w:val="24"/>
          <w:lang w:val="en-US"/>
        </w:rPr>
        <w:t xml:space="preserve"> Their main challenge relates to uncertainty</w:t>
      </w:r>
      <w:r w:rsidR="00AC0944">
        <w:rPr>
          <w:rFonts w:ascii="Times New Roman" w:hAnsi="Times New Roman" w:cs="Times New Roman"/>
          <w:sz w:val="24"/>
          <w:szCs w:val="24"/>
          <w:lang w:val="en-US"/>
        </w:rPr>
        <w:t xml:space="preserve"> about</w:t>
      </w:r>
      <w:r w:rsidR="00DE2EE7" w:rsidRPr="008B2ED9">
        <w:rPr>
          <w:rFonts w:ascii="Times New Roman" w:hAnsi="Times New Roman" w:cs="Times New Roman"/>
          <w:sz w:val="24"/>
          <w:szCs w:val="24"/>
          <w:lang w:val="en-US"/>
        </w:rPr>
        <w:t xml:space="preserve"> whether one</w:t>
      </w:r>
      <w:r w:rsidR="00AC0944">
        <w:rPr>
          <w:rFonts w:ascii="Times New Roman" w:hAnsi="Times New Roman" w:cs="Times New Roman"/>
          <w:sz w:val="24"/>
          <w:szCs w:val="24"/>
          <w:lang w:val="en-US"/>
        </w:rPr>
        <w:t>’</w:t>
      </w:r>
      <w:r w:rsidR="00DE2EE7" w:rsidRPr="008B2ED9">
        <w:rPr>
          <w:rFonts w:ascii="Times New Roman" w:hAnsi="Times New Roman" w:cs="Times New Roman"/>
          <w:sz w:val="24"/>
          <w:szCs w:val="24"/>
          <w:lang w:val="en-US"/>
        </w:rPr>
        <w:t>s own contributions can be exchanged at a future date for some reciprocal service – depending on the attractiveness of the network over time.</w:t>
      </w:r>
      <w:r w:rsidR="00B86F4C" w:rsidRPr="008B2ED9">
        <w:rPr>
          <w:rFonts w:ascii="Times New Roman" w:hAnsi="Times New Roman" w:cs="Times New Roman"/>
          <w:sz w:val="24"/>
          <w:szCs w:val="24"/>
          <w:lang w:val="en-US"/>
        </w:rPr>
        <w:t xml:space="preserve"> When such arrangements </w:t>
      </w:r>
      <w:r w:rsidR="008B4154">
        <w:rPr>
          <w:rFonts w:ascii="Times New Roman" w:hAnsi="Times New Roman" w:cs="Times New Roman"/>
          <w:sz w:val="24"/>
          <w:szCs w:val="24"/>
          <w:lang w:val="en-US"/>
        </w:rPr>
        <w:t>attempt to</w:t>
      </w:r>
      <w:r w:rsidR="00B86F4C" w:rsidRPr="008B2ED9">
        <w:rPr>
          <w:rFonts w:ascii="Times New Roman" w:hAnsi="Times New Roman" w:cs="Times New Roman"/>
          <w:sz w:val="24"/>
          <w:szCs w:val="24"/>
          <w:lang w:val="en-US"/>
        </w:rPr>
        <w:t xml:space="preserve"> include a broader range of goods and services, they run into the problem that the</w:t>
      </w:r>
      <w:r w:rsidR="008B4154">
        <w:rPr>
          <w:rFonts w:ascii="Times New Roman" w:hAnsi="Times New Roman" w:cs="Times New Roman"/>
          <w:sz w:val="24"/>
          <w:szCs w:val="24"/>
          <w:lang w:val="en-US"/>
        </w:rPr>
        <w:t>ir</w:t>
      </w:r>
      <w:r w:rsidR="00A22FAC" w:rsidRPr="008B2ED9">
        <w:rPr>
          <w:rFonts w:ascii="Times New Roman" w:hAnsi="Times New Roman" w:cs="Times New Roman"/>
          <w:sz w:val="24"/>
          <w:szCs w:val="24"/>
          <w:lang w:val="en-US"/>
        </w:rPr>
        <w:t xml:space="preserve"> unit of account (units of labo</w:t>
      </w:r>
      <w:r w:rsidR="00B86F4C" w:rsidRPr="008B2ED9">
        <w:rPr>
          <w:rFonts w:ascii="Times New Roman" w:hAnsi="Times New Roman" w:cs="Times New Roman"/>
          <w:sz w:val="24"/>
          <w:szCs w:val="24"/>
          <w:lang w:val="en-US"/>
        </w:rPr>
        <w:t xml:space="preserve">r time) </w:t>
      </w:r>
      <w:r w:rsidR="00DE2EE7" w:rsidRPr="008B2ED9">
        <w:rPr>
          <w:rFonts w:ascii="Times New Roman" w:hAnsi="Times New Roman" w:cs="Times New Roman"/>
          <w:sz w:val="24"/>
          <w:szCs w:val="24"/>
          <w:lang w:val="en-US"/>
        </w:rPr>
        <w:t xml:space="preserve">does not </w:t>
      </w:r>
      <w:r w:rsidR="00B86F4C" w:rsidRPr="008B2ED9">
        <w:rPr>
          <w:rFonts w:ascii="Times New Roman" w:hAnsi="Times New Roman" w:cs="Times New Roman"/>
          <w:sz w:val="24"/>
          <w:szCs w:val="24"/>
          <w:lang w:val="en-US"/>
        </w:rPr>
        <w:t>make it profitable for all kinds of service suppliers to exchange their services according to such evaluation criterion. Would an experienced, productive craftsman be prepared to exchange one hour of her labo</w:t>
      </w:r>
      <w:r w:rsidR="00A22FAC" w:rsidRPr="008B2ED9">
        <w:rPr>
          <w:rFonts w:ascii="Times New Roman" w:hAnsi="Times New Roman" w:cs="Times New Roman"/>
          <w:sz w:val="24"/>
          <w:szCs w:val="24"/>
          <w:lang w:val="en-US"/>
        </w:rPr>
        <w:t>r for an hour of labo</w:t>
      </w:r>
      <w:r w:rsidR="00B86F4C" w:rsidRPr="008B2ED9">
        <w:rPr>
          <w:rFonts w:ascii="Times New Roman" w:hAnsi="Times New Roman" w:cs="Times New Roman"/>
          <w:sz w:val="24"/>
          <w:szCs w:val="24"/>
          <w:lang w:val="en-US"/>
        </w:rPr>
        <w:t xml:space="preserve">r by an apprentice? Would a doctor, who invested years of </w:t>
      </w:r>
      <w:r w:rsidR="00AC0944" w:rsidRPr="008B2ED9">
        <w:rPr>
          <w:rFonts w:ascii="Times New Roman" w:hAnsi="Times New Roman" w:cs="Times New Roman"/>
          <w:sz w:val="24"/>
          <w:szCs w:val="24"/>
          <w:lang w:val="en-US"/>
        </w:rPr>
        <w:t>study,</w:t>
      </w:r>
      <w:r w:rsidR="00B86F4C" w:rsidRPr="008B2ED9">
        <w:rPr>
          <w:rFonts w:ascii="Times New Roman" w:hAnsi="Times New Roman" w:cs="Times New Roman"/>
          <w:sz w:val="24"/>
          <w:szCs w:val="24"/>
          <w:lang w:val="en-US"/>
        </w:rPr>
        <w:t xml:space="preserve"> be prepared to exchange</w:t>
      </w:r>
      <w:r w:rsidR="000D198C" w:rsidRPr="008B2ED9">
        <w:rPr>
          <w:rFonts w:ascii="Times New Roman" w:hAnsi="Times New Roman" w:cs="Times New Roman"/>
          <w:sz w:val="24"/>
          <w:szCs w:val="24"/>
          <w:lang w:val="en-US"/>
        </w:rPr>
        <w:t xml:space="preserve"> </w:t>
      </w:r>
      <w:r w:rsidR="00B86F4C" w:rsidRPr="008B2ED9">
        <w:rPr>
          <w:rFonts w:ascii="Times New Roman" w:hAnsi="Times New Roman" w:cs="Times New Roman"/>
          <w:sz w:val="24"/>
          <w:szCs w:val="24"/>
          <w:lang w:val="en-US"/>
        </w:rPr>
        <w:t xml:space="preserve">one hour of her labor for an hour of labor by an unprofessional care worker? Such </w:t>
      </w:r>
      <w:r w:rsidR="000D198C" w:rsidRPr="008B2ED9">
        <w:rPr>
          <w:rFonts w:ascii="Times New Roman" w:hAnsi="Times New Roman" w:cs="Times New Roman"/>
          <w:sz w:val="24"/>
          <w:szCs w:val="24"/>
          <w:lang w:val="en-US"/>
        </w:rPr>
        <w:t>issues</w:t>
      </w:r>
      <w:r w:rsidR="00B86F4C" w:rsidRPr="008B2ED9">
        <w:rPr>
          <w:rFonts w:ascii="Times New Roman" w:hAnsi="Times New Roman" w:cs="Times New Roman"/>
          <w:sz w:val="24"/>
          <w:szCs w:val="24"/>
          <w:lang w:val="en-US"/>
        </w:rPr>
        <w:t xml:space="preserve"> typically trigger disputes over the appropriate value standard and lead to </w:t>
      </w:r>
      <w:r w:rsidR="00AC0944">
        <w:rPr>
          <w:rFonts w:ascii="Times New Roman" w:hAnsi="Times New Roman" w:cs="Times New Roman"/>
          <w:sz w:val="24"/>
          <w:szCs w:val="24"/>
          <w:lang w:val="en-US"/>
        </w:rPr>
        <w:t xml:space="preserve">the </w:t>
      </w:r>
      <w:r w:rsidR="00B86F4C" w:rsidRPr="008B2ED9">
        <w:rPr>
          <w:rFonts w:ascii="Times New Roman" w:hAnsi="Times New Roman" w:cs="Times New Roman"/>
          <w:sz w:val="24"/>
          <w:szCs w:val="24"/>
          <w:lang w:val="en-US"/>
        </w:rPr>
        <w:t xml:space="preserve">exit of </w:t>
      </w:r>
      <w:r w:rsidR="00AC0944" w:rsidRPr="008B2ED9">
        <w:rPr>
          <w:rFonts w:ascii="Times New Roman" w:hAnsi="Times New Roman" w:cs="Times New Roman"/>
          <w:sz w:val="24"/>
          <w:szCs w:val="24"/>
          <w:lang w:val="en-US"/>
        </w:rPr>
        <w:t>suppliers that</w:t>
      </w:r>
      <w:r w:rsidR="00B86F4C" w:rsidRPr="008B2ED9">
        <w:rPr>
          <w:rFonts w:ascii="Times New Roman" w:hAnsi="Times New Roman" w:cs="Times New Roman"/>
          <w:sz w:val="24"/>
          <w:szCs w:val="24"/>
          <w:lang w:val="en-US"/>
        </w:rPr>
        <w:t xml:space="preserve"> can get a better deal in markets based on official currency</w:t>
      </w:r>
      <w:r w:rsidR="00AD1416">
        <w:rPr>
          <w:rFonts w:ascii="Times New Roman" w:hAnsi="Times New Roman" w:cs="Times New Roman"/>
          <w:sz w:val="24"/>
          <w:szCs w:val="24"/>
          <w:lang w:val="en-US"/>
        </w:rPr>
        <w:t>.</w:t>
      </w:r>
      <w:r w:rsidR="00AC0944">
        <w:rPr>
          <w:rStyle w:val="FootnoteReference"/>
          <w:rFonts w:ascii="Times New Roman" w:hAnsi="Times New Roman" w:cs="Times New Roman"/>
          <w:sz w:val="24"/>
          <w:szCs w:val="24"/>
          <w:lang w:val="en-US"/>
        </w:rPr>
        <w:footnoteReference w:id="15"/>
      </w:r>
      <w:r w:rsidR="00B86F4C" w:rsidRPr="008B2ED9">
        <w:rPr>
          <w:rFonts w:ascii="Times New Roman" w:hAnsi="Times New Roman" w:cs="Times New Roman"/>
          <w:sz w:val="24"/>
          <w:szCs w:val="24"/>
          <w:lang w:val="en-US"/>
        </w:rPr>
        <w:t xml:space="preserve"> </w:t>
      </w:r>
    </w:p>
    <w:p w14:paraId="0C7983E3" w14:textId="77777777" w:rsidR="001A1FBC" w:rsidRPr="008B2ED9" w:rsidRDefault="001A1FBC" w:rsidP="001A1FBC">
      <w:pPr>
        <w:pStyle w:val="PlainText"/>
        <w:spacing w:before="120" w:after="240" w:line="276" w:lineRule="auto"/>
        <w:rPr>
          <w:rFonts w:ascii="Times New Roman" w:hAnsi="Times New Roman" w:cs="Times New Roman"/>
          <w:sz w:val="24"/>
          <w:szCs w:val="24"/>
          <w:lang w:val="en-US"/>
        </w:rPr>
      </w:pPr>
    </w:p>
    <w:p w14:paraId="2CC557A2" w14:textId="77777777" w:rsidR="00076410" w:rsidRPr="00AC0944" w:rsidRDefault="001A1FBC" w:rsidP="001A1FBC">
      <w:pPr>
        <w:pStyle w:val="Heading3"/>
        <w:rPr>
          <w:lang w:val="en-US"/>
        </w:rPr>
      </w:pPr>
      <w:r>
        <w:rPr>
          <w:lang w:val="en-US"/>
        </w:rPr>
        <w:t xml:space="preserve">d) </w:t>
      </w:r>
      <w:r w:rsidR="0032688D" w:rsidRPr="00AC0944">
        <w:rPr>
          <w:lang w:val="en-US"/>
        </w:rPr>
        <w:t xml:space="preserve">Complementarity </w:t>
      </w:r>
      <w:r w:rsidR="00A45FB3" w:rsidRPr="00AC0944">
        <w:rPr>
          <w:lang w:val="en-US"/>
        </w:rPr>
        <w:t>W</w:t>
      </w:r>
      <w:r w:rsidR="0032688D" w:rsidRPr="00AC0944">
        <w:rPr>
          <w:lang w:val="en-US"/>
        </w:rPr>
        <w:t xml:space="preserve">ith </w:t>
      </w:r>
      <w:r w:rsidR="00A45FB3" w:rsidRPr="00AC0944">
        <w:rPr>
          <w:lang w:val="en-US"/>
        </w:rPr>
        <w:t>R</w:t>
      </w:r>
      <w:r w:rsidR="0032688D" w:rsidRPr="00AC0944">
        <w:rPr>
          <w:lang w:val="en-US"/>
        </w:rPr>
        <w:t xml:space="preserve">espect to </w:t>
      </w:r>
      <w:r w:rsidR="00A45FB3" w:rsidRPr="00AC0944">
        <w:rPr>
          <w:lang w:val="en-US"/>
        </w:rPr>
        <w:t>S</w:t>
      </w:r>
      <w:r w:rsidR="0032688D" w:rsidRPr="00AC0944">
        <w:rPr>
          <w:lang w:val="en-US"/>
        </w:rPr>
        <w:t xml:space="preserve">pecific </w:t>
      </w:r>
      <w:r w:rsidR="00A45FB3" w:rsidRPr="00AC0944">
        <w:rPr>
          <w:lang w:val="en-US"/>
        </w:rPr>
        <w:t>G</w:t>
      </w:r>
      <w:r w:rsidR="0032688D" w:rsidRPr="00AC0944">
        <w:rPr>
          <w:lang w:val="en-US"/>
        </w:rPr>
        <w:t>roups</w:t>
      </w:r>
    </w:p>
    <w:p w14:paraId="29BFB639" w14:textId="53D55B8C" w:rsidR="001B30AE" w:rsidRPr="008B2ED9" w:rsidRDefault="00634730"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 xml:space="preserve">In many grassroots campaigns, complementary currencies are envisaged as a way to promote economic exchange among participants lacking </w:t>
      </w:r>
      <w:r w:rsidR="00DD1330" w:rsidRPr="008B2ED9">
        <w:rPr>
          <w:rFonts w:ascii="Times New Roman" w:hAnsi="Times New Roman" w:cs="Times New Roman"/>
          <w:sz w:val="24"/>
          <w:szCs w:val="24"/>
          <w:lang w:val="en-US"/>
        </w:rPr>
        <w:t>jobs and income in official currency.</w:t>
      </w:r>
      <w:r w:rsidR="0032688D" w:rsidRPr="008B2ED9">
        <w:rPr>
          <w:rFonts w:ascii="Times New Roman" w:hAnsi="Times New Roman" w:cs="Times New Roman"/>
          <w:sz w:val="24"/>
          <w:szCs w:val="24"/>
          <w:lang w:val="en-US"/>
        </w:rPr>
        <w:t xml:space="preserve"> </w:t>
      </w:r>
      <w:r w:rsidR="00C10BCE" w:rsidRPr="008B2ED9">
        <w:rPr>
          <w:rFonts w:ascii="Times New Roman" w:hAnsi="Times New Roman" w:cs="Times New Roman"/>
          <w:sz w:val="24"/>
          <w:szCs w:val="24"/>
          <w:lang w:val="en-US"/>
        </w:rPr>
        <w:t xml:space="preserve">In local </w:t>
      </w:r>
      <w:r w:rsidR="00C10BCE" w:rsidRPr="008B2ED9">
        <w:rPr>
          <w:rFonts w:ascii="Times New Roman" w:hAnsi="Times New Roman" w:cs="Times New Roman"/>
          <w:sz w:val="24"/>
          <w:szCs w:val="24"/>
          <w:lang w:val="en-US"/>
        </w:rPr>
        <w:lastRenderedPageBreak/>
        <w:t>exchange trading systems (LET</w:t>
      </w:r>
      <w:r w:rsidR="00D25D04" w:rsidRPr="008B2ED9">
        <w:rPr>
          <w:rFonts w:ascii="Times New Roman" w:hAnsi="Times New Roman" w:cs="Times New Roman"/>
          <w:sz w:val="24"/>
          <w:szCs w:val="24"/>
          <w:lang w:val="en-US"/>
        </w:rPr>
        <w:t>S</w:t>
      </w:r>
      <w:r w:rsidR="00C10BCE" w:rsidRPr="008B2ED9">
        <w:rPr>
          <w:rFonts w:ascii="Times New Roman" w:hAnsi="Times New Roman" w:cs="Times New Roman"/>
          <w:sz w:val="24"/>
          <w:szCs w:val="24"/>
          <w:lang w:val="en-US"/>
        </w:rPr>
        <w:t>)</w:t>
      </w:r>
      <w:r w:rsidR="0032688D" w:rsidRPr="008B2ED9">
        <w:rPr>
          <w:rFonts w:ascii="Times New Roman" w:hAnsi="Times New Roman" w:cs="Times New Roman"/>
          <w:sz w:val="24"/>
          <w:szCs w:val="24"/>
          <w:lang w:val="en-US"/>
        </w:rPr>
        <w:t xml:space="preserve">, </w:t>
      </w:r>
      <w:r w:rsidR="00C10BCE" w:rsidRPr="008B2ED9">
        <w:rPr>
          <w:rFonts w:ascii="Times New Roman" w:hAnsi="Times New Roman" w:cs="Times New Roman"/>
          <w:sz w:val="24"/>
          <w:szCs w:val="24"/>
          <w:lang w:val="en-US"/>
        </w:rPr>
        <w:t xml:space="preserve">complementary currencies are introduced to overcome </w:t>
      </w:r>
      <w:r w:rsidR="003D601F" w:rsidRPr="008B2ED9">
        <w:rPr>
          <w:rFonts w:ascii="Times New Roman" w:hAnsi="Times New Roman" w:cs="Times New Roman"/>
          <w:sz w:val="24"/>
          <w:szCs w:val="24"/>
          <w:lang w:val="en-US"/>
        </w:rPr>
        <w:t>market exclusion of certain segments of the population or regional economic decline</w:t>
      </w:r>
      <w:r w:rsidR="00C10BCE" w:rsidRPr="008B2ED9">
        <w:rPr>
          <w:rFonts w:ascii="Times New Roman" w:hAnsi="Times New Roman" w:cs="Times New Roman"/>
          <w:sz w:val="24"/>
          <w:szCs w:val="24"/>
          <w:lang w:val="en-US"/>
        </w:rPr>
        <w:t>.</w:t>
      </w:r>
      <w:r w:rsidR="00CE5BA9" w:rsidRPr="008B2ED9">
        <w:rPr>
          <w:rFonts w:ascii="Times New Roman" w:hAnsi="Times New Roman" w:cs="Times New Roman"/>
          <w:sz w:val="24"/>
          <w:szCs w:val="24"/>
          <w:lang w:val="en-US"/>
        </w:rPr>
        <w:t xml:space="preserve"> While sharing some features with regional currency projects referred </w:t>
      </w:r>
      <w:r w:rsidR="00D050E8" w:rsidRPr="008B2ED9">
        <w:rPr>
          <w:rFonts w:ascii="Times New Roman" w:hAnsi="Times New Roman" w:cs="Times New Roman"/>
          <w:sz w:val="24"/>
          <w:szCs w:val="24"/>
          <w:lang w:val="en-US"/>
        </w:rPr>
        <w:t>to above, their design does</w:t>
      </w:r>
      <w:r w:rsidR="00CE5BA9" w:rsidRPr="008B2ED9">
        <w:rPr>
          <w:rFonts w:ascii="Times New Roman" w:hAnsi="Times New Roman" w:cs="Times New Roman"/>
          <w:sz w:val="24"/>
          <w:szCs w:val="24"/>
          <w:lang w:val="en-US"/>
        </w:rPr>
        <w:t xml:space="preserve"> aim </w:t>
      </w:r>
      <w:r w:rsidR="00D050E8" w:rsidRPr="008B2ED9">
        <w:rPr>
          <w:rFonts w:ascii="Times New Roman" w:hAnsi="Times New Roman" w:cs="Times New Roman"/>
          <w:sz w:val="24"/>
          <w:szCs w:val="24"/>
          <w:lang w:val="en-US"/>
        </w:rPr>
        <w:t xml:space="preserve">to a lesser extent </w:t>
      </w:r>
      <w:r w:rsidR="00CE5BA9" w:rsidRPr="008B2ED9">
        <w:rPr>
          <w:rFonts w:ascii="Times New Roman" w:hAnsi="Times New Roman" w:cs="Times New Roman"/>
          <w:sz w:val="24"/>
          <w:szCs w:val="24"/>
          <w:lang w:val="en-US"/>
        </w:rPr>
        <w:t>at replacing official currency in existing trading relationships within a whole region than in creating new trading relationships among members of groups that may or may not be located within a specific region.</w:t>
      </w:r>
      <w:r w:rsidR="001F3082">
        <w:rPr>
          <w:rFonts w:ascii="Times New Roman" w:hAnsi="Times New Roman" w:cs="Times New Roman"/>
          <w:sz w:val="24"/>
          <w:szCs w:val="24"/>
          <w:lang w:val="en-US"/>
        </w:rPr>
        <w:t xml:space="preserve"> In this context, </w:t>
      </w:r>
      <w:r w:rsidR="008672EF">
        <w:rPr>
          <w:rFonts w:ascii="Times New Roman" w:hAnsi="Times New Roman" w:cs="Times New Roman"/>
          <w:sz w:val="24"/>
          <w:szCs w:val="24"/>
          <w:lang w:val="en-US"/>
        </w:rPr>
        <w:t>‘</w:t>
      </w:r>
      <w:r w:rsidR="00C10BCE" w:rsidRPr="008B2ED9">
        <w:rPr>
          <w:rFonts w:ascii="Times New Roman" w:hAnsi="Times New Roman" w:cs="Times New Roman"/>
          <w:sz w:val="24"/>
          <w:szCs w:val="24"/>
          <w:lang w:val="en-US"/>
        </w:rPr>
        <w:t>a complementary currency</w:t>
      </w:r>
      <w:r w:rsidR="008672EF">
        <w:rPr>
          <w:rFonts w:ascii="Times New Roman" w:hAnsi="Times New Roman" w:cs="Times New Roman"/>
          <w:sz w:val="24"/>
          <w:szCs w:val="24"/>
          <w:lang w:val="en-US"/>
        </w:rPr>
        <w:t xml:space="preserve"> [</w:t>
      </w:r>
      <w:r w:rsidR="00C10BCE" w:rsidRPr="008B2ED9">
        <w:rPr>
          <w:rFonts w:ascii="Times New Roman" w:hAnsi="Times New Roman" w:cs="Times New Roman"/>
          <w:sz w:val="24"/>
          <w:szCs w:val="24"/>
          <w:lang w:val="en-US"/>
        </w:rPr>
        <w:t>…</w:t>
      </w:r>
      <w:r w:rsidR="008672EF">
        <w:rPr>
          <w:rFonts w:ascii="Times New Roman" w:hAnsi="Times New Roman" w:cs="Times New Roman"/>
          <w:sz w:val="24"/>
          <w:szCs w:val="24"/>
          <w:lang w:val="en-US"/>
        </w:rPr>
        <w:t xml:space="preserve">] </w:t>
      </w:r>
      <w:r w:rsidR="00C10BCE" w:rsidRPr="008B2ED9">
        <w:rPr>
          <w:rFonts w:ascii="Times New Roman" w:hAnsi="Times New Roman" w:cs="Times New Roman"/>
          <w:sz w:val="24"/>
          <w:szCs w:val="24"/>
          <w:lang w:val="en-US"/>
        </w:rPr>
        <w:t>is an agreement to use something else than legal tender (i.e. national money) as a medium of exchange, with the purpose to link unmet needs wi</w:t>
      </w:r>
      <w:r w:rsidR="00A22FAC" w:rsidRPr="008B2ED9">
        <w:rPr>
          <w:rFonts w:ascii="Times New Roman" w:hAnsi="Times New Roman" w:cs="Times New Roman"/>
          <w:sz w:val="24"/>
          <w:szCs w:val="24"/>
          <w:lang w:val="en-US"/>
        </w:rPr>
        <w:t>th otherwise unused resou</w:t>
      </w:r>
      <w:r w:rsidR="00E27C7C" w:rsidRPr="008B2ED9">
        <w:rPr>
          <w:rFonts w:ascii="Times New Roman" w:hAnsi="Times New Roman" w:cs="Times New Roman"/>
          <w:sz w:val="24"/>
          <w:szCs w:val="24"/>
          <w:lang w:val="en-US"/>
        </w:rPr>
        <w:t>rces</w:t>
      </w:r>
      <w:r w:rsidR="008672EF">
        <w:rPr>
          <w:rFonts w:ascii="Times New Roman" w:hAnsi="Times New Roman" w:cs="Times New Roman"/>
          <w:sz w:val="24"/>
          <w:szCs w:val="24"/>
          <w:lang w:val="en-US"/>
        </w:rPr>
        <w:t>.’</w:t>
      </w:r>
      <w:r w:rsidR="00EE3D7C">
        <w:rPr>
          <w:rStyle w:val="FootnoteReference"/>
          <w:rFonts w:ascii="Times New Roman" w:hAnsi="Times New Roman" w:cs="Times New Roman"/>
          <w:sz w:val="24"/>
          <w:szCs w:val="24"/>
          <w:lang w:val="en-US"/>
        </w:rPr>
        <w:footnoteReference w:id="16"/>
      </w:r>
    </w:p>
    <w:p w14:paraId="3ABE706A" w14:textId="77777777" w:rsidR="00C10BCE" w:rsidRPr="008B2ED9" w:rsidRDefault="00C10BCE"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Since the 19</w:t>
      </w:r>
      <w:r w:rsidR="004C5DC7" w:rsidRPr="008B2ED9">
        <w:rPr>
          <w:rFonts w:ascii="Times New Roman" w:hAnsi="Times New Roman" w:cs="Times New Roman"/>
          <w:sz w:val="24"/>
          <w:szCs w:val="24"/>
          <w:lang w:val="en-US"/>
        </w:rPr>
        <w:t>8</w:t>
      </w:r>
      <w:r w:rsidRPr="008B2ED9">
        <w:rPr>
          <w:rFonts w:ascii="Times New Roman" w:hAnsi="Times New Roman" w:cs="Times New Roman"/>
          <w:sz w:val="24"/>
          <w:szCs w:val="24"/>
          <w:lang w:val="en-US"/>
        </w:rPr>
        <w:t xml:space="preserve">0s, there </w:t>
      </w:r>
      <w:r w:rsidR="00EE3D7C">
        <w:rPr>
          <w:rFonts w:ascii="Times New Roman" w:hAnsi="Times New Roman" w:cs="Times New Roman"/>
          <w:sz w:val="24"/>
          <w:szCs w:val="24"/>
          <w:lang w:val="en-US"/>
        </w:rPr>
        <w:t>has been</w:t>
      </w:r>
      <w:r w:rsidR="00EE3D7C" w:rsidRPr="008B2ED9">
        <w:rPr>
          <w:rFonts w:ascii="Times New Roman" w:hAnsi="Times New Roman" w:cs="Times New Roman"/>
          <w:sz w:val="24"/>
          <w:szCs w:val="24"/>
          <w:lang w:val="en-US"/>
        </w:rPr>
        <w:t xml:space="preserve"> </w:t>
      </w:r>
      <w:r w:rsidRPr="008B2ED9">
        <w:rPr>
          <w:rFonts w:ascii="Times New Roman" w:hAnsi="Times New Roman" w:cs="Times New Roman"/>
          <w:sz w:val="24"/>
          <w:szCs w:val="24"/>
          <w:lang w:val="en-US"/>
        </w:rPr>
        <w:t xml:space="preserve">growing interest in such initiatives. But while a number of grassroots </w:t>
      </w:r>
      <w:r w:rsidR="002C1726">
        <w:rPr>
          <w:rFonts w:ascii="Times New Roman" w:hAnsi="Times New Roman" w:cs="Times New Roman"/>
          <w:sz w:val="24"/>
          <w:szCs w:val="24"/>
          <w:lang w:val="en-US"/>
        </w:rPr>
        <w:t>projects</w:t>
      </w:r>
      <w:r w:rsidR="002C1726" w:rsidRPr="008B2ED9">
        <w:rPr>
          <w:rFonts w:ascii="Times New Roman" w:hAnsi="Times New Roman" w:cs="Times New Roman"/>
          <w:sz w:val="24"/>
          <w:szCs w:val="24"/>
          <w:lang w:val="en-US"/>
        </w:rPr>
        <w:t xml:space="preserve"> </w:t>
      </w:r>
      <w:r w:rsidRPr="008B2ED9">
        <w:rPr>
          <w:rFonts w:ascii="Times New Roman" w:hAnsi="Times New Roman" w:cs="Times New Roman"/>
          <w:sz w:val="24"/>
          <w:szCs w:val="24"/>
          <w:lang w:val="en-US"/>
        </w:rPr>
        <w:t>have created</w:t>
      </w:r>
      <w:r w:rsidR="00EE2987">
        <w:rPr>
          <w:rFonts w:ascii="Times New Roman" w:hAnsi="Times New Roman" w:cs="Times New Roman"/>
          <w:sz w:val="24"/>
          <w:szCs w:val="24"/>
          <w:lang w:val="en-US"/>
        </w:rPr>
        <w:t xml:space="preserve"> early</w:t>
      </w:r>
      <w:r w:rsidRPr="008B2ED9">
        <w:rPr>
          <w:rFonts w:ascii="Times New Roman" w:hAnsi="Times New Roman" w:cs="Times New Roman"/>
          <w:sz w:val="24"/>
          <w:szCs w:val="24"/>
          <w:lang w:val="en-US"/>
        </w:rPr>
        <w:t xml:space="preserve"> local enthusiasm for such projects, none of them has flourished for long or managed to reach a critical mass. Most falter after initial support energies fade</w:t>
      </w:r>
      <w:r w:rsidR="00E47CF2" w:rsidRPr="008B2ED9">
        <w:rPr>
          <w:rFonts w:ascii="Times New Roman" w:hAnsi="Times New Roman" w:cs="Times New Roman"/>
          <w:sz w:val="24"/>
          <w:szCs w:val="24"/>
          <w:lang w:val="en-US"/>
        </w:rPr>
        <w:t>.</w:t>
      </w:r>
      <w:r w:rsidR="00076410">
        <w:rPr>
          <w:rStyle w:val="FootnoteReference"/>
          <w:rFonts w:ascii="Times New Roman" w:hAnsi="Times New Roman" w:cs="Times New Roman"/>
          <w:sz w:val="24"/>
          <w:szCs w:val="24"/>
          <w:lang w:val="en-US"/>
        </w:rPr>
        <w:footnoteReference w:id="17"/>
      </w:r>
    </w:p>
    <w:p w14:paraId="36EB65D4" w14:textId="77777777" w:rsidR="00746E5E" w:rsidRPr="008B2ED9" w:rsidRDefault="00746E5E" w:rsidP="001A1FBC">
      <w:pPr>
        <w:pStyle w:val="PlainText"/>
        <w:spacing w:before="120" w:after="240" w:line="276" w:lineRule="auto"/>
        <w:rPr>
          <w:rFonts w:ascii="Times New Roman" w:hAnsi="Times New Roman" w:cs="Times New Roman"/>
          <w:sz w:val="24"/>
          <w:szCs w:val="24"/>
          <w:lang w:val="en-US"/>
        </w:rPr>
      </w:pPr>
      <w:r w:rsidRPr="008B2ED9">
        <w:rPr>
          <w:rFonts w:ascii="Times New Roman" w:hAnsi="Times New Roman" w:cs="Times New Roman"/>
          <w:sz w:val="24"/>
          <w:szCs w:val="24"/>
          <w:lang w:val="en-US"/>
        </w:rPr>
        <w:t>LETS networks use interest-free local credit</w:t>
      </w:r>
      <w:r w:rsidR="00076410">
        <w:rPr>
          <w:rFonts w:ascii="Times New Roman" w:hAnsi="Times New Roman" w:cs="Times New Roman"/>
          <w:sz w:val="24"/>
          <w:szCs w:val="24"/>
          <w:lang w:val="en-US"/>
        </w:rPr>
        <w:t>,</w:t>
      </w:r>
      <w:r w:rsidRPr="008B2ED9">
        <w:rPr>
          <w:rFonts w:ascii="Times New Roman" w:hAnsi="Times New Roman" w:cs="Times New Roman"/>
          <w:sz w:val="24"/>
          <w:szCs w:val="24"/>
          <w:lang w:val="en-US"/>
        </w:rPr>
        <w:t xml:space="preserve"> so direct </w:t>
      </w:r>
      <w:r w:rsidR="00D050E8" w:rsidRPr="008B2ED9">
        <w:rPr>
          <w:rFonts w:ascii="Times New Roman" w:hAnsi="Times New Roman" w:cs="Times New Roman"/>
          <w:sz w:val="24"/>
          <w:szCs w:val="24"/>
          <w:lang w:val="en-US"/>
        </w:rPr>
        <w:t xml:space="preserve">bilateral barter-like </w:t>
      </w:r>
      <w:r w:rsidRPr="008B2ED9">
        <w:rPr>
          <w:rFonts w:ascii="Times New Roman" w:hAnsi="Times New Roman" w:cs="Times New Roman"/>
          <w:sz w:val="24"/>
          <w:szCs w:val="24"/>
          <w:lang w:val="en-US"/>
        </w:rPr>
        <w:t>swaps do not need to be made. No physical money is issued, but rather transactions are recorded in a central location open to all members. As credit is issued by the network members, for the benefit of the members themselves, LETS are considered mutual credit systems</w:t>
      </w:r>
      <w:r w:rsidR="00AD1416">
        <w:rPr>
          <w:rFonts w:ascii="Times New Roman" w:hAnsi="Times New Roman" w:cs="Times New Roman"/>
          <w:sz w:val="24"/>
          <w:szCs w:val="24"/>
          <w:lang w:val="en-US"/>
        </w:rPr>
        <w:t>.</w:t>
      </w:r>
      <w:r w:rsidR="00076410">
        <w:rPr>
          <w:rStyle w:val="FootnoteReference"/>
          <w:rFonts w:ascii="Times New Roman" w:hAnsi="Times New Roman" w:cs="Times New Roman"/>
          <w:sz w:val="24"/>
          <w:szCs w:val="24"/>
          <w:lang w:val="en-US"/>
        </w:rPr>
        <w:footnoteReference w:id="18"/>
      </w:r>
    </w:p>
    <w:p w14:paraId="7FAE4F40" w14:textId="77777777" w:rsidR="00BB2E4B" w:rsidRDefault="002E49B0" w:rsidP="001A1FBC">
      <w:pPr>
        <w:spacing w:before="120" w:after="240" w:line="276" w:lineRule="auto"/>
        <w:rPr>
          <w:rFonts w:ascii="Times New Roman" w:hAnsi="Times New Roman"/>
          <w:sz w:val="24"/>
          <w:lang w:val="en-US"/>
        </w:rPr>
      </w:pPr>
      <w:r w:rsidRPr="008B2ED9">
        <w:rPr>
          <w:rFonts w:ascii="Times New Roman" w:hAnsi="Times New Roman"/>
          <w:sz w:val="24"/>
          <w:lang w:val="en-US"/>
        </w:rPr>
        <w:t xml:space="preserve">The main challenge is to attract a significant number of reciprocal trade opportunities. </w:t>
      </w:r>
      <w:r w:rsidR="00D77453" w:rsidRPr="008B2ED9">
        <w:rPr>
          <w:rFonts w:ascii="Times New Roman" w:hAnsi="Times New Roman"/>
          <w:sz w:val="24"/>
          <w:lang w:val="en-US"/>
        </w:rPr>
        <w:t xml:space="preserve">Participants lacking alternative income sources will be easy to attract. Their motive is to get access to goods and services in high demand, but suppliers of the latter tend to have alternative sources of income and tend to be deterred by the perceived risk to lose out in </w:t>
      </w:r>
      <w:r w:rsidR="008B4154">
        <w:rPr>
          <w:rFonts w:ascii="Times New Roman" w:hAnsi="Times New Roman"/>
          <w:sz w:val="24"/>
          <w:lang w:val="en-US"/>
        </w:rPr>
        <w:t>LETS</w:t>
      </w:r>
      <w:r w:rsidR="008B4154" w:rsidRPr="008B2ED9">
        <w:rPr>
          <w:rFonts w:ascii="Times New Roman" w:hAnsi="Times New Roman"/>
          <w:sz w:val="24"/>
          <w:lang w:val="en-US"/>
        </w:rPr>
        <w:t xml:space="preserve"> </w:t>
      </w:r>
      <w:r w:rsidR="005D19AC">
        <w:rPr>
          <w:rFonts w:ascii="Times New Roman" w:hAnsi="Times New Roman"/>
          <w:sz w:val="24"/>
          <w:lang w:val="en-US"/>
        </w:rPr>
        <w:t>trades: t</w:t>
      </w:r>
      <w:r w:rsidR="00D77453" w:rsidRPr="008B2ED9">
        <w:rPr>
          <w:rFonts w:ascii="Times New Roman" w:hAnsi="Times New Roman"/>
          <w:sz w:val="24"/>
          <w:lang w:val="en-US"/>
        </w:rPr>
        <w:t>he unemployed carpet cleaner and the piano teacher might join in the hope of offering their services for something they need</w:t>
      </w:r>
      <w:r w:rsidR="00F24075" w:rsidRPr="008B2ED9">
        <w:rPr>
          <w:rFonts w:ascii="Times New Roman" w:hAnsi="Times New Roman"/>
          <w:sz w:val="24"/>
          <w:lang w:val="en-US"/>
        </w:rPr>
        <w:t>,</w:t>
      </w:r>
      <w:r w:rsidR="00D77453" w:rsidRPr="008B2ED9">
        <w:rPr>
          <w:rFonts w:ascii="Times New Roman" w:hAnsi="Times New Roman"/>
          <w:sz w:val="24"/>
          <w:lang w:val="en-US"/>
        </w:rPr>
        <w:t xml:space="preserve"> like food and clothing. But supermarkets offering food and clothing will tend to prefer official currency in payment and won’t be attracted by a network offering piano lessons, carpet cleaning and related services in exchange for their products.</w:t>
      </w:r>
      <w:r w:rsidR="00BB2E4B" w:rsidRPr="008B2ED9">
        <w:rPr>
          <w:rFonts w:ascii="Times New Roman" w:hAnsi="Times New Roman"/>
          <w:sz w:val="24"/>
          <w:lang w:val="en-US"/>
        </w:rPr>
        <w:t xml:space="preserve"> As the Wikipedia entry on LETS puts it</w:t>
      </w:r>
      <w:r w:rsidR="00076410">
        <w:rPr>
          <w:rFonts w:ascii="Times New Roman" w:hAnsi="Times New Roman"/>
          <w:sz w:val="24"/>
          <w:lang w:val="en-US"/>
        </w:rPr>
        <w:t>,</w:t>
      </w:r>
      <w:r w:rsidR="001F3082">
        <w:rPr>
          <w:rFonts w:ascii="Times New Roman" w:hAnsi="Times New Roman"/>
          <w:sz w:val="24"/>
          <w:lang w:val="en-US"/>
        </w:rPr>
        <w:t xml:space="preserve"> ‘</w:t>
      </w:r>
      <w:r w:rsidR="00E27C7C" w:rsidRPr="008B2ED9">
        <w:rPr>
          <w:rFonts w:ascii="Times New Roman" w:hAnsi="Times New Roman"/>
          <w:sz w:val="24"/>
          <w:lang w:val="en-US"/>
        </w:rPr>
        <w:t>C</w:t>
      </w:r>
      <w:r w:rsidR="00BB2E4B" w:rsidRPr="008B2ED9">
        <w:rPr>
          <w:rFonts w:ascii="Times New Roman" w:hAnsi="Times New Roman"/>
          <w:sz w:val="24"/>
          <w:lang w:val="en-US"/>
        </w:rPr>
        <w:t>onventional national currency is generally hard to earn, but easy to spend. To date LETSystems are comparatively ea</w:t>
      </w:r>
      <w:r w:rsidR="00E27C7C" w:rsidRPr="008B2ED9">
        <w:rPr>
          <w:rFonts w:ascii="Times New Roman" w:hAnsi="Times New Roman"/>
          <w:sz w:val="24"/>
          <w:lang w:val="en-US"/>
        </w:rPr>
        <w:t>sy to earn, but harder to spend</w:t>
      </w:r>
      <w:r w:rsidR="001F3082">
        <w:rPr>
          <w:rFonts w:ascii="Times New Roman" w:hAnsi="Times New Roman"/>
          <w:sz w:val="24"/>
          <w:lang w:val="en-US"/>
        </w:rPr>
        <w:t>’</w:t>
      </w:r>
      <w:r w:rsidR="00AD1416">
        <w:rPr>
          <w:rFonts w:ascii="Times New Roman" w:hAnsi="Times New Roman"/>
          <w:sz w:val="24"/>
          <w:lang w:val="en-US"/>
        </w:rPr>
        <w:t>.</w:t>
      </w:r>
      <w:r w:rsidR="00076410">
        <w:rPr>
          <w:rStyle w:val="FootnoteReference"/>
          <w:rFonts w:ascii="Times New Roman" w:hAnsi="Times New Roman"/>
          <w:sz w:val="24"/>
          <w:lang w:val="en-US"/>
        </w:rPr>
        <w:footnoteReference w:id="19"/>
      </w:r>
    </w:p>
    <w:p w14:paraId="5D235743" w14:textId="77777777" w:rsidR="001A1FBC" w:rsidRPr="008B2ED9" w:rsidRDefault="001A1FBC" w:rsidP="001A1FBC">
      <w:pPr>
        <w:spacing w:before="120" w:after="240" w:line="276" w:lineRule="auto"/>
        <w:rPr>
          <w:rFonts w:ascii="Times New Roman" w:hAnsi="Times New Roman"/>
          <w:sz w:val="24"/>
          <w:lang w:val="en-US"/>
        </w:rPr>
      </w:pPr>
    </w:p>
    <w:p w14:paraId="2FD79FD9" w14:textId="77777777" w:rsidR="00076410" w:rsidRPr="00764A8C" w:rsidRDefault="00B1716E" w:rsidP="001A1FBC">
      <w:pPr>
        <w:pStyle w:val="Heading2"/>
        <w:rPr>
          <w:lang w:val="en-US"/>
        </w:rPr>
      </w:pPr>
      <w:r w:rsidRPr="00764A8C">
        <w:rPr>
          <w:lang w:val="en-US"/>
        </w:rPr>
        <w:t xml:space="preserve">Why </w:t>
      </w:r>
      <w:r w:rsidR="00A45FB3" w:rsidRPr="00764A8C">
        <w:rPr>
          <w:lang w:val="en-US"/>
        </w:rPr>
        <w:t>C</w:t>
      </w:r>
      <w:r w:rsidRPr="00764A8C">
        <w:rPr>
          <w:lang w:val="en-US"/>
        </w:rPr>
        <w:t xml:space="preserve">urrencies </w:t>
      </w:r>
      <w:r w:rsidR="00A45FB3" w:rsidRPr="00764A8C">
        <w:rPr>
          <w:lang w:val="en-US"/>
        </w:rPr>
        <w:t>A</w:t>
      </w:r>
      <w:r w:rsidRPr="00764A8C">
        <w:rPr>
          <w:lang w:val="en-US"/>
        </w:rPr>
        <w:t xml:space="preserve">re </w:t>
      </w:r>
      <w:r w:rsidR="00A45FB3" w:rsidRPr="00764A8C">
        <w:rPr>
          <w:lang w:val="en-US"/>
        </w:rPr>
        <w:t>A</w:t>
      </w:r>
      <w:r w:rsidRPr="00764A8C">
        <w:rPr>
          <w:lang w:val="en-US"/>
        </w:rPr>
        <w:t>ccepted</w:t>
      </w:r>
    </w:p>
    <w:p w14:paraId="7E1C20FE" w14:textId="77777777" w:rsidR="007D6042" w:rsidRPr="008B2ED9" w:rsidRDefault="00DE2EE7" w:rsidP="001A1FBC">
      <w:pPr>
        <w:spacing w:before="120" w:after="240" w:line="276" w:lineRule="auto"/>
        <w:rPr>
          <w:rFonts w:ascii="Times New Roman" w:hAnsi="Times New Roman"/>
          <w:sz w:val="24"/>
          <w:lang w:val="en-US"/>
        </w:rPr>
      </w:pPr>
      <w:r w:rsidRPr="008B2ED9">
        <w:rPr>
          <w:rFonts w:ascii="Times New Roman" w:hAnsi="Times New Roman"/>
          <w:sz w:val="24"/>
          <w:lang w:val="en-US"/>
        </w:rPr>
        <w:t>Having reviewed experience and prospects of various approaches towards complementary currencies, we can step towards some general observations</w:t>
      </w:r>
      <w:r w:rsidR="0098365C" w:rsidRPr="008B2ED9">
        <w:rPr>
          <w:rFonts w:ascii="Times New Roman" w:hAnsi="Times New Roman"/>
          <w:sz w:val="24"/>
          <w:lang w:val="en-US"/>
        </w:rPr>
        <w:t xml:space="preserve"> drawing on economic theory. </w:t>
      </w:r>
      <w:r w:rsidR="00723B53" w:rsidRPr="008B2ED9">
        <w:rPr>
          <w:rFonts w:ascii="Times New Roman" w:hAnsi="Times New Roman"/>
          <w:sz w:val="24"/>
          <w:lang w:val="en-US"/>
        </w:rPr>
        <w:t xml:space="preserve">As the economist Hyman </w:t>
      </w:r>
      <w:r w:rsidR="000205E0" w:rsidRPr="008B2ED9">
        <w:rPr>
          <w:rFonts w:ascii="Times New Roman" w:hAnsi="Times New Roman"/>
          <w:sz w:val="24"/>
          <w:lang w:val="en-US"/>
        </w:rPr>
        <w:t>Minsky</w:t>
      </w:r>
      <w:r w:rsidR="00723B53" w:rsidRPr="008B2ED9">
        <w:rPr>
          <w:rFonts w:ascii="Times New Roman" w:hAnsi="Times New Roman"/>
          <w:sz w:val="24"/>
          <w:lang w:val="en-US"/>
        </w:rPr>
        <w:t xml:space="preserve"> once quipped</w:t>
      </w:r>
      <w:r w:rsidR="004431CF">
        <w:rPr>
          <w:rFonts w:ascii="Times New Roman" w:hAnsi="Times New Roman"/>
          <w:sz w:val="24"/>
          <w:lang w:val="en-US"/>
        </w:rPr>
        <w:t>,</w:t>
      </w:r>
      <w:r w:rsidR="000205E0" w:rsidRPr="008B2ED9">
        <w:rPr>
          <w:rFonts w:ascii="Times New Roman" w:hAnsi="Times New Roman"/>
          <w:sz w:val="24"/>
          <w:lang w:val="en-US"/>
        </w:rPr>
        <w:t xml:space="preserve"> </w:t>
      </w:r>
      <w:r w:rsidR="004431CF">
        <w:rPr>
          <w:rFonts w:ascii="Times New Roman" w:hAnsi="Times New Roman"/>
          <w:sz w:val="24"/>
          <w:lang w:val="en-US"/>
        </w:rPr>
        <w:t>‘</w:t>
      </w:r>
      <w:r w:rsidR="000205E0" w:rsidRPr="008B2ED9">
        <w:rPr>
          <w:rFonts w:ascii="Times New Roman" w:hAnsi="Times New Roman"/>
          <w:sz w:val="24"/>
          <w:lang w:val="en-US"/>
        </w:rPr>
        <w:t>Everyone</w:t>
      </w:r>
      <w:r w:rsidR="00F24075" w:rsidRPr="008B2ED9">
        <w:rPr>
          <w:rFonts w:ascii="Times New Roman" w:hAnsi="Times New Roman"/>
          <w:sz w:val="24"/>
          <w:lang w:val="en-US"/>
        </w:rPr>
        <w:t xml:space="preserve"> can</w:t>
      </w:r>
      <w:r w:rsidR="000205E0" w:rsidRPr="008B2ED9">
        <w:rPr>
          <w:rFonts w:ascii="Times New Roman" w:hAnsi="Times New Roman"/>
          <w:sz w:val="24"/>
          <w:lang w:val="en-US"/>
        </w:rPr>
        <w:t xml:space="preserve"> create his own currency, the problem is to have it accepted</w:t>
      </w:r>
      <w:r w:rsidR="004431CF">
        <w:rPr>
          <w:rFonts w:ascii="Times New Roman" w:hAnsi="Times New Roman"/>
          <w:sz w:val="24"/>
          <w:lang w:val="en-US"/>
        </w:rPr>
        <w:t>’</w:t>
      </w:r>
      <w:r w:rsidR="000205E0" w:rsidRPr="008B2ED9">
        <w:rPr>
          <w:rFonts w:ascii="Times New Roman" w:hAnsi="Times New Roman"/>
          <w:sz w:val="24"/>
          <w:lang w:val="en-US"/>
        </w:rPr>
        <w:t>.</w:t>
      </w:r>
      <w:r w:rsidR="00AD1416">
        <w:rPr>
          <w:rFonts w:ascii="Times New Roman" w:hAnsi="Times New Roman"/>
          <w:sz w:val="24"/>
          <w:lang w:val="en-US"/>
        </w:rPr>
        <w:t xml:space="preserve"> </w:t>
      </w:r>
      <w:r w:rsidR="00723B53" w:rsidRPr="008B2ED9">
        <w:rPr>
          <w:rFonts w:ascii="Times New Roman" w:hAnsi="Times New Roman"/>
          <w:sz w:val="24"/>
          <w:lang w:val="en-US"/>
        </w:rPr>
        <w:t>If that is so, what determines the acceptance of a currency</w:t>
      </w:r>
      <w:r w:rsidR="001838E0" w:rsidRPr="008B2ED9">
        <w:rPr>
          <w:rFonts w:ascii="Times New Roman" w:hAnsi="Times New Roman"/>
          <w:sz w:val="24"/>
          <w:lang w:val="en-US"/>
        </w:rPr>
        <w:t xml:space="preserve"> by users</w:t>
      </w:r>
      <w:r w:rsidR="00723B53" w:rsidRPr="008B2ED9">
        <w:rPr>
          <w:rFonts w:ascii="Times New Roman" w:hAnsi="Times New Roman"/>
          <w:sz w:val="24"/>
          <w:lang w:val="en-US"/>
        </w:rPr>
        <w:t xml:space="preserve">? </w:t>
      </w:r>
    </w:p>
    <w:p w14:paraId="182AB653" w14:textId="77777777" w:rsidR="00533010" w:rsidRDefault="00115A0F" w:rsidP="001A1FBC">
      <w:pPr>
        <w:spacing w:before="120" w:after="240" w:line="276" w:lineRule="auto"/>
        <w:rPr>
          <w:rFonts w:ascii="Times New Roman" w:hAnsi="Times New Roman"/>
          <w:sz w:val="24"/>
          <w:lang w:val="en-US"/>
        </w:rPr>
      </w:pPr>
      <w:r w:rsidRPr="008B2ED9">
        <w:rPr>
          <w:rFonts w:ascii="Times New Roman" w:hAnsi="Times New Roman"/>
          <w:sz w:val="24"/>
          <w:lang w:val="en-US"/>
        </w:rPr>
        <w:t xml:space="preserve">In many accounts critical of existing monetary arrangements, it is assumed that official money is forced </w:t>
      </w:r>
      <w:r w:rsidR="004B45B1" w:rsidRPr="008B2ED9">
        <w:rPr>
          <w:rFonts w:ascii="Times New Roman" w:hAnsi="Times New Roman"/>
          <w:sz w:val="24"/>
          <w:lang w:val="en-US"/>
        </w:rPr>
        <w:t>on users</w:t>
      </w:r>
      <w:r w:rsidRPr="008B2ED9">
        <w:rPr>
          <w:rFonts w:ascii="Times New Roman" w:hAnsi="Times New Roman"/>
          <w:sz w:val="24"/>
          <w:lang w:val="en-US"/>
        </w:rPr>
        <w:t xml:space="preserve">, based on </w:t>
      </w:r>
      <w:r w:rsidR="004431CF">
        <w:rPr>
          <w:rFonts w:ascii="Times New Roman" w:hAnsi="Times New Roman"/>
          <w:sz w:val="24"/>
          <w:lang w:val="en-US"/>
        </w:rPr>
        <w:t>‘</w:t>
      </w:r>
      <w:r w:rsidRPr="008B2ED9">
        <w:rPr>
          <w:rFonts w:ascii="Times New Roman" w:hAnsi="Times New Roman"/>
          <w:sz w:val="24"/>
          <w:lang w:val="en-US"/>
        </w:rPr>
        <w:t>legal tender</w:t>
      </w:r>
      <w:r w:rsidR="004431CF">
        <w:rPr>
          <w:rFonts w:ascii="Times New Roman" w:hAnsi="Times New Roman"/>
          <w:sz w:val="24"/>
          <w:lang w:val="en-US"/>
        </w:rPr>
        <w:t>’</w:t>
      </w:r>
      <w:r w:rsidR="00F24075" w:rsidRPr="008B2ED9">
        <w:rPr>
          <w:rFonts w:ascii="Times New Roman" w:hAnsi="Times New Roman"/>
          <w:sz w:val="24"/>
          <w:lang w:val="en-US"/>
        </w:rPr>
        <w:t xml:space="preserve"> status</w:t>
      </w:r>
      <w:r w:rsidR="00AD1416">
        <w:rPr>
          <w:rFonts w:ascii="Times New Roman" w:hAnsi="Times New Roman"/>
          <w:sz w:val="24"/>
          <w:lang w:val="en-US"/>
        </w:rPr>
        <w:t>.</w:t>
      </w:r>
      <w:r w:rsidR="004431CF">
        <w:rPr>
          <w:rStyle w:val="FootnoteReference"/>
          <w:rFonts w:ascii="Times New Roman" w:hAnsi="Times New Roman"/>
          <w:sz w:val="24"/>
          <w:lang w:val="en-US"/>
        </w:rPr>
        <w:footnoteReference w:id="20"/>
      </w:r>
      <w:r w:rsidRPr="008B2ED9">
        <w:rPr>
          <w:rFonts w:ascii="Times New Roman" w:hAnsi="Times New Roman"/>
          <w:sz w:val="24"/>
          <w:lang w:val="en-US"/>
        </w:rPr>
        <w:t xml:space="preserve"> </w:t>
      </w:r>
      <w:r w:rsidR="001838E0" w:rsidRPr="008B2ED9">
        <w:rPr>
          <w:rFonts w:ascii="Times New Roman" w:hAnsi="Times New Roman"/>
          <w:sz w:val="24"/>
          <w:lang w:val="en-US"/>
        </w:rPr>
        <w:t>But there is less behind this status than commonly believed</w:t>
      </w:r>
      <w:r w:rsidR="004431CF">
        <w:rPr>
          <w:rFonts w:ascii="Times New Roman" w:hAnsi="Times New Roman"/>
          <w:sz w:val="24"/>
          <w:lang w:val="en-US"/>
        </w:rPr>
        <w:t>.</w:t>
      </w:r>
      <w:r w:rsidR="001838E0" w:rsidRPr="008B2ED9">
        <w:rPr>
          <w:rFonts w:ascii="Times New Roman" w:hAnsi="Times New Roman"/>
          <w:sz w:val="24"/>
          <w:lang w:val="en-US"/>
        </w:rPr>
        <w:t xml:space="preserve"> If you use the official currency in payment you will be protected by law against your transaction partner sueing you for non</w:t>
      </w:r>
      <w:r w:rsidR="003B309B">
        <w:rPr>
          <w:rFonts w:ascii="Times New Roman" w:hAnsi="Times New Roman"/>
          <w:sz w:val="24"/>
          <w:lang w:val="en-US"/>
        </w:rPr>
        <w:t>-</w:t>
      </w:r>
      <w:r w:rsidR="001838E0" w:rsidRPr="008B2ED9">
        <w:rPr>
          <w:rFonts w:ascii="Times New Roman" w:hAnsi="Times New Roman"/>
          <w:sz w:val="24"/>
          <w:lang w:val="en-US"/>
        </w:rPr>
        <w:t>payment (unless the underlying contract specifies otherwise). And if you print your own banknotes, you will be prosecuted for counterfeiting. But you are free to agree on another means of payment than the official currency with your transaction partner in a private transaction. As long as you pay all applicable taxes in the official currency, you can</w:t>
      </w:r>
      <w:r w:rsidR="003B309B">
        <w:rPr>
          <w:rFonts w:ascii="Times New Roman" w:hAnsi="Times New Roman"/>
          <w:sz w:val="24"/>
          <w:lang w:val="en-US"/>
        </w:rPr>
        <w:t>, for instance</w:t>
      </w:r>
      <w:r w:rsidR="001838E0" w:rsidRPr="008B2ED9">
        <w:rPr>
          <w:rFonts w:ascii="Times New Roman" w:hAnsi="Times New Roman"/>
          <w:sz w:val="24"/>
          <w:lang w:val="en-US"/>
        </w:rPr>
        <w:t xml:space="preserve"> sell your car in exchange for socks, Bitcoins</w:t>
      </w:r>
      <w:r w:rsidR="003B309B">
        <w:rPr>
          <w:rFonts w:ascii="Times New Roman" w:hAnsi="Times New Roman"/>
          <w:sz w:val="24"/>
          <w:lang w:val="en-US"/>
        </w:rPr>
        <w:t>,</w:t>
      </w:r>
      <w:r w:rsidR="001838E0" w:rsidRPr="008B2ED9">
        <w:rPr>
          <w:rFonts w:ascii="Times New Roman" w:hAnsi="Times New Roman"/>
          <w:sz w:val="24"/>
          <w:lang w:val="en-US"/>
        </w:rPr>
        <w:t xml:space="preserve"> or </w:t>
      </w:r>
      <w:r w:rsidR="003B309B">
        <w:rPr>
          <w:rFonts w:ascii="Times New Roman" w:hAnsi="Times New Roman"/>
          <w:sz w:val="24"/>
          <w:lang w:val="en-US"/>
        </w:rPr>
        <w:t>something else</w:t>
      </w:r>
      <w:r w:rsidR="001838E0" w:rsidRPr="008B2ED9">
        <w:rPr>
          <w:rFonts w:ascii="Times New Roman" w:hAnsi="Times New Roman"/>
          <w:sz w:val="24"/>
          <w:lang w:val="en-US"/>
        </w:rPr>
        <w:t xml:space="preserve">. </w:t>
      </w:r>
      <w:r w:rsidR="004B45B1" w:rsidRPr="008B2ED9">
        <w:rPr>
          <w:rFonts w:ascii="Times New Roman" w:hAnsi="Times New Roman"/>
          <w:sz w:val="24"/>
          <w:lang w:val="en-US"/>
        </w:rPr>
        <w:t>T</w:t>
      </w:r>
      <w:r w:rsidRPr="008B2ED9">
        <w:rPr>
          <w:rFonts w:ascii="Times New Roman" w:hAnsi="Times New Roman"/>
          <w:sz w:val="24"/>
          <w:lang w:val="en-US"/>
        </w:rPr>
        <w:t xml:space="preserve">he episodes mentioned above </w:t>
      </w:r>
      <w:r w:rsidR="00533010">
        <w:rPr>
          <w:rFonts w:ascii="Times New Roman" w:hAnsi="Times New Roman"/>
          <w:sz w:val="24"/>
          <w:lang w:val="en-US"/>
        </w:rPr>
        <w:t xml:space="preserve">meant to </w:t>
      </w:r>
      <w:r w:rsidRPr="008B2ED9">
        <w:rPr>
          <w:rFonts w:ascii="Times New Roman" w:hAnsi="Times New Roman"/>
          <w:sz w:val="24"/>
          <w:lang w:val="en-US"/>
        </w:rPr>
        <w:t>illustrate our typology</w:t>
      </w:r>
      <w:r w:rsidR="00533010">
        <w:rPr>
          <w:rFonts w:ascii="Times New Roman" w:hAnsi="Times New Roman"/>
          <w:sz w:val="24"/>
          <w:lang w:val="en-US"/>
        </w:rPr>
        <w:t>,</w:t>
      </w:r>
      <w:r w:rsidRPr="008B2ED9">
        <w:rPr>
          <w:rFonts w:ascii="Times New Roman" w:hAnsi="Times New Roman"/>
          <w:sz w:val="24"/>
          <w:lang w:val="en-US"/>
        </w:rPr>
        <w:t xml:space="preserve"> show that time and again in modern economic history privately issued currenc</w:t>
      </w:r>
      <w:r w:rsidR="000436D7" w:rsidRPr="008B2ED9">
        <w:rPr>
          <w:rFonts w:ascii="Times New Roman" w:hAnsi="Times New Roman"/>
          <w:sz w:val="24"/>
          <w:lang w:val="en-US"/>
        </w:rPr>
        <w:t>ie</w:t>
      </w:r>
      <w:r w:rsidRPr="008B2ED9">
        <w:rPr>
          <w:rFonts w:ascii="Times New Roman" w:hAnsi="Times New Roman"/>
          <w:sz w:val="24"/>
          <w:lang w:val="en-US"/>
        </w:rPr>
        <w:t xml:space="preserve">s were able to </w:t>
      </w:r>
      <w:r w:rsidR="00533010">
        <w:rPr>
          <w:rFonts w:ascii="Times New Roman" w:hAnsi="Times New Roman"/>
          <w:sz w:val="24"/>
          <w:lang w:val="en-US"/>
        </w:rPr>
        <w:t>gain</w:t>
      </w:r>
      <w:r w:rsidR="00533010" w:rsidRPr="008B2ED9">
        <w:rPr>
          <w:rFonts w:ascii="Times New Roman" w:hAnsi="Times New Roman"/>
          <w:sz w:val="24"/>
          <w:lang w:val="en-US"/>
        </w:rPr>
        <w:t xml:space="preserve"> </w:t>
      </w:r>
      <w:r w:rsidRPr="008B2ED9">
        <w:rPr>
          <w:rFonts w:ascii="Times New Roman" w:hAnsi="Times New Roman"/>
          <w:sz w:val="24"/>
          <w:lang w:val="en-US"/>
        </w:rPr>
        <w:t>foothold in the economy.</w:t>
      </w:r>
      <w:r w:rsidR="000436D7" w:rsidRPr="008B2ED9">
        <w:rPr>
          <w:rFonts w:ascii="Times New Roman" w:hAnsi="Times New Roman"/>
          <w:sz w:val="24"/>
          <w:lang w:val="en-US"/>
        </w:rPr>
        <w:t xml:space="preserve"> So </w:t>
      </w:r>
      <w:r w:rsidR="00E63887" w:rsidRPr="008B2ED9">
        <w:rPr>
          <w:rFonts w:ascii="Times New Roman" w:hAnsi="Times New Roman"/>
          <w:sz w:val="24"/>
          <w:lang w:val="en-US"/>
        </w:rPr>
        <w:t xml:space="preserve">the </w:t>
      </w:r>
      <w:r w:rsidR="000436D7" w:rsidRPr="008B2ED9">
        <w:rPr>
          <w:rFonts w:ascii="Times New Roman" w:hAnsi="Times New Roman"/>
          <w:sz w:val="24"/>
          <w:lang w:val="en-US"/>
        </w:rPr>
        <w:t xml:space="preserve">legal status of official currency </w:t>
      </w:r>
      <w:r w:rsidR="00E63887" w:rsidRPr="008B2ED9">
        <w:rPr>
          <w:rFonts w:ascii="Times New Roman" w:hAnsi="Times New Roman"/>
          <w:sz w:val="24"/>
          <w:lang w:val="en-US"/>
        </w:rPr>
        <w:t>does not necessarily imply a</w:t>
      </w:r>
      <w:r w:rsidR="000436D7" w:rsidRPr="008B2ED9">
        <w:rPr>
          <w:rFonts w:ascii="Times New Roman" w:hAnsi="Times New Roman"/>
          <w:sz w:val="24"/>
          <w:lang w:val="en-US"/>
        </w:rPr>
        <w:t xml:space="preserve"> full currency monopoly.</w:t>
      </w:r>
      <w:r w:rsidR="003311D1" w:rsidRPr="008B2ED9">
        <w:rPr>
          <w:rFonts w:ascii="Times New Roman" w:hAnsi="Times New Roman"/>
          <w:sz w:val="24"/>
          <w:lang w:val="en-US"/>
        </w:rPr>
        <w:t xml:space="preserve"> In a world of multiple currencies there are always alternatives available to some extent. </w:t>
      </w:r>
      <w:r w:rsidR="001838E0" w:rsidRPr="008B2ED9">
        <w:rPr>
          <w:rFonts w:ascii="Times New Roman" w:hAnsi="Times New Roman"/>
          <w:sz w:val="24"/>
          <w:lang w:val="en-US"/>
        </w:rPr>
        <w:t xml:space="preserve">The extent of their use depends on the availability and advantages various currencies offer in comparison to available alternatives. </w:t>
      </w:r>
      <w:r w:rsidR="00E826E0" w:rsidRPr="008B2ED9">
        <w:rPr>
          <w:rFonts w:ascii="Times New Roman" w:hAnsi="Times New Roman"/>
          <w:sz w:val="24"/>
          <w:lang w:val="en-US"/>
        </w:rPr>
        <w:t xml:space="preserve">Whenever there </w:t>
      </w:r>
      <w:r w:rsidR="00DB7313" w:rsidRPr="008B2ED9">
        <w:rPr>
          <w:rFonts w:ascii="Times New Roman" w:hAnsi="Times New Roman"/>
          <w:sz w:val="24"/>
          <w:lang w:val="en-US"/>
        </w:rPr>
        <w:t>is</w:t>
      </w:r>
      <w:r w:rsidR="00E826E0" w:rsidRPr="008B2ED9">
        <w:rPr>
          <w:rFonts w:ascii="Times New Roman" w:hAnsi="Times New Roman"/>
          <w:sz w:val="24"/>
          <w:lang w:val="en-US"/>
        </w:rPr>
        <w:t xml:space="preserve"> more than one currency available, c</w:t>
      </w:r>
      <w:r w:rsidR="003311D1" w:rsidRPr="008B2ED9">
        <w:rPr>
          <w:rFonts w:ascii="Times New Roman" w:hAnsi="Times New Roman"/>
          <w:sz w:val="24"/>
          <w:lang w:val="en-US"/>
        </w:rPr>
        <w:t>urrencies must offer advantages to users in order</w:t>
      </w:r>
      <w:r w:rsidR="004B45B1" w:rsidRPr="008B2ED9">
        <w:rPr>
          <w:rFonts w:ascii="Times New Roman" w:hAnsi="Times New Roman"/>
          <w:sz w:val="24"/>
          <w:lang w:val="en-US"/>
        </w:rPr>
        <w:t xml:space="preserve"> </w:t>
      </w:r>
      <w:r w:rsidR="003311D1" w:rsidRPr="008B2ED9">
        <w:rPr>
          <w:rFonts w:ascii="Times New Roman" w:hAnsi="Times New Roman"/>
          <w:sz w:val="24"/>
          <w:lang w:val="en-US"/>
        </w:rPr>
        <w:t>to g</w:t>
      </w:r>
      <w:r w:rsidR="00C75797" w:rsidRPr="008B2ED9">
        <w:rPr>
          <w:rFonts w:ascii="Times New Roman" w:hAnsi="Times New Roman"/>
          <w:sz w:val="24"/>
          <w:lang w:val="en-US"/>
        </w:rPr>
        <w:t xml:space="preserve">ain und uphold their acceptance. </w:t>
      </w:r>
    </w:p>
    <w:p w14:paraId="39A13FFB" w14:textId="10450CF2" w:rsidR="00076410" w:rsidRDefault="00CC74F6" w:rsidP="001A1FBC">
      <w:pPr>
        <w:spacing w:after="240" w:line="276" w:lineRule="auto"/>
        <w:rPr>
          <w:rFonts w:ascii="Times New Roman" w:hAnsi="Times New Roman"/>
          <w:sz w:val="24"/>
          <w:lang w:val="en-US"/>
        </w:rPr>
      </w:pPr>
      <w:r w:rsidRPr="00CC74F6">
        <w:rPr>
          <w:rFonts w:ascii="Times New Roman" w:hAnsi="Times New Roman"/>
          <w:sz w:val="24"/>
          <w:lang w:val="en-US"/>
        </w:rPr>
        <w:t xml:space="preserve">Among the four types of complementarity reviewed above, </w:t>
      </w:r>
      <w:r w:rsidR="00533010">
        <w:rPr>
          <w:rFonts w:ascii="Times New Roman" w:hAnsi="Times New Roman"/>
          <w:sz w:val="24"/>
          <w:lang w:val="en-US"/>
        </w:rPr>
        <w:t>I</w:t>
      </w:r>
      <w:r w:rsidR="00533010" w:rsidRPr="00CC74F6">
        <w:rPr>
          <w:rFonts w:ascii="Times New Roman" w:hAnsi="Times New Roman"/>
          <w:sz w:val="24"/>
          <w:lang w:val="en-US"/>
        </w:rPr>
        <w:t xml:space="preserve"> </w:t>
      </w:r>
      <w:r w:rsidRPr="00CC74F6">
        <w:rPr>
          <w:rFonts w:ascii="Times New Roman" w:hAnsi="Times New Roman"/>
          <w:sz w:val="24"/>
          <w:lang w:val="en-US"/>
        </w:rPr>
        <w:t>identified examples for successes and failures for all types except those based on complementar</w:t>
      </w:r>
      <w:r w:rsidR="00C50900">
        <w:rPr>
          <w:rFonts w:ascii="Times New Roman" w:hAnsi="Times New Roman"/>
          <w:sz w:val="24"/>
          <w:lang w:val="en-US"/>
        </w:rPr>
        <w:t>ity</w:t>
      </w:r>
      <w:r w:rsidRPr="00CC74F6">
        <w:rPr>
          <w:rFonts w:ascii="Times New Roman" w:hAnsi="Times New Roman"/>
          <w:sz w:val="24"/>
          <w:lang w:val="en-US"/>
        </w:rPr>
        <w:t xml:space="preserve"> with respect to specific groups, where no successful example was found.</w:t>
      </w:r>
      <w:r w:rsidRPr="00CC74F6">
        <w:rPr>
          <w:lang w:val="en-US"/>
        </w:rPr>
        <w:t xml:space="preserve"> </w:t>
      </w:r>
      <w:r w:rsidRPr="00CC74F6">
        <w:rPr>
          <w:rFonts w:ascii="Times New Roman" w:hAnsi="Times New Roman"/>
          <w:sz w:val="24"/>
          <w:lang w:val="en-US"/>
        </w:rPr>
        <w:t xml:space="preserve">From the succesful examples, </w:t>
      </w:r>
      <w:r w:rsidR="00B96A5D">
        <w:rPr>
          <w:rFonts w:ascii="Times New Roman" w:hAnsi="Times New Roman"/>
          <w:sz w:val="24"/>
          <w:lang w:val="en-US"/>
        </w:rPr>
        <w:t>I</w:t>
      </w:r>
      <w:r w:rsidR="00B96A5D" w:rsidRPr="00CC74F6">
        <w:rPr>
          <w:rFonts w:ascii="Times New Roman" w:hAnsi="Times New Roman"/>
          <w:sz w:val="24"/>
          <w:lang w:val="en-US"/>
        </w:rPr>
        <w:t xml:space="preserve"> </w:t>
      </w:r>
      <w:r w:rsidRPr="00CC74F6">
        <w:rPr>
          <w:rFonts w:ascii="Times New Roman" w:hAnsi="Times New Roman"/>
          <w:sz w:val="24"/>
          <w:lang w:val="en-US"/>
        </w:rPr>
        <w:t>can infer that CCs can gain traction in two cases. The first case is where they fill a gap left by official currency</w:t>
      </w:r>
      <w:r w:rsidR="00B17C2C">
        <w:rPr>
          <w:rFonts w:ascii="Times New Roman" w:hAnsi="Times New Roman"/>
          <w:sz w:val="24"/>
          <w:lang w:val="en-US"/>
        </w:rPr>
        <w:t xml:space="preserve"> </w:t>
      </w:r>
      <w:r w:rsidR="0044629F">
        <w:rPr>
          <w:rFonts w:ascii="Times New Roman" w:hAnsi="Times New Roman"/>
          <w:sz w:val="24"/>
          <w:lang w:val="en-US"/>
        </w:rPr>
        <w:t>–</w:t>
      </w:r>
      <w:r w:rsidR="00B17C2C">
        <w:rPr>
          <w:rFonts w:ascii="Times New Roman" w:hAnsi="Times New Roman"/>
          <w:sz w:val="24"/>
          <w:lang w:val="en-US"/>
        </w:rPr>
        <w:t xml:space="preserve"> </w:t>
      </w:r>
      <w:r w:rsidRPr="00CC74F6">
        <w:rPr>
          <w:rFonts w:ascii="Times New Roman" w:hAnsi="Times New Roman"/>
          <w:sz w:val="24"/>
          <w:lang w:val="en-US"/>
        </w:rPr>
        <w:t>when there are hurdles to accessing or using official currency despite the presence of potential transactions among solvent transaction partners. In such cases, even currencies inferior to the official currency can gain acceptance due to lack of alternatives (e.g. private currencies issued by employers in remote locations lacking access to official currency). The second case is where CCs can claim exclusivity over specific trades due to various reasons</w:t>
      </w:r>
      <w:r w:rsidR="00F21420">
        <w:rPr>
          <w:rFonts w:ascii="Times New Roman" w:hAnsi="Times New Roman"/>
          <w:sz w:val="24"/>
          <w:lang w:val="en-US"/>
        </w:rPr>
        <w:t>.</w:t>
      </w:r>
      <w:r w:rsidR="00B96A5D">
        <w:rPr>
          <w:rFonts w:ascii="Times New Roman" w:hAnsi="Times New Roman"/>
          <w:sz w:val="24"/>
          <w:lang w:val="en-US"/>
        </w:rPr>
        <w:t xml:space="preserve"> </w:t>
      </w:r>
      <w:r w:rsidR="00F21420">
        <w:rPr>
          <w:rFonts w:ascii="Times New Roman" w:hAnsi="Times New Roman"/>
          <w:sz w:val="24"/>
          <w:lang w:val="en-US"/>
        </w:rPr>
        <w:t>T</w:t>
      </w:r>
      <w:r w:rsidRPr="00CC74F6">
        <w:rPr>
          <w:rFonts w:ascii="Times New Roman" w:hAnsi="Times New Roman"/>
          <w:sz w:val="24"/>
          <w:lang w:val="en-US"/>
        </w:rPr>
        <w:t xml:space="preserve">he currency issuer </w:t>
      </w:r>
      <w:r w:rsidR="00B96A5D">
        <w:rPr>
          <w:rFonts w:ascii="Times New Roman" w:hAnsi="Times New Roman"/>
          <w:sz w:val="24"/>
          <w:lang w:val="en-US"/>
        </w:rPr>
        <w:t>is a</w:t>
      </w:r>
      <w:r w:rsidRPr="00CC74F6">
        <w:rPr>
          <w:rFonts w:ascii="Times New Roman" w:hAnsi="Times New Roman"/>
          <w:sz w:val="24"/>
          <w:lang w:val="en-US"/>
        </w:rPr>
        <w:t xml:space="preserve"> sought after contracting party, accepting only her own currency in payment for goods and services she offers (</w:t>
      </w:r>
      <w:r w:rsidR="00260B01">
        <w:rPr>
          <w:rFonts w:ascii="Times New Roman" w:hAnsi="Times New Roman"/>
          <w:sz w:val="24"/>
          <w:lang w:val="en-US"/>
        </w:rPr>
        <w:t>for example,</w:t>
      </w:r>
      <w:r w:rsidRPr="00CC74F6">
        <w:rPr>
          <w:rFonts w:ascii="Times New Roman" w:hAnsi="Times New Roman"/>
          <w:sz w:val="24"/>
          <w:lang w:val="en-US"/>
        </w:rPr>
        <w:t xml:space="preserve"> in-game currencies sold to users by producers of popular computer games); advantages of cost and/or convenience over official currency in certain transactions (</w:t>
      </w:r>
      <w:r w:rsidR="00C423DE">
        <w:rPr>
          <w:rFonts w:ascii="Times New Roman" w:hAnsi="Times New Roman"/>
          <w:sz w:val="24"/>
          <w:lang w:val="en-US"/>
        </w:rPr>
        <w:t>for example</w:t>
      </w:r>
      <w:r w:rsidRPr="00CC74F6">
        <w:rPr>
          <w:rFonts w:ascii="Times New Roman" w:hAnsi="Times New Roman"/>
          <w:sz w:val="24"/>
          <w:lang w:val="en-US"/>
        </w:rPr>
        <w:t xml:space="preserve"> use of Bitcoin for small denomination online payments and purchase of illicit goods). So CCs seem (at least temporarily) successful in episodes where the official currency is suddenly unavailable in cash, where it is not applicable at all towards the trades concerned or its use is entangled with disadvantages in the transactions concerned. But as the modest success of LETS shows, they fare far less well when exposed to competition with official money.</w:t>
      </w:r>
    </w:p>
    <w:p w14:paraId="7A205201" w14:textId="77777777" w:rsidR="00125EC9" w:rsidRPr="008B2ED9" w:rsidRDefault="00CC74F6" w:rsidP="001A1FBC">
      <w:pPr>
        <w:pStyle w:val="PlainText"/>
        <w:spacing w:before="120" w:after="240" w:line="276" w:lineRule="auto"/>
        <w:rPr>
          <w:rFonts w:ascii="Times New Roman" w:hAnsi="Times New Roman" w:cs="Times New Roman"/>
          <w:b/>
          <w:sz w:val="24"/>
          <w:szCs w:val="24"/>
          <w:lang w:val="en-US"/>
        </w:rPr>
      </w:pPr>
      <w:r w:rsidRPr="00CC74F6">
        <w:rPr>
          <w:rFonts w:ascii="Times New Roman" w:hAnsi="Times New Roman" w:cs="Times New Roman"/>
          <w:sz w:val="24"/>
          <w:szCs w:val="24"/>
          <w:lang w:val="en-US"/>
        </w:rPr>
        <w:t xml:space="preserve">Why is that? Returning to the functions of money introduced above, we can expect a good currency </w:t>
      </w:r>
      <w:r w:rsidR="00BB27A8" w:rsidRPr="00CC74F6">
        <w:rPr>
          <w:rFonts w:ascii="Times New Roman" w:hAnsi="Times New Roman" w:cs="Times New Roman"/>
          <w:sz w:val="24"/>
          <w:szCs w:val="24"/>
          <w:lang w:val="en-US"/>
        </w:rPr>
        <w:t>to exhibit</w:t>
      </w:r>
      <w:r w:rsidRPr="00CC74F6">
        <w:rPr>
          <w:rFonts w:ascii="Times New Roman" w:hAnsi="Times New Roman" w:cs="Times New Roman"/>
          <w:sz w:val="24"/>
          <w:szCs w:val="24"/>
          <w:lang w:val="en-US"/>
        </w:rPr>
        <w:t xml:space="preserve"> the following features: </w:t>
      </w:r>
      <w:r w:rsidR="00BB27A8">
        <w:rPr>
          <w:rFonts w:ascii="Times New Roman" w:hAnsi="Times New Roman" w:cs="Times New Roman"/>
          <w:sz w:val="24"/>
          <w:szCs w:val="24"/>
          <w:lang w:val="en-US"/>
        </w:rPr>
        <w:t>a</w:t>
      </w:r>
      <w:r w:rsidRPr="00CC74F6">
        <w:rPr>
          <w:rFonts w:ascii="Times New Roman" w:hAnsi="Times New Roman" w:cs="Times New Roman"/>
          <w:sz w:val="24"/>
          <w:szCs w:val="24"/>
          <w:lang w:val="en-US"/>
        </w:rPr>
        <w:t xml:space="preserve"> unit of account that covers the broadest possible range of commodities</w:t>
      </w:r>
      <w:r w:rsidR="000E4275">
        <w:rPr>
          <w:rFonts w:ascii="Times New Roman" w:hAnsi="Times New Roman" w:cs="Times New Roman"/>
          <w:sz w:val="24"/>
          <w:szCs w:val="24"/>
          <w:lang w:val="en-US"/>
        </w:rPr>
        <w:t xml:space="preserve"> and </w:t>
      </w:r>
      <w:r w:rsidRPr="00CC74F6">
        <w:rPr>
          <w:rFonts w:ascii="Times New Roman" w:hAnsi="Times New Roman" w:cs="Times New Roman"/>
          <w:sz w:val="24"/>
          <w:szCs w:val="24"/>
          <w:lang w:val="en-US"/>
        </w:rPr>
        <w:t>contracts</w:t>
      </w:r>
      <w:r w:rsidR="008B4154">
        <w:rPr>
          <w:rFonts w:ascii="Times New Roman" w:hAnsi="Times New Roman" w:cs="Times New Roman"/>
          <w:sz w:val="24"/>
          <w:szCs w:val="24"/>
          <w:lang w:val="en-US"/>
        </w:rPr>
        <w:t>, thereby</w:t>
      </w:r>
      <w:r w:rsidR="00BB27A8">
        <w:rPr>
          <w:rFonts w:ascii="Times New Roman" w:hAnsi="Times New Roman" w:cs="Times New Roman"/>
          <w:sz w:val="24"/>
          <w:szCs w:val="24"/>
          <w:lang w:val="en-US"/>
        </w:rPr>
        <w:t xml:space="preserve"> </w:t>
      </w:r>
      <w:r w:rsidRPr="00CC74F6">
        <w:rPr>
          <w:rFonts w:ascii="Times New Roman" w:hAnsi="Times New Roman" w:cs="Times New Roman"/>
          <w:sz w:val="24"/>
          <w:szCs w:val="24"/>
          <w:lang w:val="en-US"/>
        </w:rPr>
        <w:t>enabl</w:t>
      </w:r>
      <w:r w:rsidR="008B4154">
        <w:rPr>
          <w:rFonts w:ascii="Times New Roman" w:hAnsi="Times New Roman" w:cs="Times New Roman"/>
          <w:sz w:val="24"/>
          <w:szCs w:val="24"/>
          <w:lang w:val="en-US"/>
        </w:rPr>
        <w:t>ing</w:t>
      </w:r>
      <w:r w:rsidRPr="00CC74F6">
        <w:rPr>
          <w:rFonts w:ascii="Times New Roman" w:hAnsi="Times New Roman" w:cs="Times New Roman"/>
          <w:sz w:val="24"/>
          <w:szCs w:val="24"/>
          <w:lang w:val="en-US"/>
        </w:rPr>
        <w:t xml:space="preserve"> consumers to compare prices </w:t>
      </w:r>
      <w:r w:rsidR="000E4275">
        <w:rPr>
          <w:rFonts w:ascii="Times New Roman" w:hAnsi="Times New Roman" w:cs="Times New Roman"/>
          <w:sz w:val="24"/>
          <w:szCs w:val="24"/>
          <w:lang w:val="en-US"/>
        </w:rPr>
        <w:t>to</w:t>
      </w:r>
      <w:r w:rsidR="000E4275" w:rsidRPr="00CC74F6">
        <w:rPr>
          <w:rFonts w:ascii="Times New Roman" w:hAnsi="Times New Roman" w:cs="Times New Roman"/>
          <w:sz w:val="24"/>
          <w:szCs w:val="24"/>
          <w:lang w:val="en-US"/>
        </w:rPr>
        <w:t xml:space="preserve"> </w:t>
      </w:r>
      <w:r w:rsidRPr="00CC74F6">
        <w:rPr>
          <w:rFonts w:ascii="Times New Roman" w:hAnsi="Times New Roman" w:cs="Times New Roman"/>
          <w:sz w:val="24"/>
          <w:szCs w:val="24"/>
          <w:lang w:val="en-US"/>
        </w:rPr>
        <w:t xml:space="preserve">get the best deal. That is a central reasoning behind the introduction </w:t>
      </w:r>
      <w:r w:rsidR="00547B8F" w:rsidRPr="00CC74F6">
        <w:rPr>
          <w:rFonts w:ascii="Times New Roman" w:hAnsi="Times New Roman" w:cs="Times New Roman"/>
          <w:sz w:val="24"/>
          <w:szCs w:val="24"/>
          <w:lang w:val="en-US"/>
        </w:rPr>
        <w:t>of the</w:t>
      </w:r>
      <w:r w:rsidRPr="00CC74F6">
        <w:rPr>
          <w:rFonts w:ascii="Times New Roman" w:hAnsi="Times New Roman" w:cs="Times New Roman"/>
          <w:sz w:val="24"/>
          <w:szCs w:val="24"/>
          <w:lang w:val="en-US"/>
        </w:rPr>
        <w:t xml:space="preserve"> Euro as common currency for the European Community’s common market</w:t>
      </w:r>
      <w:r w:rsidR="00FB1D9D">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 </w:t>
      </w:r>
      <w:r w:rsidR="00FB1D9D">
        <w:rPr>
          <w:rFonts w:ascii="Times New Roman" w:hAnsi="Times New Roman" w:cs="Times New Roman"/>
          <w:sz w:val="24"/>
          <w:szCs w:val="24"/>
          <w:lang w:val="en-US"/>
        </w:rPr>
        <w:t>p</w:t>
      </w:r>
      <w:r w:rsidRPr="00CC74F6">
        <w:rPr>
          <w:rFonts w:ascii="Times New Roman" w:hAnsi="Times New Roman" w:cs="Times New Roman"/>
          <w:sz w:val="24"/>
          <w:szCs w:val="24"/>
          <w:lang w:val="en-US"/>
        </w:rPr>
        <w:t>rices in Spain and Finland can now be compared without having to confront conversion rates, conversion costs and fluctuating exchange rates.</w:t>
      </w:r>
    </w:p>
    <w:p w14:paraId="44F6D7B0" w14:textId="77777777" w:rsidR="004716D7"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Concerning the means of payment and store of value function, we can expect users to choose a currency which is as widely accepted as possible, and which can best be expected to keep its value over time, making it also the most liquid store of value (at least for short periods of time).</w:t>
      </w:r>
    </w:p>
    <w:p w14:paraId="4CBD675C" w14:textId="77777777" w:rsidR="000436D7"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The features described above imply that, if several currencies offer the same access to goods and services, it would be inefficient for users to use all or many of them in parallel unless they can be considered perfect equivalents (sharing the same unit of account and credibly keeping par relationship among each other). If different currency issuers offer different units of account, currency competition will ensue. If faced with a choice among competing currencies, a currency user has to form expectations about the behavior of two </w:t>
      </w:r>
      <w:r w:rsidR="009C3E5B">
        <w:rPr>
          <w:rFonts w:ascii="Times New Roman" w:hAnsi="Times New Roman" w:cs="Times New Roman"/>
          <w:sz w:val="24"/>
          <w:szCs w:val="24"/>
          <w:lang w:val="en-US"/>
        </w:rPr>
        <w:t>(</w:t>
      </w:r>
      <w:r w:rsidRPr="00CC74F6">
        <w:rPr>
          <w:rFonts w:ascii="Times New Roman" w:hAnsi="Times New Roman" w:cs="Times New Roman"/>
          <w:sz w:val="24"/>
          <w:szCs w:val="24"/>
          <w:lang w:val="en-US"/>
        </w:rPr>
        <w:t>groups of) actors</w:t>
      </w:r>
      <w:r w:rsidR="009C3E5B">
        <w:rPr>
          <w:rFonts w:ascii="Times New Roman" w:hAnsi="Times New Roman" w:cs="Times New Roman"/>
          <w:sz w:val="24"/>
          <w:szCs w:val="24"/>
          <w:lang w:val="en-US"/>
        </w:rPr>
        <w:t>,</w:t>
      </w:r>
      <w:r w:rsidR="009C1D25">
        <w:rPr>
          <w:rFonts w:ascii="Times New Roman" w:hAnsi="Times New Roman" w:cs="Times New Roman"/>
          <w:sz w:val="24"/>
          <w:szCs w:val="24"/>
          <w:lang w:val="en-US"/>
        </w:rPr>
        <w:t xml:space="preserve"> </w:t>
      </w:r>
      <w:r w:rsidR="009C3E5B">
        <w:rPr>
          <w:rFonts w:ascii="Times New Roman" w:hAnsi="Times New Roman" w:cs="Times New Roman"/>
          <w:sz w:val="24"/>
          <w:szCs w:val="24"/>
          <w:lang w:val="en-US"/>
        </w:rPr>
        <w:t>t</w:t>
      </w:r>
      <w:r w:rsidRPr="00CC74F6">
        <w:rPr>
          <w:rFonts w:ascii="Times New Roman" w:hAnsi="Times New Roman" w:cs="Times New Roman"/>
          <w:sz w:val="24"/>
          <w:szCs w:val="24"/>
          <w:lang w:val="en-US"/>
        </w:rPr>
        <w:t xml:space="preserve">he issuer and other users. </w:t>
      </w:r>
      <w:r w:rsidRPr="00CC74F6">
        <w:rPr>
          <w:rFonts w:ascii="Times New Roman" w:hAnsi="Times New Roman"/>
          <w:sz w:val="24"/>
          <w:szCs w:val="24"/>
          <w:lang w:val="en-US"/>
        </w:rPr>
        <w:t>Currencies can be conceived as networks comparable to telephone networks</w:t>
      </w:r>
      <w:r w:rsidR="0044629F">
        <w:rPr>
          <w:rFonts w:ascii="Times New Roman" w:hAnsi="Times New Roman" w:cs="Times New Roman"/>
          <w:sz w:val="24"/>
          <w:szCs w:val="24"/>
          <w:lang w:val="en-US"/>
        </w:rPr>
        <w:t>–</w:t>
      </w:r>
      <w:r w:rsidRPr="00CC74F6">
        <w:rPr>
          <w:rFonts w:ascii="Times New Roman" w:hAnsi="Times New Roman"/>
          <w:sz w:val="24"/>
          <w:szCs w:val="24"/>
          <w:lang w:val="en-US"/>
        </w:rPr>
        <w:t xml:space="preserve">the benefits of using a specific currency for each individual grows with the service quality of the network and the number of participants. If one among several competing networks of comparable quality succeeds in reaching a critical mass of initial users, they will soon achieve a position that is very hard to contest by competitors. </w:t>
      </w:r>
      <w:r w:rsidRPr="00CC74F6">
        <w:rPr>
          <w:rFonts w:ascii="Times New Roman" w:hAnsi="Times New Roman" w:cs="Times New Roman"/>
          <w:sz w:val="24"/>
          <w:szCs w:val="24"/>
          <w:lang w:val="en-US"/>
        </w:rPr>
        <w:t>If there are competing value standards, we can expect people to prefer the standard which holds its value over at least shorter periods of time and which covers the most (and the most attractive) goods and services. The possibility and credibility of the issuer to assure the quality of a currency, and the likelihood of other users adopting it are therefore decisive features in currency network competition</w:t>
      </w:r>
      <w:r w:rsidR="00AD1416">
        <w:rPr>
          <w:rFonts w:ascii="Times New Roman" w:hAnsi="Times New Roman" w:cs="Times New Roman"/>
          <w:sz w:val="24"/>
          <w:szCs w:val="24"/>
          <w:lang w:val="en-US"/>
        </w:rPr>
        <w:t>.</w:t>
      </w:r>
      <w:r w:rsidR="009C3E5B">
        <w:rPr>
          <w:rStyle w:val="FootnoteReference"/>
          <w:rFonts w:ascii="Times New Roman" w:hAnsi="Times New Roman" w:cs="Times New Roman"/>
          <w:sz w:val="24"/>
          <w:szCs w:val="24"/>
          <w:lang w:val="en-US"/>
        </w:rPr>
        <w:footnoteReference w:id="21"/>
      </w:r>
    </w:p>
    <w:p w14:paraId="193307E5" w14:textId="77777777" w:rsidR="001A1FBC" w:rsidRPr="008B2ED9" w:rsidRDefault="001A1FBC" w:rsidP="001A1FBC">
      <w:pPr>
        <w:pStyle w:val="Heading3"/>
        <w:rPr>
          <w:lang w:val="en-US"/>
        </w:rPr>
      </w:pPr>
    </w:p>
    <w:p w14:paraId="55C29D01" w14:textId="77777777" w:rsidR="00076410" w:rsidRPr="009C3E5B" w:rsidRDefault="00B86463" w:rsidP="001A1FBC">
      <w:pPr>
        <w:pStyle w:val="Heading3"/>
        <w:rPr>
          <w:lang w:val="en-US"/>
        </w:rPr>
      </w:pPr>
      <w:r w:rsidRPr="00B86463">
        <w:rPr>
          <w:lang w:val="en-US"/>
        </w:rPr>
        <w:t>The Role of the Issuer</w:t>
      </w:r>
    </w:p>
    <w:p w14:paraId="260E0DC6" w14:textId="77777777" w:rsidR="000436D7"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The issuer can promote the acceptance of its currency by offering contracts (concerning goods, services or liabilities) in high demand among potential users against payment of its own currency, and by credibly promising to stabilize the purchasing power of the currency over time. </w:t>
      </w:r>
    </w:p>
    <w:p w14:paraId="043339AD" w14:textId="1392E8A1" w:rsidR="009910C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How is the stability of money’s purchasing power assured? Money issuers have used different mechanisms to signal a commitment towards future stability. The choice depends on the available options and various political economy considerations. Historically, in uncertain times characterized by war, shifting political authorities and general mistrust, precious metal has been used as monetary base. In the 20th century, after the consolidation of national states and currencies, and the democratization of states, it has been possible to decouple the issuance of money from metal backing. Checks a</w:t>
      </w:r>
      <w:r w:rsidR="00B17C2C">
        <w:rPr>
          <w:rFonts w:ascii="Times New Roman" w:hAnsi="Times New Roman"/>
          <w:sz w:val="24"/>
          <w:lang w:val="en-US"/>
        </w:rPr>
        <w:t>nd balances against irresponsible</w:t>
      </w:r>
      <w:r w:rsidRPr="00CC74F6">
        <w:rPr>
          <w:rFonts w:ascii="Times New Roman" w:hAnsi="Times New Roman"/>
          <w:sz w:val="24"/>
          <w:lang w:val="en-US"/>
        </w:rPr>
        <w:t xml:space="preserve"> monetary practice now seem in many cases to be sufficient to stabilize expectations that ensure trust in unbacked currencies. That was considered a welcome development, because stabilization of purchasing power in a dynamic economy characterized by permanent change requires permanent adjustment by the issuer. Under such circumstances, tying currency issuance to some scarce metal has inconveniences. It takes away the flexibility to adjust the means of payment to the needs of a growing economy. Without that restriction, stability with respect towards metallic reserves in the vault of monetary authorities makes way for the more useful notion of stability with respect to the evolving development of the economy, i.e. stability in terms of purchasing power. Such stability can be expec</w:t>
      </w:r>
      <w:r w:rsidR="00B17C2C">
        <w:rPr>
          <w:rFonts w:ascii="Times New Roman" w:hAnsi="Times New Roman"/>
          <w:sz w:val="24"/>
          <w:lang w:val="en-US"/>
        </w:rPr>
        <w:t xml:space="preserve">ted over the short term only, </w:t>
      </w:r>
      <w:r w:rsidRPr="00CC74F6">
        <w:rPr>
          <w:rFonts w:ascii="Times New Roman" w:hAnsi="Times New Roman"/>
          <w:sz w:val="24"/>
          <w:lang w:val="en-US"/>
        </w:rPr>
        <w:t xml:space="preserve">though. Over the longer term, rarely any currency in the 20th century has kept constant purchasing power. This is not a defect, because a functioning economy is not well served by too much encouragement for storing wealth in cash </w:t>
      </w:r>
      <w:r w:rsidR="009C3E5B">
        <w:rPr>
          <w:rFonts w:ascii="Times New Roman" w:hAnsi="Times New Roman"/>
          <w:sz w:val="24"/>
          <w:lang w:val="en-US"/>
        </w:rPr>
        <w:t>over</w:t>
      </w:r>
      <w:r w:rsidR="009C3E5B" w:rsidRPr="00CC74F6">
        <w:rPr>
          <w:rFonts w:ascii="Times New Roman" w:hAnsi="Times New Roman"/>
          <w:sz w:val="24"/>
          <w:lang w:val="en-US"/>
        </w:rPr>
        <w:t xml:space="preserve"> </w:t>
      </w:r>
      <w:r w:rsidRPr="00CC74F6">
        <w:rPr>
          <w:rFonts w:ascii="Times New Roman" w:hAnsi="Times New Roman"/>
          <w:sz w:val="24"/>
          <w:lang w:val="en-US"/>
        </w:rPr>
        <w:t>longer periods. Instead, it requires people to invest their savings either directly in business enterprises or indirectly via financial intermediaries in order to stimulate economic activity. So over the long term, inflation must be low enough to prevent users from searching out alternative currencies, and high enough in order to encourage the accumulation of wealth by investing instead of hoarding cash.</w:t>
      </w:r>
    </w:p>
    <w:p w14:paraId="5AAF25FC" w14:textId="44B34949" w:rsidR="00CB1A29"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In industrialized countries, central banks steer the provision of cash and its electronic substitutes by the financial system according to public mandates.</w:t>
      </w:r>
      <w:r w:rsidR="00B17C2C">
        <w:rPr>
          <w:rFonts w:ascii="Times New Roman" w:hAnsi="Times New Roman" w:cs="Times New Roman"/>
          <w:sz w:val="24"/>
          <w:szCs w:val="24"/>
          <w:lang w:val="en-US"/>
        </w:rPr>
        <w:t xml:space="preserve"> </w:t>
      </w:r>
      <w:r w:rsidRPr="00CC74F6">
        <w:rPr>
          <w:rFonts w:ascii="Times New Roman" w:hAnsi="Times New Roman" w:cs="Times New Roman"/>
          <w:sz w:val="24"/>
          <w:szCs w:val="24"/>
          <w:lang w:val="en-US"/>
        </w:rPr>
        <w:t>The ability to stabilize complementary currenc</w:t>
      </w:r>
      <w:r w:rsidR="009C1D25">
        <w:rPr>
          <w:rFonts w:ascii="Times New Roman" w:hAnsi="Times New Roman" w:cs="Times New Roman"/>
          <w:sz w:val="24"/>
          <w:szCs w:val="24"/>
          <w:lang w:val="en-US"/>
        </w:rPr>
        <w:t>ies</w:t>
      </w:r>
      <w:r w:rsidRPr="00CC74F6">
        <w:rPr>
          <w:rFonts w:ascii="Times New Roman" w:hAnsi="Times New Roman" w:cs="Times New Roman"/>
          <w:sz w:val="24"/>
          <w:szCs w:val="24"/>
          <w:lang w:val="en-US"/>
        </w:rPr>
        <w:t xml:space="preserve"> depends on their issuing principles. In regional currency arrangements, issuing </w:t>
      </w:r>
      <w:r w:rsidR="009C1D25">
        <w:rPr>
          <w:rFonts w:ascii="Times New Roman" w:hAnsi="Times New Roman" w:cs="Times New Roman"/>
          <w:sz w:val="24"/>
          <w:szCs w:val="24"/>
          <w:lang w:val="en-US"/>
        </w:rPr>
        <w:t xml:space="preserve">1:1 </w:t>
      </w:r>
      <w:r w:rsidRPr="00CC74F6">
        <w:rPr>
          <w:rFonts w:ascii="Times New Roman" w:hAnsi="Times New Roman" w:cs="Times New Roman"/>
          <w:sz w:val="24"/>
          <w:szCs w:val="24"/>
          <w:lang w:val="en-US"/>
        </w:rPr>
        <w:t>against official currency is common. In mutual credit clearing arrangements, credit is issued in the process of exchange against supply of goods and services. Other concepts envisage backing by natural resources. In order to assist in stabili</w:t>
      </w:r>
      <w:r w:rsidR="00AD67CA">
        <w:rPr>
          <w:rFonts w:ascii="Times New Roman" w:hAnsi="Times New Roman" w:cs="Times New Roman"/>
          <w:sz w:val="24"/>
          <w:szCs w:val="24"/>
          <w:lang w:val="en-US"/>
        </w:rPr>
        <w:t>z</w:t>
      </w:r>
      <w:r w:rsidRPr="00CC74F6">
        <w:rPr>
          <w:rFonts w:ascii="Times New Roman" w:hAnsi="Times New Roman" w:cs="Times New Roman"/>
          <w:sz w:val="24"/>
          <w:szCs w:val="24"/>
          <w:lang w:val="en-US"/>
        </w:rPr>
        <w:t>ing their currency’s value, many complementary currency issuers try to restrict the formation of a private market where units of complementary currencies could be sold at a discount against official currency</w:t>
      </w:r>
      <w:r w:rsidR="009B234A">
        <w:rPr>
          <w:rFonts w:ascii="Times New Roman" w:hAnsi="Times New Roman" w:cs="Times New Roman"/>
          <w:sz w:val="24"/>
          <w:szCs w:val="24"/>
          <w:lang w:val="en-US"/>
        </w:rPr>
        <w:t xml:space="preserve">. </w:t>
      </w:r>
      <w:r w:rsidRPr="00CC74F6">
        <w:rPr>
          <w:rFonts w:ascii="Times New Roman" w:hAnsi="Times New Roman" w:cs="Times New Roman"/>
          <w:sz w:val="24"/>
          <w:szCs w:val="24"/>
          <w:lang w:val="en-US"/>
        </w:rPr>
        <w:t xml:space="preserve">The disadvantage of such </w:t>
      </w:r>
      <w:r w:rsidR="009C1D25">
        <w:rPr>
          <w:rFonts w:ascii="Times New Roman" w:hAnsi="Times New Roman" w:cs="Times New Roman"/>
          <w:sz w:val="24"/>
          <w:szCs w:val="24"/>
          <w:lang w:val="en-US"/>
        </w:rPr>
        <w:t>a restriction</w:t>
      </w:r>
      <w:r w:rsidRPr="00CC74F6">
        <w:rPr>
          <w:rFonts w:ascii="Times New Roman" w:hAnsi="Times New Roman" w:cs="Times New Roman"/>
          <w:sz w:val="24"/>
          <w:szCs w:val="24"/>
          <w:lang w:val="en-US"/>
        </w:rPr>
        <w:t xml:space="preserve"> is that the lack of ability to get out of the currency can deter potential users to get in in the first place. The co</w:t>
      </w:r>
      <w:r w:rsidR="00F21420">
        <w:rPr>
          <w:rFonts w:ascii="Times New Roman" w:hAnsi="Times New Roman" w:cs="Times New Roman"/>
          <w:sz w:val="24"/>
          <w:szCs w:val="24"/>
          <w:lang w:val="en-US"/>
        </w:rPr>
        <w:t>ncept of Bitcoin is different. B</w:t>
      </w:r>
      <w:r w:rsidRPr="00CC74F6">
        <w:rPr>
          <w:rFonts w:ascii="Times New Roman" w:hAnsi="Times New Roman" w:cs="Times New Roman"/>
          <w:sz w:val="24"/>
          <w:szCs w:val="24"/>
          <w:lang w:val="en-US"/>
        </w:rPr>
        <w:t>ased on a unit of account without any stable reference towards another currency or some sort of backing, its supply is subject to an arbitrary upper limit to be reached over time. When the number of users grows, its value in terms of other currencies can be expected to grow</w:t>
      </w:r>
      <w:r w:rsidR="009B234A">
        <w:rPr>
          <w:rFonts w:ascii="Times New Roman" w:hAnsi="Times New Roman" w:cs="Times New Roman"/>
          <w:sz w:val="24"/>
          <w:szCs w:val="24"/>
          <w:lang w:val="en-US"/>
        </w:rPr>
        <w:t xml:space="preserve"> </w:t>
      </w:r>
      <w:r w:rsidR="00B17C2C">
        <w:rPr>
          <w:rFonts w:ascii="Times New Roman" w:hAnsi="Times New Roman"/>
          <w:sz w:val="24"/>
          <w:lang w:val="en-US"/>
        </w:rPr>
        <w:t xml:space="preserve">– </w:t>
      </w:r>
      <w:r w:rsidRPr="00CC74F6">
        <w:rPr>
          <w:rFonts w:ascii="Times New Roman" w:hAnsi="Times New Roman" w:cs="Times New Roman"/>
          <w:sz w:val="24"/>
          <w:szCs w:val="24"/>
          <w:lang w:val="en-US"/>
        </w:rPr>
        <w:t>that’s the signal Bitcoin wants to send to potential users</w:t>
      </w:r>
      <w:r w:rsidR="009C1D25">
        <w:rPr>
          <w:rFonts w:ascii="Times New Roman" w:hAnsi="Times New Roman" w:cs="Times New Roman"/>
          <w:sz w:val="24"/>
          <w:szCs w:val="24"/>
          <w:lang w:val="en-US"/>
        </w:rPr>
        <w:t xml:space="preserve"> in order to attract them</w:t>
      </w:r>
      <w:r w:rsidRPr="00CC74F6">
        <w:rPr>
          <w:rFonts w:ascii="Times New Roman" w:hAnsi="Times New Roman" w:cs="Times New Roman"/>
          <w:sz w:val="24"/>
          <w:szCs w:val="24"/>
          <w:lang w:val="en-US"/>
        </w:rPr>
        <w:t>. The currency</w:t>
      </w:r>
      <w:r w:rsidR="00112422">
        <w:rPr>
          <w:rFonts w:ascii="Times New Roman" w:hAnsi="Times New Roman" w:cs="Times New Roman"/>
          <w:sz w:val="24"/>
          <w:szCs w:val="24"/>
          <w:lang w:val="en-US"/>
        </w:rPr>
        <w:t>’</w:t>
      </w:r>
      <w:r w:rsidRPr="00CC74F6">
        <w:rPr>
          <w:rFonts w:ascii="Times New Roman" w:hAnsi="Times New Roman" w:cs="Times New Roman"/>
          <w:sz w:val="24"/>
          <w:szCs w:val="24"/>
          <w:lang w:val="en-US"/>
        </w:rPr>
        <w:t>s purchasing power is completely determined by supply and demand in private currency markets. The resulting volatility of its exchange rate with other currencies makes for an interesting speculative object, but is detrimental for being used as unit of account and means of payment, two of the central functions of money.</w:t>
      </w:r>
    </w:p>
    <w:p w14:paraId="0C510FAA" w14:textId="77777777" w:rsidR="00CD4A4B"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Many CCs offer design features that depart from those of established currencies, and which would become operational once CCs are in circulation. The problem is that many such features (e.g. automatic loss of value over time, limited acceptability etc.) prevent such CCs to become accepted by users in the first place. While Bitcoin is quite unique among CCs in having strong features to attract users (i.e. the promise of value appreciation), its design is oblivious to the fact that precisely these features make its use as money unattractive.</w:t>
      </w:r>
    </w:p>
    <w:p w14:paraId="1CD29B71" w14:textId="4AEFBA9A" w:rsidR="00CD4A4B"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Sharing the same unit of account with the official currency can increase chances of a CC’s acceptance (because it then benefits from the price system established under the main currency). Convertibility with the official currency also does (because having the exit option reduces the odds of entry</w:t>
      </w:r>
      <w:r w:rsidR="00DF4C80">
        <w:rPr>
          <w:rFonts w:ascii="Times New Roman" w:hAnsi="Times New Roman"/>
          <w:sz w:val="24"/>
          <w:lang w:val="en-US"/>
        </w:rPr>
        <w:t xml:space="preserve"> for users</w:t>
      </w:r>
      <w:r w:rsidRPr="00CC74F6">
        <w:rPr>
          <w:rFonts w:ascii="Times New Roman" w:hAnsi="Times New Roman"/>
          <w:sz w:val="24"/>
          <w:lang w:val="en-US"/>
        </w:rPr>
        <w:t>), but limits autonomy in issuance because the latter has to operate under the constraint of keeping par relati</w:t>
      </w:r>
      <w:r w:rsidR="00C11154">
        <w:rPr>
          <w:rFonts w:ascii="Times New Roman" w:hAnsi="Times New Roman"/>
          <w:sz w:val="24"/>
          <w:lang w:val="en-US"/>
        </w:rPr>
        <w:t>onship with official currency.</w:t>
      </w:r>
      <w:r w:rsidR="005D19AC">
        <w:rPr>
          <w:rFonts w:ascii="Times New Roman" w:hAnsi="Times New Roman"/>
          <w:sz w:val="24"/>
          <w:lang w:val="en-US"/>
        </w:rPr>
        <w:t xml:space="preserve"> T</w:t>
      </w:r>
      <w:r w:rsidRPr="00CC74F6">
        <w:rPr>
          <w:rFonts w:ascii="Times New Roman" w:hAnsi="Times New Roman"/>
          <w:sz w:val="24"/>
          <w:lang w:val="en-US"/>
        </w:rPr>
        <w:t xml:space="preserve">he issuer must be able to always redeem the CC in official money 1:1. Still, issuers of payment media in the official unit of account must offer some adavantage to users in order to actually get acceptance. For instance, paying by bank deposit transfer instead of cash offers advantages in large value payments (because </w:t>
      </w:r>
      <w:r w:rsidR="00B17C2C">
        <w:rPr>
          <w:rFonts w:ascii="Times New Roman" w:hAnsi="Times New Roman"/>
          <w:sz w:val="24"/>
          <w:lang w:val="en-US"/>
        </w:rPr>
        <w:t>the alternative –</w:t>
      </w:r>
      <w:r w:rsidR="00DF4C80">
        <w:rPr>
          <w:rFonts w:ascii="Times New Roman" w:hAnsi="Times New Roman"/>
          <w:sz w:val="24"/>
          <w:lang w:val="en-US"/>
        </w:rPr>
        <w:t xml:space="preserve"> </w:t>
      </w:r>
      <w:r w:rsidRPr="00CC74F6">
        <w:rPr>
          <w:rFonts w:ascii="Times New Roman" w:hAnsi="Times New Roman"/>
          <w:sz w:val="24"/>
          <w:lang w:val="en-US"/>
        </w:rPr>
        <w:t xml:space="preserve">carrying around a suitcase full of cash </w:t>
      </w:r>
      <w:r w:rsidR="00B17C2C">
        <w:rPr>
          <w:rFonts w:ascii="Times New Roman" w:hAnsi="Times New Roman"/>
          <w:sz w:val="24"/>
          <w:lang w:val="en-US"/>
        </w:rPr>
        <w:t>–</w:t>
      </w:r>
      <w:r w:rsidR="00DF4C80">
        <w:rPr>
          <w:rFonts w:ascii="Times New Roman" w:hAnsi="Times New Roman"/>
          <w:sz w:val="24"/>
          <w:lang w:val="en-US"/>
        </w:rPr>
        <w:t xml:space="preserve"> </w:t>
      </w:r>
      <w:r w:rsidRPr="00CC74F6">
        <w:rPr>
          <w:rFonts w:ascii="Times New Roman" w:hAnsi="Times New Roman"/>
          <w:sz w:val="24"/>
          <w:lang w:val="en-US"/>
        </w:rPr>
        <w:t>is inconvenient and risky) and in transactions where buyer and seller do not physically meet.</w:t>
      </w:r>
    </w:p>
    <w:p w14:paraId="56A1F7BF" w14:textId="1DF8AC81" w:rsidR="00CD4A4B" w:rsidRDefault="00CC74F6" w:rsidP="001A1FBC">
      <w:pPr>
        <w:spacing w:after="240" w:line="276" w:lineRule="auto"/>
        <w:rPr>
          <w:rFonts w:ascii="Times New Roman" w:hAnsi="Times New Roman"/>
          <w:sz w:val="24"/>
          <w:lang w:val="en-US"/>
        </w:rPr>
      </w:pPr>
      <w:r w:rsidRPr="00CC74F6">
        <w:rPr>
          <w:rFonts w:ascii="Times New Roman" w:hAnsi="Times New Roman"/>
          <w:sz w:val="24"/>
          <w:lang w:val="en-US"/>
        </w:rPr>
        <w:t xml:space="preserve">Having a different unit of account than the official currency (like Bitcoin does) creates barriers between currencies, as their exchange rate can be subject to significant fluctuations. The risks associated with the latter feature is a </w:t>
      </w:r>
      <w:r w:rsidR="00B17C2C">
        <w:rPr>
          <w:rFonts w:ascii="Times New Roman" w:hAnsi="Times New Roman"/>
          <w:sz w:val="24"/>
          <w:lang w:val="en-US"/>
        </w:rPr>
        <w:t>user deterrent unless the CC</w:t>
      </w:r>
      <w:r w:rsidR="00112422">
        <w:rPr>
          <w:rFonts w:ascii="Times New Roman" w:hAnsi="Times New Roman"/>
          <w:sz w:val="24"/>
          <w:lang w:val="en-US"/>
        </w:rPr>
        <w:t>’</w:t>
      </w:r>
      <w:r w:rsidR="00B17C2C">
        <w:rPr>
          <w:rFonts w:ascii="Times New Roman" w:hAnsi="Times New Roman"/>
          <w:sz w:val="24"/>
          <w:lang w:val="en-US"/>
        </w:rPr>
        <w:t>s</w:t>
      </w:r>
      <w:r w:rsidRPr="00CC74F6">
        <w:rPr>
          <w:rFonts w:ascii="Times New Roman" w:hAnsi="Times New Roman"/>
          <w:sz w:val="24"/>
          <w:lang w:val="en-US"/>
        </w:rPr>
        <w:t xml:space="preserve"> unit of account can lay exclusive claim on sought after commodities.</w:t>
      </w:r>
    </w:p>
    <w:p w14:paraId="1EAA2EFC" w14:textId="77777777" w:rsidR="001A1FBC" w:rsidRPr="008B2ED9" w:rsidRDefault="001A1FBC" w:rsidP="001A1FBC">
      <w:pPr>
        <w:spacing w:after="240" w:line="276" w:lineRule="auto"/>
        <w:rPr>
          <w:rFonts w:ascii="Times New Roman" w:hAnsi="Times New Roman"/>
          <w:sz w:val="24"/>
          <w:lang w:val="en-US"/>
        </w:rPr>
      </w:pPr>
    </w:p>
    <w:p w14:paraId="01D92FCD" w14:textId="77777777" w:rsidR="00076410" w:rsidRPr="00112422" w:rsidRDefault="00B86463" w:rsidP="001A1FBC">
      <w:pPr>
        <w:pStyle w:val="Heading3"/>
        <w:rPr>
          <w:lang w:val="en-US"/>
        </w:rPr>
      </w:pPr>
      <w:r w:rsidRPr="00B86463">
        <w:rPr>
          <w:lang w:val="en-US"/>
        </w:rPr>
        <w:t>What Currency Users Expect</w:t>
      </w:r>
    </w:p>
    <w:p w14:paraId="040B6C12" w14:textId="77777777" w:rsidR="00AF6883"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Apart from the issuer, the behavior of other users is decisive for individual decision making about whether to accept a certain currency. Will I be able to spend the money received for something I want to buy at a later date? Only if an individual user can expect that a significant number of her potential transaction partners will accept that currency for payment of goods, services and liabilities, she will be prepared to accept that currency herself.</w:t>
      </w:r>
    </w:p>
    <w:p w14:paraId="453DA28B" w14:textId="77777777" w:rsidR="00844A8F" w:rsidRPr="008B2ED9" w:rsidRDefault="00CC74F6" w:rsidP="001A1FBC">
      <w:pPr>
        <w:pStyle w:val="PlainText"/>
        <w:spacing w:before="120" w:after="240" w:line="276" w:lineRule="auto"/>
        <w:rPr>
          <w:lang w:val="en-US"/>
        </w:rPr>
      </w:pPr>
      <w:r w:rsidRPr="00CC74F6">
        <w:rPr>
          <w:rFonts w:ascii="Times New Roman" w:hAnsi="Times New Roman" w:cs="Times New Roman"/>
          <w:sz w:val="24"/>
          <w:szCs w:val="24"/>
          <w:lang w:val="en-US"/>
        </w:rPr>
        <w:t>Among users, some are more important than others. Users offering contracts in high demand by other users make a more significant contribution to the attractiveness of the network than others when switching to the network</w:t>
      </w:r>
      <w:r w:rsidR="00340E48">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s unit of account. If one groceries shopkeeper accepts a certain currency in payment, that is a higher contribution to the attractiveness of the currency in question than the willingness to accept of ten of my neighbors who have no specific supplies to offer. In other words, a network’s attractiveness consists in the kind and range of goods, services and debt contracts it allows access to, and the conditions under which a currency offers this access (i.e. evolution of purchasing power, and transaction costs related to making payments in that currency). </w:t>
      </w:r>
    </w:p>
    <w:p w14:paraId="68917B36" w14:textId="77777777" w:rsidR="00844A8F"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The modern state is in most cases succesful in issuing its own currency and having it accepted, not due to its monopoly of force, but because it is usually the single biggest economic entity in the economy and it collects taxes on economic activity to finance public services. By accepting exclusively the sovereign currency in tax payments, states create a substantial demand for their own money</w:t>
      </w:r>
      <w:r w:rsidR="00836F36">
        <w:rPr>
          <w:rFonts w:ascii="Times New Roman" w:hAnsi="Times New Roman"/>
          <w:sz w:val="24"/>
          <w:lang w:val="en-US"/>
        </w:rPr>
        <w:t>.</w:t>
      </w:r>
      <w:r w:rsidRPr="00CC74F6">
        <w:rPr>
          <w:rFonts w:ascii="Times New Roman" w:hAnsi="Times New Roman"/>
          <w:sz w:val="24"/>
          <w:lang w:val="en-US"/>
        </w:rPr>
        <w:t xml:space="preserve"> If a shop owner has to pay her taxes in Euro, she will likely want to be paid by her customers in Euro. And by being a significant player in the national market (by employing people in public administration and contracting public works), the state creates a lot of income within the population paid in official currency. These factors are likely to create a critical mass of currency </w:t>
      </w:r>
      <w:r w:rsidR="00836F36" w:rsidRPr="00CC74F6">
        <w:rPr>
          <w:rFonts w:ascii="Times New Roman" w:hAnsi="Times New Roman"/>
          <w:sz w:val="24"/>
          <w:lang w:val="en-US"/>
        </w:rPr>
        <w:t>users, which</w:t>
      </w:r>
      <w:r w:rsidR="00836F36">
        <w:rPr>
          <w:rFonts w:ascii="Times New Roman" w:hAnsi="Times New Roman"/>
          <w:sz w:val="24"/>
          <w:lang w:val="en-US"/>
        </w:rPr>
        <w:t xml:space="preserve"> </w:t>
      </w:r>
      <w:r w:rsidRPr="00CC74F6">
        <w:rPr>
          <w:rFonts w:ascii="Times New Roman" w:hAnsi="Times New Roman"/>
          <w:sz w:val="24"/>
          <w:lang w:val="en-US"/>
        </w:rPr>
        <w:t>is decisive for the development of network effects. Even for people that are initially free from tax obligations, the establishment of an initial network of taxpaying state currency users can make joining the network attractive. Because taxes are usually paid on economic activity, the tax-initiated network is at the same time a network consisting of attractive su</w:t>
      </w:r>
      <w:r w:rsidR="005D19AC">
        <w:rPr>
          <w:rFonts w:ascii="Times New Roman" w:hAnsi="Times New Roman"/>
          <w:sz w:val="24"/>
          <w:lang w:val="en-US"/>
        </w:rPr>
        <w:t>ppliers of goods and services: y</w:t>
      </w:r>
      <w:r w:rsidRPr="00CC74F6">
        <w:rPr>
          <w:rFonts w:ascii="Times New Roman" w:hAnsi="Times New Roman"/>
          <w:sz w:val="24"/>
          <w:lang w:val="en-US"/>
        </w:rPr>
        <w:t>ou can only tax when there is production and trade going on among citizens.</w:t>
      </w:r>
    </w:p>
    <w:p w14:paraId="3030B789" w14:textId="77777777" w:rsidR="001A1FBC" w:rsidRPr="008B2ED9" w:rsidRDefault="001A1FBC" w:rsidP="001A1FBC">
      <w:pPr>
        <w:spacing w:before="120" w:after="240" w:line="276" w:lineRule="auto"/>
        <w:rPr>
          <w:rFonts w:ascii="Times New Roman" w:hAnsi="Times New Roman"/>
          <w:sz w:val="24"/>
          <w:lang w:val="en-US"/>
        </w:rPr>
      </w:pPr>
    </w:p>
    <w:p w14:paraId="57FDD258" w14:textId="77777777" w:rsidR="00076410" w:rsidRPr="001134B9" w:rsidRDefault="00CC74F6" w:rsidP="001A1FBC">
      <w:pPr>
        <w:pStyle w:val="Heading3"/>
        <w:rPr>
          <w:lang w:val="en-US"/>
        </w:rPr>
      </w:pPr>
      <w:r w:rsidRPr="001134B9">
        <w:rPr>
          <w:lang w:val="en-US"/>
        </w:rPr>
        <w:t xml:space="preserve">Elements of Monetary Networks </w:t>
      </w:r>
    </w:p>
    <w:p w14:paraId="3F7B5010" w14:textId="77777777" w:rsidR="00A84C8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By relying on network effects, the state establishes its unit of account as the standard me</w:t>
      </w:r>
      <w:r w:rsidR="005D19AC">
        <w:rPr>
          <w:rFonts w:ascii="Times New Roman" w:hAnsi="Times New Roman"/>
          <w:sz w:val="24"/>
          <w:lang w:val="en-US"/>
        </w:rPr>
        <w:t>asure of value in the economy. A</w:t>
      </w:r>
      <w:r w:rsidRPr="00CC74F6">
        <w:rPr>
          <w:rFonts w:ascii="Times New Roman" w:hAnsi="Times New Roman"/>
          <w:sz w:val="24"/>
          <w:lang w:val="en-US"/>
        </w:rPr>
        <w:t xml:space="preserve">ll the prices for goods, services and debt contracts will be denominated in the official currency. It also issues coins and notes (usually via the central bank and mint) that function as means of payment in economic transactions and discharge of debt obligations. </w:t>
      </w:r>
    </w:p>
    <w:p w14:paraId="78BB4456" w14:textId="676BB5ED" w:rsidR="008D3573"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With respect to means of payment, the central bank and mint</w:t>
      </w:r>
      <w:r w:rsidR="00B17C2C">
        <w:rPr>
          <w:rFonts w:ascii="Times New Roman" w:hAnsi="Times New Roman"/>
          <w:sz w:val="24"/>
          <w:lang w:val="en-US"/>
        </w:rPr>
        <w:t xml:space="preserve"> are not the exclusive issuers</w:t>
      </w:r>
      <w:r w:rsidRPr="00CC74F6">
        <w:rPr>
          <w:rFonts w:ascii="Times New Roman" w:hAnsi="Times New Roman"/>
          <w:sz w:val="24"/>
          <w:lang w:val="en-US"/>
        </w:rPr>
        <w:t xml:space="preserve">. Balances in bank accounts are claims on </w:t>
      </w:r>
      <w:r w:rsidR="003529FC" w:rsidRPr="00CC74F6">
        <w:rPr>
          <w:rFonts w:ascii="Times New Roman" w:hAnsi="Times New Roman"/>
          <w:sz w:val="24"/>
          <w:lang w:val="en-US"/>
        </w:rPr>
        <w:t>money, which</w:t>
      </w:r>
      <w:r w:rsidRPr="00CC74F6">
        <w:rPr>
          <w:rFonts w:ascii="Times New Roman" w:hAnsi="Times New Roman"/>
          <w:sz w:val="24"/>
          <w:lang w:val="en-US"/>
        </w:rPr>
        <w:t xml:space="preserve"> can be used instead of cash in payments among citizens. The balances resulting from the transfer of credit among banks on behalf of their customers are settled in central bank money. As long as people’s cash needs stay within usual limits, banks can operate payments, grant credit and incur liabilities in the form of checking and saving accounts while holding only a fraction of their balance sheet in cash. In order for this system to be stable, banks have to make sure that the public</w:t>
      </w:r>
      <w:r w:rsidR="003529FC">
        <w:rPr>
          <w:rFonts w:ascii="Times New Roman" w:hAnsi="Times New Roman"/>
          <w:sz w:val="24"/>
          <w:lang w:val="en-US"/>
        </w:rPr>
        <w:t>’</w:t>
      </w:r>
      <w:r w:rsidRPr="00CC74F6">
        <w:rPr>
          <w:rFonts w:ascii="Times New Roman" w:hAnsi="Times New Roman"/>
          <w:sz w:val="24"/>
          <w:lang w:val="en-US"/>
        </w:rPr>
        <w:t>s trust in their ability to convert balances in deposit accounts into cash, i.e. to fulfill claims on money held by the public, is upheld.</w:t>
      </w:r>
    </w:p>
    <w:p w14:paraId="43397EDE" w14:textId="131A8FB4" w:rsidR="00A84C8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In a way, the use of bank deposits as means of payment could be considered a complementary currency. But its relationship to central bank money entails a peculiar </w:t>
      </w:r>
      <w:r w:rsidR="005D19AC">
        <w:rPr>
          <w:rFonts w:ascii="Times New Roman" w:hAnsi="Times New Roman"/>
          <w:sz w:val="24"/>
          <w:lang w:val="en-US"/>
        </w:rPr>
        <w:t xml:space="preserve">hierarchical </w:t>
      </w:r>
      <w:r w:rsidRPr="00CC74F6">
        <w:rPr>
          <w:rFonts w:ascii="Times New Roman" w:hAnsi="Times New Roman"/>
          <w:sz w:val="24"/>
          <w:lang w:val="en-US"/>
        </w:rPr>
        <w:t>feature. By being a claim on money, bank account balances are denominated in the official unit of account and must be managed by banks with a view to keep par relationship with central bank money. Banks usually offer depositors interest rates as compensation for the risk involved in parting with cash, the most liquid form of value. Deposit insurance and eventual crisis back-up by state institutions assist in maintaining the promise of par relationship. In turn, banks submit to regulation, supervision and are subject to monetary policy operated by central banks. When trust in banks evaporates, customers may start to doubt whether their deposits are still of equivalent value to money, and reject banks</w:t>
      </w:r>
      <w:r w:rsidR="004C2066">
        <w:rPr>
          <w:rFonts w:ascii="Times New Roman" w:hAnsi="Times New Roman"/>
          <w:sz w:val="24"/>
          <w:lang w:val="en-US"/>
        </w:rPr>
        <w:t>’</w:t>
      </w:r>
      <w:r w:rsidRPr="00CC74F6">
        <w:rPr>
          <w:rFonts w:ascii="Times New Roman" w:hAnsi="Times New Roman"/>
          <w:sz w:val="24"/>
          <w:lang w:val="en-US"/>
        </w:rPr>
        <w:t xml:space="preserve"> mean</w:t>
      </w:r>
      <w:r w:rsidR="00B17C2C">
        <w:rPr>
          <w:rFonts w:ascii="Times New Roman" w:hAnsi="Times New Roman"/>
          <w:sz w:val="24"/>
          <w:lang w:val="en-US"/>
        </w:rPr>
        <w:t>s of payment. A run on the bank’</w:t>
      </w:r>
      <w:r w:rsidRPr="00CC74F6">
        <w:rPr>
          <w:rFonts w:ascii="Times New Roman" w:hAnsi="Times New Roman"/>
          <w:sz w:val="24"/>
          <w:lang w:val="en-US"/>
        </w:rPr>
        <w:t>s cash reserves can ensue</w:t>
      </w:r>
      <w:r w:rsidR="003A2157">
        <w:rPr>
          <w:rFonts w:ascii="Times New Roman" w:hAnsi="Times New Roman"/>
          <w:sz w:val="24"/>
          <w:lang w:val="en-US"/>
        </w:rPr>
        <w:t xml:space="preserve"> </w:t>
      </w:r>
      <w:r w:rsidR="0044629F">
        <w:rPr>
          <w:rFonts w:ascii="Times New Roman" w:hAnsi="Times New Roman"/>
          <w:sz w:val="24"/>
          <w:lang w:val="en-US"/>
        </w:rPr>
        <w:t>–</w:t>
      </w:r>
      <w:r w:rsidR="003A2157">
        <w:rPr>
          <w:rFonts w:ascii="Times New Roman" w:hAnsi="Times New Roman"/>
          <w:sz w:val="24"/>
          <w:lang w:val="en-US"/>
        </w:rPr>
        <w:t xml:space="preserve"> </w:t>
      </w:r>
      <w:r w:rsidRPr="00CC74F6">
        <w:rPr>
          <w:rFonts w:ascii="Times New Roman" w:hAnsi="Times New Roman"/>
          <w:sz w:val="24"/>
          <w:lang w:val="en-US"/>
        </w:rPr>
        <w:t>customers try to exercise their deposit claims on cash in huge numbers, eventually surpassing the cash reserves of the bank concerned and bringing it down.</w:t>
      </w:r>
    </w:p>
    <w:p w14:paraId="0FC4EC95" w14:textId="77777777" w:rsidR="00E55917"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The ability for credit to act as money substitute is not restricted to credit issued by banks</w:t>
      </w:r>
      <w:r w:rsidR="0057223B">
        <w:rPr>
          <w:rFonts w:ascii="Times New Roman" w:hAnsi="Times New Roman"/>
          <w:sz w:val="24"/>
          <w:lang w:val="en-US"/>
        </w:rPr>
        <w:t>.</w:t>
      </w:r>
      <w:r w:rsidRPr="00CC74F6">
        <w:rPr>
          <w:rFonts w:ascii="Times New Roman" w:hAnsi="Times New Roman"/>
          <w:sz w:val="24"/>
          <w:lang w:val="en-US"/>
        </w:rPr>
        <w:t xml:space="preserve"> For instance, inter-company loans such as trade credit granted among firms represents a significant part of the liabilities of the industrial sector.</w:t>
      </w:r>
      <w:r w:rsidR="0057223B">
        <w:rPr>
          <w:rStyle w:val="FootnoteReference"/>
          <w:rFonts w:ascii="Times New Roman" w:hAnsi="Times New Roman"/>
          <w:sz w:val="24"/>
          <w:lang w:val="en-US"/>
        </w:rPr>
        <w:footnoteReference w:id="22"/>
      </w:r>
      <w:r w:rsidRPr="00CC74F6">
        <w:rPr>
          <w:rFonts w:ascii="Times New Roman" w:hAnsi="Times New Roman"/>
          <w:sz w:val="24"/>
          <w:lang w:val="en-US"/>
        </w:rPr>
        <w:t xml:space="preserve"> When firms issuing liabilities have good reputation, their debt might even circulate as means of payment among other firms.</w:t>
      </w:r>
    </w:p>
    <w:p w14:paraId="10B4D31E" w14:textId="77777777" w:rsidR="00BD1775"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But among credit forms, bank credit is the most developed one. Banks specialize in collecting and assessing information about creditworthiness of all kinds of borrowers. By pooling the resulting promises to pay and being subject to regulation and supervision, bank liabilities usually enjoy the highest degree of trustworthiness among credit forms, ranking highest among other money substitutes in the hierarchy established by the prevailing unit of account. The issuers of credit claims promise full payment of the nominal amount in official currency, and try to establish a reputation by repeatedly making good on that promise. </w:t>
      </w:r>
    </w:p>
    <w:p w14:paraId="0413E837" w14:textId="77777777" w:rsidR="00B575C7"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Deep political and economic crises often entail monetary crisis. In such a case, the arrangements in place for keeping the promise of value stability are shattered. If instability surpasses a certain threshold (e.g. in episodes of hyperinflation), users can be induced to look for alternatives. In many economically weak countries in economic history, currency substitution has taken place. Would such a deteriorating performance pose a chance for rivaling CCs based on private initiative? The answer </w:t>
      </w:r>
      <w:r w:rsidR="004D30E1">
        <w:rPr>
          <w:rFonts w:ascii="Times New Roman" w:hAnsi="Times New Roman" w:cs="Times New Roman"/>
          <w:sz w:val="24"/>
          <w:szCs w:val="24"/>
          <w:lang w:val="en-US"/>
        </w:rPr>
        <w:t>tends to be</w:t>
      </w:r>
      <w:r w:rsidR="004D30E1" w:rsidRPr="00CC74F6">
        <w:rPr>
          <w:rFonts w:ascii="Times New Roman" w:hAnsi="Times New Roman" w:cs="Times New Roman"/>
          <w:sz w:val="24"/>
          <w:szCs w:val="24"/>
          <w:lang w:val="en-US"/>
        </w:rPr>
        <w:t xml:space="preserve"> </w:t>
      </w:r>
      <w:r w:rsidRPr="00CC74F6">
        <w:rPr>
          <w:rFonts w:ascii="Times New Roman" w:hAnsi="Times New Roman" w:cs="Times New Roman"/>
          <w:sz w:val="24"/>
          <w:szCs w:val="24"/>
          <w:lang w:val="en-US"/>
        </w:rPr>
        <w:t>no. Usually, substitutes are almost exclusively chosen from among the rank of other state supported currencies</w:t>
      </w:r>
      <w:r w:rsidR="00AD1416">
        <w:rPr>
          <w:rFonts w:ascii="Times New Roman" w:hAnsi="Times New Roman" w:cs="Times New Roman"/>
          <w:sz w:val="24"/>
          <w:szCs w:val="24"/>
          <w:lang w:val="en-US"/>
        </w:rPr>
        <w:t>.</w:t>
      </w:r>
      <w:r w:rsidR="0057223B">
        <w:rPr>
          <w:rStyle w:val="FootnoteReference"/>
          <w:rFonts w:ascii="Times New Roman" w:hAnsi="Times New Roman" w:cs="Times New Roman"/>
          <w:sz w:val="24"/>
          <w:szCs w:val="24"/>
          <w:lang w:val="en-US"/>
        </w:rPr>
        <w:footnoteReference w:id="23"/>
      </w:r>
      <w:r w:rsidRPr="00CC74F6">
        <w:rPr>
          <w:rFonts w:ascii="Times New Roman" w:hAnsi="Times New Roman" w:cs="Times New Roman"/>
          <w:sz w:val="24"/>
          <w:szCs w:val="24"/>
          <w:lang w:val="en-US"/>
        </w:rPr>
        <w:t xml:space="preserve"> Private CCs are inevitably positioned at the bottom of the hierarchy of credit claims. In a situation of eroding trust in the national currency at the top of the domestic credit hierarchy, users usually try to exchange national currency for a currency further up the international hierarchy, not a private one of lower hierarchical status. It is bigger existing networks and a more credible stability track record that typically attract users. Therefore, we can observe </w:t>
      </w:r>
      <w:r w:rsidR="0057223B">
        <w:rPr>
          <w:rFonts w:ascii="Times New Roman" w:hAnsi="Times New Roman" w:cs="Times New Roman"/>
          <w:sz w:val="24"/>
          <w:szCs w:val="24"/>
          <w:lang w:val="en-US"/>
        </w:rPr>
        <w:t>‘</w:t>
      </w:r>
      <w:r w:rsidRPr="00CC74F6">
        <w:rPr>
          <w:rFonts w:ascii="Times New Roman" w:hAnsi="Times New Roman" w:cs="Times New Roman"/>
          <w:sz w:val="24"/>
          <w:szCs w:val="24"/>
          <w:lang w:val="en-US"/>
        </w:rPr>
        <w:t>Dollarization</w:t>
      </w:r>
      <w:r w:rsidR="0057223B">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 </w:t>
      </w:r>
      <w:r w:rsidR="0057223B">
        <w:rPr>
          <w:rFonts w:ascii="Times New Roman" w:hAnsi="Times New Roman" w:cs="Times New Roman"/>
          <w:sz w:val="24"/>
          <w:szCs w:val="24"/>
          <w:lang w:val="en-US"/>
        </w:rPr>
        <w:t>‘</w:t>
      </w:r>
      <w:r w:rsidRPr="00CC74F6">
        <w:rPr>
          <w:rFonts w:ascii="Times New Roman" w:hAnsi="Times New Roman" w:cs="Times New Roman"/>
          <w:sz w:val="24"/>
          <w:szCs w:val="24"/>
          <w:lang w:val="en-US"/>
        </w:rPr>
        <w:t>Euroization</w:t>
      </w:r>
      <w:r w:rsidR="0057223B">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 etc. in small countries suffering from lack of public trust in their official currency, instead of a spread of private start-up currencies.</w:t>
      </w:r>
    </w:p>
    <w:p w14:paraId="025235D7" w14:textId="77777777" w:rsidR="000E329B" w:rsidRPr="008B2ED9" w:rsidRDefault="000E329B" w:rsidP="001A1FBC">
      <w:pPr>
        <w:pStyle w:val="PlainText"/>
        <w:spacing w:before="120" w:after="240" w:line="276" w:lineRule="auto"/>
        <w:rPr>
          <w:rFonts w:ascii="Times New Roman" w:hAnsi="Times New Roman" w:cs="Times New Roman"/>
          <w:sz w:val="24"/>
          <w:szCs w:val="24"/>
          <w:lang w:val="en-US"/>
        </w:rPr>
      </w:pPr>
    </w:p>
    <w:p w14:paraId="0AC02FF2" w14:textId="77777777" w:rsidR="00076410" w:rsidRPr="002911F8" w:rsidRDefault="003844AB" w:rsidP="001A1FBC">
      <w:pPr>
        <w:pStyle w:val="Heading2"/>
        <w:rPr>
          <w:lang w:val="en-US"/>
        </w:rPr>
      </w:pPr>
      <w:r>
        <w:rPr>
          <w:lang w:val="en-US"/>
        </w:rPr>
        <w:t>Conclusion</w:t>
      </w:r>
    </w:p>
    <w:p w14:paraId="09FBFF9B" w14:textId="325C12FE" w:rsidR="00C56EE9"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The criteria of capitalism and the criteria of democratic civil society often clash</w:t>
      </w:r>
      <w:r w:rsidR="002911F8">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 There are segments in the </w:t>
      </w:r>
      <w:r w:rsidR="002911F8" w:rsidRPr="00CC74F6">
        <w:rPr>
          <w:rFonts w:ascii="Times New Roman" w:hAnsi="Times New Roman" w:cs="Times New Roman"/>
          <w:sz w:val="24"/>
          <w:szCs w:val="24"/>
          <w:lang w:val="en-US"/>
        </w:rPr>
        <w:t>economy, which</w:t>
      </w:r>
      <w:r w:rsidRPr="00CC74F6">
        <w:rPr>
          <w:rFonts w:ascii="Times New Roman" w:hAnsi="Times New Roman" w:cs="Times New Roman"/>
          <w:sz w:val="24"/>
          <w:szCs w:val="24"/>
          <w:lang w:val="en-US"/>
        </w:rPr>
        <w:t xml:space="preserve"> are not appraised by the market despite being considered a useful contribution to</w:t>
      </w:r>
      <w:r w:rsidR="005D19AC">
        <w:rPr>
          <w:rFonts w:ascii="Times New Roman" w:hAnsi="Times New Roman" w:cs="Times New Roman"/>
          <w:sz w:val="24"/>
          <w:szCs w:val="24"/>
          <w:lang w:val="en-US"/>
        </w:rPr>
        <w:t xml:space="preserve"> public</w:t>
      </w:r>
      <w:r w:rsidR="003A2157">
        <w:rPr>
          <w:rFonts w:ascii="Times New Roman" w:hAnsi="Times New Roman" w:cs="Times New Roman"/>
          <w:sz w:val="24"/>
          <w:szCs w:val="24"/>
          <w:lang w:val="en-US"/>
        </w:rPr>
        <w:t xml:space="preserve"> welfare by many members </w:t>
      </w:r>
      <w:r w:rsidR="003A2157">
        <w:rPr>
          <w:rFonts w:ascii="Times New Roman" w:hAnsi="Times New Roman"/>
          <w:sz w:val="24"/>
          <w:lang w:val="en-US"/>
        </w:rPr>
        <w:t xml:space="preserve">– </w:t>
      </w:r>
      <w:r w:rsidR="005D19AC">
        <w:rPr>
          <w:rFonts w:ascii="Times New Roman" w:hAnsi="Times New Roman" w:cs="Times New Roman"/>
          <w:sz w:val="24"/>
          <w:szCs w:val="24"/>
          <w:lang w:val="en-US"/>
        </w:rPr>
        <w:t>c</w:t>
      </w:r>
      <w:r w:rsidRPr="00CC74F6">
        <w:rPr>
          <w:rFonts w:ascii="Times New Roman" w:hAnsi="Times New Roman" w:cs="Times New Roman"/>
          <w:sz w:val="24"/>
          <w:szCs w:val="24"/>
          <w:lang w:val="en-US"/>
        </w:rPr>
        <w:t>are work</w:t>
      </w:r>
      <w:r w:rsidR="005C4ECD">
        <w:rPr>
          <w:rFonts w:ascii="Times New Roman" w:hAnsi="Times New Roman" w:cs="Times New Roman"/>
          <w:sz w:val="24"/>
          <w:szCs w:val="24"/>
          <w:lang w:val="en-US"/>
        </w:rPr>
        <w:t xml:space="preserve"> and art </w:t>
      </w:r>
      <w:r w:rsidR="005D19AC">
        <w:rPr>
          <w:rFonts w:ascii="Times New Roman" w:hAnsi="Times New Roman" w:cs="Times New Roman"/>
          <w:sz w:val="24"/>
          <w:szCs w:val="24"/>
          <w:lang w:val="en-US"/>
        </w:rPr>
        <w:t>are</w:t>
      </w:r>
      <w:r w:rsidR="005C4ECD">
        <w:rPr>
          <w:rFonts w:ascii="Times New Roman" w:hAnsi="Times New Roman" w:cs="Times New Roman"/>
          <w:sz w:val="24"/>
          <w:szCs w:val="24"/>
          <w:lang w:val="en-US"/>
        </w:rPr>
        <w:t xml:space="preserve"> just two</w:t>
      </w:r>
      <w:r w:rsidRPr="00CC74F6">
        <w:rPr>
          <w:rFonts w:ascii="Times New Roman" w:hAnsi="Times New Roman" w:cs="Times New Roman"/>
          <w:sz w:val="24"/>
          <w:szCs w:val="24"/>
          <w:lang w:val="en-US"/>
        </w:rPr>
        <w:t xml:space="preserve">. Some regions experience economic </w:t>
      </w:r>
      <w:r w:rsidR="00860B01" w:rsidRPr="00CC74F6">
        <w:rPr>
          <w:rFonts w:ascii="Times New Roman" w:hAnsi="Times New Roman" w:cs="Times New Roman"/>
          <w:sz w:val="24"/>
          <w:szCs w:val="24"/>
          <w:lang w:val="en-US"/>
        </w:rPr>
        <w:t>distress that</w:t>
      </w:r>
      <w:r w:rsidRPr="00CC74F6">
        <w:rPr>
          <w:rFonts w:ascii="Times New Roman" w:hAnsi="Times New Roman" w:cs="Times New Roman"/>
          <w:sz w:val="24"/>
          <w:szCs w:val="24"/>
          <w:lang w:val="en-US"/>
        </w:rPr>
        <w:t xml:space="preserve"> trigger</w:t>
      </w:r>
      <w:r w:rsidR="00860B01">
        <w:rPr>
          <w:rFonts w:ascii="Times New Roman" w:hAnsi="Times New Roman" w:cs="Times New Roman"/>
          <w:sz w:val="24"/>
          <w:szCs w:val="24"/>
          <w:lang w:val="en-US"/>
        </w:rPr>
        <w:t>s</w:t>
      </w:r>
      <w:r w:rsidRPr="00CC74F6">
        <w:rPr>
          <w:rFonts w:ascii="Times New Roman" w:hAnsi="Times New Roman" w:cs="Times New Roman"/>
          <w:sz w:val="24"/>
          <w:szCs w:val="24"/>
          <w:lang w:val="en-US"/>
        </w:rPr>
        <w:t xml:space="preserve"> social crisis. Time and again, the</w:t>
      </w:r>
      <w:r w:rsidR="00F0164B">
        <w:rPr>
          <w:rFonts w:ascii="Times New Roman" w:hAnsi="Times New Roman" w:cs="Times New Roman"/>
          <w:sz w:val="24"/>
          <w:szCs w:val="24"/>
          <w:lang w:val="en-US"/>
        </w:rPr>
        <w:t xml:space="preserve"> whole economy experiences crisi</w:t>
      </w:r>
      <w:r w:rsidR="00F0164B" w:rsidRPr="00CC74F6">
        <w:rPr>
          <w:rFonts w:ascii="Times New Roman" w:hAnsi="Times New Roman" w:cs="Times New Roman"/>
          <w:sz w:val="24"/>
          <w:szCs w:val="24"/>
          <w:lang w:val="en-US"/>
        </w:rPr>
        <w:t>s, which</w:t>
      </w:r>
      <w:r w:rsidRPr="00CC74F6">
        <w:rPr>
          <w:rFonts w:ascii="Times New Roman" w:hAnsi="Times New Roman" w:cs="Times New Roman"/>
          <w:sz w:val="24"/>
          <w:szCs w:val="24"/>
          <w:lang w:val="en-US"/>
        </w:rPr>
        <w:t xml:space="preserve"> leads to hardship among the population. Poor groups are permanently disadvantaged by the inequality resulting from the normal operation of markets. The traditional solution for such tensions is taxing market income and wealth or incurring government debt, and using the proceeds to finance government transfers to correct market outcomes considered incompatible with democratic will. The distributional issues involved in such measures can lead to a thorny political process hindered by tax resistance, divided opinion about what is to be considered of public value etc. Could a complementary currency provide a short-cut towards an alternative solution, offering a route for a minority to express value appraisals differing from those of the rest of society? </w:t>
      </w:r>
    </w:p>
    <w:p w14:paraId="238982A0" w14:textId="77777777" w:rsidR="00CE3219"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Complementary currencies can work if they are able to provide exclusive access to certain transactions (or exclusive benefits in relation to such transactions like discounts or anonymity) with respect to their content, their location, their size or the transaction partners, provided there is sufficient solvent demand for such transactions. </w:t>
      </w:r>
    </w:p>
    <w:p w14:paraId="6D64F922" w14:textId="66ACB4AD" w:rsidR="00581A5E"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Absent such attractions, keeping a CC in use requires measures to decouple community members from the rest of the </w:t>
      </w:r>
      <w:r w:rsidR="00F0164B" w:rsidRPr="00CC74F6">
        <w:rPr>
          <w:rFonts w:ascii="Times New Roman" w:hAnsi="Times New Roman" w:cs="Times New Roman"/>
          <w:sz w:val="24"/>
          <w:szCs w:val="24"/>
          <w:lang w:val="en-US"/>
        </w:rPr>
        <w:t>economy, which</w:t>
      </w:r>
      <w:r w:rsidRPr="00CC74F6">
        <w:rPr>
          <w:rFonts w:ascii="Times New Roman" w:hAnsi="Times New Roman" w:cs="Times New Roman"/>
          <w:sz w:val="24"/>
          <w:szCs w:val="24"/>
          <w:lang w:val="en-US"/>
        </w:rPr>
        <w:t xml:space="preserve"> go</w:t>
      </w:r>
      <w:r w:rsidR="00F0164B">
        <w:rPr>
          <w:rFonts w:ascii="Times New Roman" w:hAnsi="Times New Roman" w:cs="Times New Roman"/>
          <w:sz w:val="24"/>
          <w:szCs w:val="24"/>
          <w:lang w:val="en-US"/>
        </w:rPr>
        <w:t>es</w:t>
      </w:r>
      <w:r w:rsidRPr="00CC74F6">
        <w:rPr>
          <w:rFonts w:ascii="Times New Roman" w:hAnsi="Times New Roman" w:cs="Times New Roman"/>
          <w:sz w:val="24"/>
          <w:szCs w:val="24"/>
          <w:lang w:val="en-US"/>
        </w:rPr>
        <w:t xml:space="preserve"> beyond the mere introduction of a currency.</w:t>
      </w:r>
      <w:r w:rsidR="001A1FBC">
        <w:rPr>
          <w:rFonts w:ascii="Times New Roman" w:hAnsi="Times New Roman" w:cs="Times New Roman"/>
          <w:sz w:val="24"/>
          <w:szCs w:val="24"/>
          <w:lang w:val="en-US"/>
        </w:rPr>
        <w:t xml:space="preserve"> </w:t>
      </w:r>
      <w:r w:rsidRPr="00CC74F6">
        <w:rPr>
          <w:rFonts w:ascii="Times New Roman" w:hAnsi="Times New Roman" w:cs="Times New Roman"/>
          <w:sz w:val="24"/>
          <w:szCs w:val="24"/>
          <w:lang w:val="en-US"/>
        </w:rPr>
        <w:t xml:space="preserve">But even in that case, alternative economic circuits revolving around CCs will need official currency to pay for taxes and at least some imported commodities from the outside world. This requirement entails difficult choices involving the means of acquiring outside currency and managing the implications this has for the loyalty of CC community members and the management of exchange rates with the official currency. Because decentral entities issuing complementary currencies usually lack powerful instruments like capital controls, legal tender laws or taxing authority, they must either attract voluntary users with economic features that prevail in competition with official currency, or they must induce people to substitute individual economic motives by collective values enforced by peer pressure or non-economic benefits. </w:t>
      </w:r>
    </w:p>
    <w:p w14:paraId="55B6725B" w14:textId="26071DA0" w:rsidR="00581A5E"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Of course, community members can choose to adopt compl</w:t>
      </w:r>
      <w:r w:rsidR="003A2157">
        <w:rPr>
          <w:rFonts w:ascii="Times New Roman" w:hAnsi="Times New Roman" w:cs="Times New Roman"/>
          <w:sz w:val="24"/>
          <w:szCs w:val="24"/>
          <w:lang w:val="en-US"/>
        </w:rPr>
        <w:t xml:space="preserve">ementary currencies despite they </w:t>
      </w:r>
      <w:r w:rsidRPr="00CC74F6">
        <w:rPr>
          <w:rFonts w:ascii="Times New Roman" w:hAnsi="Times New Roman" w:cs="Times New Roman"/>
          <w:sz w:val="24"/>
          <w:szCs w:val="24"/>
          <w:lang w:val="en-US"/>
        </w:rPr>
        <w:t>would fail to prevail in competition against competing cur</w:t>
      </w:r>
      <w:r w:rsidR="004D30E1">
        <w:rPr>
          <w:rFonts w:ascii="Times New Roman" w:hAnsi="Times New Roman" w:cs="Times New Roman"/>
          <w:sz w:val="24"/>
          <w:szCs w:val="24"/>
          <w:lang w:val="en-US"/>
        </w:rPr>
        <w:t>r</w:t>
      </w:r>
      <w:r w:rsidRPr="00CC74F6">
        <w:rPr>
          <w:rFonts w:ascii="Times New Roman" w:hAnsi="Times New Roman" w:cs="Times New Roman"/>
          <w:sz w:val="24"/>
          <w:szCs w:val="24"/>
          <w:lang w:val="en-US"/>
        </w:rPr>
        <w:t xml:space="preserve">ency networks according to purely economic criteria. Whether such </w:t>
      </w:r>
      <w:r w:rsidR="00297677" w:rsidRPr="00CC74F6">
        <w:rPr>
          <w:rFonts w:ascii="Times New Roman" w:hAnsi="Times New Roman" w:cs="Times New Roman"/>
          <w:sz w:val="24"/>
          <w:szCs w:val="24"/>
          <w:lang w:val="en-US"/>
        </w:rPr>
        <w:t>non-economic</w:t>
      </w:r>
      <w:r w:rsidRPr="00CC74F6">
        <w:rPr>
          <w:rFonts w:ascii="Times New Roman" w:hAnsi="Times New Roman" w:cs="Times New Roman"/>
          <w:sz w:val="24"/>
          <w:szCs w:val="24"/>
          <w:lang w:val="en-US"/>
        </w:rPr>
        <w:t xml:space="preserve"> motives can prevail over economic advantages of joining official currency networks is an empirical </w:t>
      </w:r>
      <w:r w:rsidR="00F0164B" w:rsidRPr="00CC74F6">
        <w:rPr>
          <w:rFonts w:ascii="Times New Roman" w:hAnsi="Times New Roman" w:cs="Times New Roman"/>
          <w:sz w:val="24"/>
          <w:szCs w:val="24"/>
          <w:lang w:val="en-US"/>
        </w:rPr>
        <w:t>question that</w:t>
      </w:r>
      <w:r w:rsidRPr="00CC74F6">
        <w:rPr>
          <w:rFonts w:ascii="Times New Roman" w:hAnsi="Times New Roman" w:cs="Times New Roman"/>
          <w:sz w:val="24"/>
          <w:szCs w:val="24"/>
          <w:lang w:val="en-US"/>
        </w:rPr>
        <w:t xml:space="preserve"> cannot be settled once and for all. But it has to be kept in mind that enforcement mechanisms to foster community participation can gain a repressive character beyond a certain limit. And while social and community building effects may be considered successful features of complementary currency projects which go beyond economic aspects,</w:t>
      </w:r>
      <w:r w:rsidR="00297677">
        <w:rPr>
          <w:rStyle w:val="FootnoteReference"/>
          <w:rFonts w:ascii="Times New Roman" w:hAnsi="Times New Roman" w:cs="Times New Roman"/>
          <w:sz w:val="24"/>
          <w:szCs w:val="24"/>
          <w:lang w:val="en-US"/>
        </w:rPr>
        <w:footnoteReference w:id="24"/>
      </w:r>
      <w:r w:rsidRPr="00CC74F6">
        <w:rPr>
          <w:rFonts w:ascii="Times New Roman" w:hAnsi="Times New Roman" w:cs="Times New Roman"/>
          <w:sz w:val="24"/>
          <w:szCs w:val="24"/>
          <w:lang w:val="en-US"/>
        </w:rPr>
        <w:t xml:space="preserve"> possible disputes</w:t>
      </w:r>
      <w:r w:rsidR="004D30E1" w:rsidRPr="004D30E1">
        <w:rPr>
          <w:rFonts w:ascii="Times New Roman" w:hAnsi="Times New Roman" w:cs="Times New Roman"/>
          <w:sz w:val="24"/>
          <w:szCs w:val="24"/>
          <w:lang w:val="en-US"/>
        </w:rPr>
        <w:t xml:space="preserve"> </w:t>
      </w:r>
      <w:r w:rsidR="004D30E1" w:rsidRPr="00CC74F6">
        <w:rPr>
          <w:rFonts w:ascii="Times New Roman" w:hAnsi="Times New Roman" w:cs="Times New Roman"/>
          <w:sz w:val="24"/>
          <w:szCs w:val="24"/>
          <w:lang w:val="en-US"/>
        </w:rPr>
        <w:t>among network members</w:t>
      </w:r>
      <w:r w:rsidRPr="00CC74F6">
        <w:rPr>
          <w:rFonts w:ascii="Times New Roman" w:hAnsi="Times New Roman" w:cs="Times New Roman"/>
          <w:sz w:val="24"/>
          <w:szCs w:val="24"/>
          <w:lang w:val="en-US"/>
        </w:rPr>
        <w:t xml:space="preserve"> over valuation standards, distribution of benefits and governance issues are also part of the reality of CCs which have to be included in any assessment. </w:t>
      </w:r>
    </w:p>
    <w:p w14:paraId="534DE134" w14:textId="125E7083" w:rsidR="00EF426D"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Transregional monetary networks are an expression of advanced societal division of labor in capitalism, governed by profit expectations. They can bring advantages in t</w:t>
      </w:r>
      <w:r w:rsidR="003A2157">
        <w:rPr>
          <w:rFonts w:ascii="Times New Roman" w:hAnsi="Times New Roman" w:cs="Times New Roman"/>
          <w:sz w:val="24"/>
          <w:szCs w:val="24"/>
          <w:lang w:val="en-US"/>
        </w:rPr>
        <w:t>erms of profit making, specializ</w:t>
      </w:r>
      <w:r w:rsidRPr="00CC74F6">
        <w:rPr>
          <w:rFonts w:ascii="Times New Roman" w:hAnsi="Times New Roman" w:cs="Times New Roman"/>
          <w:sz w:val="24"/>
          <w:szCs w:val="24"/>
          <w:lang w:val="en-US"/>
        </w:rPr>
        <w:t>ation, efficiency and quality improvements. But they also entail transregional dependency of people across the globe from each other, which is especially felt in crisis. The autonomy of any economic project that does not completely decouple from this global division of labor can only be relative.</w:t>
      </w:r>
    </w:p>
    <w:p w14:paraId="6DC5610E" w14:textId="77777777" w:rsidR="00AF62C3" w:rsidRPr="008B2ED9" w:rsidRDefault="002C2392" w:rsidP="001A1FBC">
      <w:pPr>
        <w:pStyle w:val="PlainText"/>
        <w:spacing w:before="120" w:after="240" w:line="276" w:lineRule="auto"/>
        <w:rPr>
          <w:rFonts w:ascii="Times New Roman" w:hAnsi="Times New Roman" w:cs="Times New Roman"/>
          <w:sz w:val="24"/>
          <w:szCs w:val="24"/>
          <w:lang w:val="en-US"/>
        </w:rPr>
      </w:pPr>
      <w:r w:rsidRPr="00AD1416">
        <w:rPr>
          <w:rFonts w:ascii="Times New Roman" w:hAnsi="Times New Roman" w:cs="Times New Roman"/>
          <w:sz w:val="24"/>
          <w:szCs w:val="24"/>
          <w:lang w:val="en-US"/>
        </w:rPr>
        <w:t>If c</w:t>
      </w:r>
      <w:r w:rsidR="00CC74F6" w:rsidRPr="00AD1416">
        <w:rPr>
          <w:rFonts w:ascii="Times New Roman" w:hAnsi="Times New Roman" w:cs="Times New Roman"/>
          <w:sz w:val="24"/>
          <w:szCs w:val="24"/>
          <w:lang w:val="en-US"/>
        </w:rPr>
        <w:t>urrency areas are not congruent with th</w:t>
      </w:r>
      <w:r w:rsidRPr="00AD1416">
        <w:rPr>
          <w:rFonts w:ascii="Times New Roman" w:hAnsi="Times New Roman" w:cs="Times New Roman"/>
          <w:sz w:val="24"/>
          <w:szCs w:val="24"/>
          <w:lang w:val="en-US"/>
        </w:rPr>
        <w:t>e</w:t>
      </w:r>
      <w:r w:rsidR="00CC74F6" w:rsidRPr="00AD1416">
        <w:rPr>
          <w:rFonts w:ascii="Times New Roman" w:hAnsi="Times New Roman" w:cs="Times New Roman"/>
          <w:sz w:val="24"/>
          <w:szCs w:val="24"/>
          <w:lang w:val="en-US"/>
        </w:rPr>
        <w:t xml:space="preserve"> division of labor</w:t>
      </w:r>
      <w:r w:rsidRPr="00AD1416">
        <w:rPr>
          <w:rFonts w:ascii="Times New Roman" w:hAnsi="Times New Roman" w:cs="Times New Roman"/>
          <w:sz w:val="24"/>
          <w:szCs w:val="24"/>
          <w:lang w:val="en-US"/>
        </w:rPr>
        <w:t>, local currency users who want to benefit from the translocal system are faced with</w:t>
      </w:r>
      <w:r w:rsidR="00CC74F6" w:rsidRPr="00AD1416">
        <w:rPr>
          <w:rFonts w:ascii="Times New Roman" w:hAnsi="Times New Roman" w:cs="Times New Roman"/>
          <w:sz w:val="24"/>
          <w:szCs w:val="24"/>
          <w:lang w:val="en-US"/>
        </w:rPr>
        <w:t xml:space="preserve"> costs (for exchanging the currency, coping with exchange rate risk</w:t>
      </w:r>
      <w:r w:rsidR="00C005B8" w:rsidRPr="00AD1416">
        <w:rPr>
          <w:rFonts w:ascii="Times New Roman" w:hAnsi="Times New Roman" w:cs="Times New Roman"/>
          <w:sz w:val="24"/>
          <w:szCs w:val="24"/>
          <w:lang w:val="en-US"/>
        </w:rPr>
        <w:t>,</w:t>
      </w:r>
      <w:r w:rsidR="00CC74F6" w:rsidRPr="00AD1416">
        <w:rPr>
          <w:rFonts w:ascii="Times New Roman" w:hAnsi="Times New Roman" w:cs="Times New Roman"/>
          <w:sz w:val="24"/>
          <w:szCs w:val="24"/>
          <w:lang w:val="en-US"/>
        </w:rPr>
        <w:t xml:space="preserve"> etc.).</w:t>
      </w:r>
      <w:r w:rsidR="00CC74F6" w:rsidRPr="00CC74F6">
        <w:rPr>
          <w:rFonts w:ascii="Times New Roman" w:hAnsi="Times New Roman" w:cs="Times New Roman"/>
          <w:sz w:val="24"/>
          <w:szCs w:val="24"/>
          <w:lang w:val="en-US"/>
        </w:rPr>
        <w:t xml:space="preserve"> The smaller these currency areas, the more pronounced these costs. All people hoping to benefit from the wider system will try to avoid that cost. </w:t>
      </w:r>
    </w:p>
    <w:p w14:paraId="482935C5" w14:textId="77777777" w:rsidR="004275F7" w:rsidRPr="008B2ED9"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 xml:space="preserve">If a currency circulates within a stable network of users, monetary policy is possible by the </w:t>
      </w:r>
      <w:r w:rsidR="00576A85" w:rsidRPr="00CC74F6">
        <w:rPr>
          <w:rFonts w:ascii="Times New Roman" w:hAnsi="Times New Roman" w:cs="Times New Roman"/>
          <w:sz w:val="24"/>
          <w:szCs w:val="24"/>
          <w:lang w:val="en-US"/>
        </w:rPr>
        <w:t>issuer, which</w:t>
      </w:r>
      <w:r w:rsidRPr="00CC74F6">
        <w:rPr>
          <w:rFonts w:ascii="Times New Roman" w:hAnsi="Times New Roman" w:cs="Times New Roman"/>
          <w:sz w:val="24"/>
          <w:szCs w:val="24"/>
          <w:lang w:val="en-US"/>
        </w:rPr>
        <w:t xml:space="preserve"> has a bearing on economic activity. But issuing a complementary currency is not an instrument able to force the economy to work according to different rules. The capitalist economy works based on competition among unequal private property owners, resulting in production, transactions and wealth accumulation accounted for and paid in money. The supply of money can have effects on these processes, but on its own it is not a means to alter their logic.</w:t>
      </w:r>
    </w:p>
    <w:p w14:paraId="70009EC1" w14:textId="77777777" w:rsidR="00CD4A4B" w:rsidRDefault="00CC74F6" w:rsidP="001A1FBC">
      <w:pPr>
        <w:pStyle w:val="PlainText"/>
        <w:spacing w:before="120" w:after="240" w:line="276" w:lineRule="auto"/>
        <w:rPr>
          <w:rFonts w:ascii="Times New Roman" w:hAnsi="Times New Roman" w:cs="Times New Roman"/>
          <w:sz w:val="24"/>
          <w:szCs w:val="24"/>
          <w:lang w:val="en-US"/>
        </w:rPr>
      </w:pPr>
      <w:r w:rsidRPr="00CC74F6">
        <w:rPr>
          <w:rFonts w:ascii="Times New Roman" w:hAnsi="Times New Roman" w:cs="Times New Roman"/>
          <w:sz w:val="24"/>
          <w:szCs w:val="24"/>
          <w:lang w:val="en-US"/>
        </w:rPr>
        <w:t>Some CC projects are based on the hope that a different currency can stop the growth of inequality, thought as being triggered by the accumulation of money and the alleged tendency of money to grow through the compound interest mechanism.</w:t>
      </w:r>
      <w:r w:rsidR="00576A85">
        <w:rPr>
          <w:rStyle w:val="FootnoteReference"/>
          <w:rFonts w:ascii="Times New Roman" w:hAnsi="Times New Roman" w:cs="Times New Roman"/>
          <w:sz w:val="24"/>
          <w:szCs w:val="24"/>
          <w:lang w:val="en-US"/>
        </w:rPr>
        <w:footnoteReference w:id="25"/>
      </w:r>
      <w:r w:rsidRPr="00CC74F6">
        <w:rPr>
          <w:rFonts w:ascii="Times New Roman" w:hAnsi="Times New Roman" w:cs="Times New Roman"/>
          <w:sz w:val="24"/>
          <w:szCs w:val="24"/>
          <w:lang w:val="en-US"/>
        </w:rPr>
        <w:t xml:space="preserve"> But such an approach rests on the conflation of money and wealth. Wealthy people do not hoard cash or bank accounts to a large extent</w:t>
      </w:r>
      <w:r w:rsidR="00AD1416">
        <w:rPr>
          <w:rFonts w:ascii="Times New Roman" w:hAnsi="Times New Roman" w:cs="Times New Roman"/>
          <w:sz w:val="24"/>
          <w:szCs w:val="24"/>
          <w:lang w:val="en-US"/>
        </w:rPr>
        <w:t>.</w:t>
      </w:r>
      <w:r w:rsidR="00576A85">
        <w:rPr>
          <w:rStyle w:val="FootnoteReference"/>
          <w:rFonts w:ascii="Times New Roman" w:hAnsi="Times New Roman" w:cs="Times New Roman"/>
          <w:sz w:val="24"/>
          <w:szCs w:val="24"/>
          <w:lang w:val="en-US"/>
        </w:rPr>
        <w:footnoteReference w:id="26"/>
      </w:r>
      <w:r w:rsidRPr="00CC74F6">
        <w:rPr>
          <w:rFonts w:ascii="Times New Roman" w:hAnsi="Times New Roman" w:cs="Times New Roman"/>
          <w:sz w:val="24"/>
          <w:szCs w:val="24"/>
          <w:lang w:val="en-US"/>
        </w:rPr>
        <w:t xml:space="preserve"> The primary form of wealth in capitalism is business ownership and income derived from owning or managing firms, as well as housing property and various financial assets. None of these are touched upon by reforming money. Inequality is not the result of monetary distortions of the market but of its normal functioning, assisted by a very benign tax treatment of wealth and its priva</w:t>
      </w:r>
      <w:r w:rsidR="001F3082">
        <w:rPr>
          <w:rFonts w:ascii="Times New Roman" w:hAnsi="Times New Roman" w:cs="Times New Roman"/>
          <w:sz w:val="24"/>
          <w:szCs w:val="24"/>
          <w:lang w:val="en-US"/>
        </w:rPr>
        <w:t xml:space="preserve">te transfer among generations. </w:t>
      </w:r>
      <w:r w:rsidRPr="00CC74F6">
        <w:rPr>
          <w:rFonts w:ascii="Times New Roman" w:hAnsi="Times New Roman" w:cs="Times New Roman"/>
          <w:sz w:val="24"/>
          <w:szCs w:val="24"/>
          <w:lang w:val="en-US"/>
        </w:rPr>
        <w:t xml:space="preserve">This wealth is the result of </w:t>
      </w:r>
      <w:r w:rsidR="00576A85" w:rsidRPr="00CC74F6">
        <w:rPr>
          <w:rFonts w:ascii="Times New Roman" w:hAnsi="Times New Roman" w:cs="Times New Roman"/>
          <w:sz w:val="24"/>
          <w:szCs w:val="24"/>
          <w:lang w:val="en-US"/>
        </w:rPr>
        <w:t>profit-oriented</w:t>
      </w:r>
      <w:r w:rsidRPr="00CC74F6">
        <w:rPr>
          <w:rFonts w:ascii="Times New Roman" w:hAnsi="Times New Roman" w:cs="Times New Roman"/>
          <w:sz w:val="24"/>
          <w:szCs w:val="24"/>
          <w:lang w:val="en-US"/>
        </w:rPr>
        <w:t xml:space="preserve"> production based on private property and free labor, organized by competition on markets. Money symbolizes, measures, stores</w:t>
      </w:r>
      <w:r w:rsidR="00576A85">
        <w:rPr>
          <w:rFonts w:ascii="Times New Roman" w:hAnsi="Times New Roman" w:cs="Times New Roman"/>
          <w:sz w:val="24"/>
          <w:szCs w:val="24"/>
          <w:lang w:val="en-US"/>
        </w:rPr>
        <w:t>,</w:t>
      </w:r>
      <w:r w:rsidRPr="00CC74F6">
        <w:rPr>
          <w:rFonts w:ascii="Times New Roman" w:hAnsi="Times New Roman" w:cs="Times New Roman"/>
          <w:sz w:val="24"/>
          <w:szCs w:val="24"/>
          <w:lang w:val="en-US"/>
        </w:rPr>
        <w:t xml:space="preserve"> and transfers wealth. Manupulating or reforming money does not yield an economy based on different principles. The expectation that through reformed money, the market would turn into a neutral forum of exchange among independent, small and equal individual producers is subject to disappointments.</w:t>
      </w:r>
    </w:p>
    <w:p w14:paraId="7E587A7B" w14:textId="77777777" w:rsidR="000E329B" w:rsidRPr="008B2ED9" w:rsidRDefault="000E329B" w:rsidP="001A1FBC">
      <w:pPr>
        <w:pStyle w:val="PlainText"/>
        <w:spacing w:before="120" w:after="240" w:line="276" w:lineRule="auto"/>
        <w:rPr>
          <w:rFonts w:ascii="Times New Roman" w:hAnsi="Times New Roman" w:cs="Times New Roman"/>
          <w:sz w:val="24"/>
          <w:szCs w:val="24"/>
          <w:lang w:val="en-US"/>
        </w:rPr>
      </w:pPr>
    </w:p>
    <w:p w14:paraId="62D74A4C" w14:textId="77777777" w:rsidR="00076410" w:rsidRPr="003C730A" w:rsidRDefault="00CC74F6" w:rsidP="001A1FBC">
      <w:pPr>
        <w:pStyle w:val="Heading2"/>
        <w:rPr>
          <w:lang w:val="en-US"/>
        </w:rPr>
      </w:pPr>
      <w:r w:rsidRPr="003C730A">
        <w:rPr>
          <w:lang w:val="en-US"/>
        </w:rPr>
        <w:t>References</w:t>
      </w:r>
    </w:p>
    <w:p w14:paraId="784A2CEF" w14:textId="77777777" w:rsidR="003844AB" w:rsidRPr="003844AB" w:rsidRDefault="003844AB" w:rsidP="001A1FBC">
      <w:pPr>
        <w:spacing w:before="120" w:after="240" w:line="276" w:lineRule="auto"/>
        <w:rPr>
          <w:rFonts w:ascii="Times New Roman" w:hAnsi="Times New Roman"/>
          <w:sz w:val="24"/>
          <w:szCs w:val="22"/>
        </w:rPr>
      </w:pPr>
      <w:r>
        <w:rPr>
          <w:rFonts w:ascii="Times New Roman" w:hAnsi="Times New Roman"/>
          <w:sz w:val="24"/>
          <w:lang w:val="en-US"/>
        </w:rPr>
        <w:t>Blanc</w:t>
      </w:r>
      <w:r w:rsidRPr="003844AB">
        <w:rPr>
          <w:rFonts w:ascii="Times New Roman" w:hAnsi="Times New Roman"/>
          <w:sz w:val="24"/>
          <w:lang w:val="en-US"/>
        </w:rPr>
        <w:t xml:space="preserve">, Jérôme.‘Classifying “CCs”: Community, Complementary and Local Currencies’ Types </w:t>
      </w:r>
      <w:r>
        <w:rPr>
          <w:rFonts w:ascii="Times New Roman" w:hAnsi="Times New Roman"/>
          <w:sz w:val="24"/>
          <w:lang w:val="en-US"/>
        </w:rPr>
        <w:tab/>
      </w:r>
      <w:r w:rsidRPr="003844AB">
        <w:rPr>
          <w:rFonts w:ascii="Times New Roman" w:hAnsi="Times New Roman"/>
          <w:sz w:val="24"/>
          <w:lang w:val="en-US"/>
        </w:rPr>
        <w:t xml:space="preserve">and Generations’, </w:t>
      </w:r>
      <w:r w:rsidRPr="003844AB">
        <w:rPr>
          <w:rFonts w:ascii="Times New Roman" w:hAnsi="Times New Roman"/>
          <w:i/>
          <w:sz w:val="24"/>
          <w:lang w:val="en-US"/>
        </w:rPr>
        <w:t>International Journal of Community Currency Research</w:t>
      </w:r>
      <w:r w:rsidRPr="003844AB">
        <w:rPr>
          <w:rFonts w:ascii="Times New Roman" w:hAnsi="Times New Roman"/>
          <w:sz w:val="24"/>
          <w:lang w:val="en-US"/>
        </w:rPr>
        <w:t xml:space="preserve"> 15 (2011) D 4-10, </w:t>
      </w:r>
      <w:hyperlink r:id="rId8" w:history="1">
        <w:r w:rsidR="001A1FBC" w:rsidRPr="008D0A25">
          <w:rPr>
            <w:rStyle w:val="Hyperlink"/>
            <w:rFonts w:ascii="Times New Roman" w:hAnsi="Times New Roman"/>
            <w:sz w:val="24"/>
            <w:lang w:val="en-US"/>
          </w:rPr>
          <w:t>https://ijccr.files.wordpress.com/2012/05/ijccr-2011-special-issue-02-blanc.pdf</w:t>
        </w:r>
      </w:hyperlink>
      <w:r w:rsidRPr="003844AB">
        <w:rPr>
          <w:rFonts w:ascii="Times New Roman" w:hAnsi="Times New Roman"/>
          <w:sz w:val="24"/>
          <w:szCs w:val="22"/>
        </w:rPr>
        <w:t>.</w:t>
      </w:r>
    </w:p>
    <w:p w14:paraId="50AAB92B" w14:textId="77777777" w:rsidR="008D340B"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Champ, Bruce. </w:t>
      </w:r>
      <w:r w:rsidRPr="00CC74F6">
        <w:rPr>
          <w:rFonts w:ascii="Times New Roman" w:hAnsi="Times New Roman"/>
          <w:i/>
          <w:sz w:val="24"/>
          <w:lang w:val="en-US"/>
        </w:rPr>
        <w:t>Private Money in Our Past, Present, and Future</w:t>
      </w:r>
      <w:r w:rsidR="00BA0349">
        <w:rPr>
          <w:rFonts w:ascii="Times New Roman" w:hAnsi="Times New Roman"/>
          <w:sz w:val="24"/>
          <w:lang w:val="en-US"/>
        </w:rPr>
        <w:t>,</w:t>
      </w:r>
      <w:r w:rsidR="001A1FBC">
        <w:rPr>
          <w:rFonts w:ascii="Times New Roman" w:hAnsi="Times New Roman"/>
          <w:sz w:val="24"/>
          <w:lang w:val="en-US"/>
        </w:rPr>
        <w:t xml:space="preserve"> </w:t>
      </w:r>
      <w:hyperlink r:id="rId9" w:history="1">
        <w:r w:rsidR="001A1FBC" w:rsidRPr="008D0A25">
          <w:rPr>
            <w:rStyle w:val="Hyperlink"/>
            <w:rFonts w:ascii="Times New Roman" w:hAnsi="Times New Roman"/>
            <w:sz w:val="24"/>
            <w:lang w:val="en-US"/>
          </w:rPr>
          <w:t>http://www.clevelandfed.org/research/commentary/2007/010107.cfm</w:t>
        </w:r>
      </w:hyperlink>
      <w:r w:rsidRPr="00CC74F6">
        <w:rPr>
          <w:rFonts w:ascii="Times New Roman" w:hAnsi="Times New Roman"/>
          <w:sz w:val="24"/>
          <w:lang w:val="en-US"/>
        </w:rPr>
        <w:t>.</w:t>
      </w:r>
    </w:p>
    <w:p w14:paraId="408E99A3" w14:textId="77777777" w:rsidR="00E47CF2"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Champ, Bruce. </w:t>
      </w:r>
      <w:r w:rsidRPr="00CC74F6">
        <w:rPr>
          <w:rFonts w:ascii="Times New Roman" w:hAnsi="Times New Roman"/>
          <w:i/>
          <w:sz w:val="24"/>
          <w:lang w:val="en-US"/>
        </w:rPr>
        <w:t>Stamp Scrip: Money People Paid to Use</w:t>
      </w:r>
      <w:r w:rsidR="001A1FBC">
        <w:rPr>
          <w:rFonts w:ascii="Times New Roman" w:hAnsi="Times New Roman"/>
          <w:sz w:val="24"/>
          <w:lang w:val="en-US"/>
        </w:rPr>
        <w:t xml:space="preserve">, </w:t>
      </w:r>
      <w:hyperlink r:id="rId10" w:history="1">
        <w:r w:rsidR="001A1FBC" w:rsidRPr="008D0A25">
          <w:rPr>
            <w:rStyle w:val="Hyperlink"/>
            <w:rFonts w:ascii="Times New Roman" w:hAnsi="Times New Roman"/>
            <w:sz w:val="24"/>
            <w:lang w:val="en-US"/>
          </w:rPr>
          <w:t>http://www.clevelandfed.org/research/commentary/2008/0408.pdf</w:t>
        </w:r>
      </w:hyperlink>
      <w:r w:rsidRPr="00CC74F6">
        <w:rPr>
          <w:rFonts w:ascii="Times New Roman" w:hAnsi="Times New Roman"/>
          <w:sz w:val="24"/>
          <w:lang w:val="en-US"/>
        </w:rPr>
        <w:t>.</w:t>
      </w:r>
    </w:p>
    <w:p w14:paraId="39A8D516" w14:textId="77777777" w:rsidR="008D340B"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Cohen, Benjamin. </w:t>
      </w:r>
      <w:r w:rsidRPr="00CC74F6">
        <w:rPr>
          <w:rFonts w:ascii="Times New Roman" w:hAnsi="Times New Roman"/>
          <w:i/>
          <w:sz w:val="24"/>
          <w:lang w:val="en-US"/>
        </w:rPr>
        <w:t>The Future of Money</w:t>
      </w:r>
      <w:r w:rsidRPr="00CC74F6">
        <w:rPr>
          <w:rFonts w:ascii="Times New Roman" w:hAnsi="Times New Roman"/>
          <w:sz w:val="24"/>
          <w:lang w:val="en-US"/>
        </w:rPr>
        <w:t>, Princeton</w:t>
      </w:r>
      <w:r w:rsidR="00D05D05">
        <w:rPr>
          <w:rFonts w:ascii="Times New Roman" w:hAnsi="Times New Roman"/>
          <w:sz w:val="24"/>
          <w:lang w:val="en-US"/>
        </w:rPr>
        <w:t>, NJ</w:t>
      </w:r>
      <w:r w:rsidRPr="00CC74F6">
        <w:rPr>
          <w:rFonts w:ascii="Times New Roman" w:hAnsi="Times New Roman"/>
          <w:sz w:val="24"/>
          <w:lang w:val="en-US"/>
        </w:rPr>
        <w:t>: Princeton University Press, 2006.</w:t>
      </w:r>
    </w:p>
    <w:p w14:paraId="1D0382CA" w14:textId="77777777" w:rsidR="00B11F4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ECB – European Central Bank. </w:t>
      </w:r>
      <w:r w:rsidRPr="00CC74F6">
        <w:rPr>
          <w:rFonts w:ascii="Times New Roman" w:hAnsi="Times New Roman"/>
          <w:i/>
          <w:sz w:val="24"/>
          <w:lang w:val="en-US"/>
        </w:rPr>
        <w:t>Virtual Currency Schemes</w:t>
      </w:r>
      <w:r w:rsidRPr="00CC74F6">
        <w:rPr>
          <w:rFonts w:ascii="Times New Roman" w:hAnsi="Times New Roman"/>
          <w:sz w:val="24"/>
          <w:lang w:val="en-US"/>
        </w:rPr>
        <w:t>, Frankfurt, 2012.</w:t>
      </w:r>
    </w:p>
    <w:p w14:paraId="2ABD3209" w14:textId="77777777" w:rsidR="00E47CF2"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Greco, Thomas. </w:t>
      </w:r>
      <w:r w:rsidRPr="00CC74F6">
        <w:rPr>
          <w:rFonts w:ascii="Times New Roman" w:hAnsi="Times New Roman"/>
          <w:i/>
          <w:sz w:val="24"/>
          <w:lang w:val="en-US"/>
        </w:rPr>
        <w:t>The End of Money and the Future of Civilization</w:t>
      </w:r>
      <w:r w:rsidRPr="00CC74F6">
        <w:rPr>
          <w:rFonts w:ascii="Times New Roman" w:hAnsi="Times New Roman"/>
          <w:sz w:val="24"/>
          <w:lang w:val="en-US"/>
        </w:rPr>
        <w:t>, White River Junction: Chelsea Green Publishing (Kindle Edition), 2009.</w:t>
      </w:r>
    </w:p>
    <w:p w14:paraId="37355504" w14:textId="77777777" w:rsidR="003311D1"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Ingham, Geoffrey. </w:t>
      </w:r>
      <w:r w:rsidRPr="00CC74F6">
        <w:rPr>
          <w:rFonts w:ascii="Times New Roman" w:hAnsi="Times New Roman"/>
          <w:i/>
          <w:sz w:val="24"/>
          <w:lang w:val="en-US"/>
        </w:rPr>
        <w:t>The Nature of Money</w:t>
      </w:r>
      <w:r w:rsidRPr="00CC74F6">
        <w:rPr>
          <w:rFonts w:ascii="Times New Roman" w:hAnsi="Times New Roman"/>
          <w:sz w:val="24"/>
          <w:lang w:val="en-US"/>
        </w:rPr>
        <w:t>, Cambridge: Polity Press, 2004.</w:t>
      </w:r>
    </w:p>
    <w:p w14:paraId="140B5AD0" w14:textId="77777777" w:rsidR="00C75797"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Itoh, Makoto and Costas Lapavitsas. </w:t>
      </w:r>
      <w:r w:rsidRPr="00CC74F6">
        <w:rPr>
          <w:rFonts w:ascii="Times New Roman" w:hAnsi="Times New Roman"/>
          <w:i/>
          <w:sz w:val="24"/>
          <w:lang w:val="en-US"/>
        </w:rPr>
        <w:t>Political Economy of Money and Finance</w:t>
      </w:r>
      <w:r w:rsidR="001A1FBC">
        <w:rPr>
          <w:rFonts w:ascii="Times New Roman" w:hAnsi="Times New Roman"/>
          <w:sz w:val="24"/>
          <w:lang w:val="en-US"/>
        </w:rPr>
        <w:t xml:space="preserve">, Hampshire </w:t>
      </w:r>
      <w:r w:rsidR="00BA0349">
        <w:rPr>
          <w:rFonts w:ascii="Times New Roman" w:hAnsi="Times New Roman"/>
          <w:sz w:val="24"/>
          <w:lang w:val="en-US"/>
        </w:rPr>
        <w:t>and London: Mac</w:t>
      </w:r>
      <w:r w:rsidRPr="00CC74F6">
        <w:rPr>
          <w:rFonts w:ascii="Times New Roman" w:hAnsi="Times New Roman"/>
          <w:sz w:val="24"/>
          <w:lang w:val="en-US"/>
        </w:rPr>
        <w:t>Millan</w:t>
      </w:r>
      <w:r w:rsidR="00BA0349">
        <w:rPr>
          <w:rFonts w:ascii="Times New Roman" w:hAnsi="Times New Roman"/>
          <w:sz w:val="24"/>
          <w:lang w:val="en-US"/>
        </w:rPr>
        <w:t xml:space="preserve"> Press</w:t>
      </w:r>
      <w:r w:rsidRPr="00CC74F6">
        <w:rPr>
          <w:rFonts w:ascii="Times New Roman" w:hAnsi="Times New Roman"/>
          <w:sz w:val="24"/>
          <w:lang w:val="en-US"/>
        </w:rPr>
        <w:t>, 1999.</w:t>
      </w:r>
    </w:p>
    <w:p w14:paraId="12A7A7AB" w14:textId="77777777" w:rsidR="008D340B"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Mehrling, Perry. </w:t>
      </w:r>
      <w:r w:rsidR="007A08A6">
        <w:rPr>
          <w:rFonts w:ascii="Times New Roman" w:hAnsi="Times New Roman"/>
          <w:sz w:val="24"/>
          <w:lang w:val="en-US"/>
        </w:rPr>
        <w:t>‘</w:t>
      </w:r>
      <w:r w:rsidRPr="00CC74F6">
        <w:rPr>
          <w:rFonts w:ascii="Times New Roman" w:hAnsi="Times New Roman"/>
          <w:sz w:val="24"/>
          <w:lang w:val="en-US"/>
        </w:rPr>
        <w:t>The Inherent Hierarchy of Money’, in Lance Taylor, Armon Rezai</w:t>
      </w:r>
      <w:r w:rsidR="00BA0349">
        <w:rPr>
          <w:rFonts w:ascii="Times New Roman" w:hAnsi="Times New Roman"/>
          <w:sz w:val="24"/>
          <w:lang w:val="en-US"/>
        </w:rPr>
        <w:t>,</w:t>
      </w:r>
      <w:r w:rsidRPr="00CC74F6">
        <w:rPr>
          <w:rFonts w:ascii="Times New Roman" w:hAnsi="Times New Roman"/>
          <w:sz w:val="24"/>
          <w:lang w:val="en-US"/>
        </w:rPr>
        <w:t xml:space="preserve"> and Thomas Michl (eds) </w:t>
      </w:r>
      <w:r w:rsidRPr="00CC74F6">
        <w:rPr>
          <w:rFonts w:ascii="Times New Roman" w:hAnsi="Times New Roman"/>
          <w:i/>
          <w:sz w:val="24"/>
          <w:lang w:val="en-US"/>
        </w:rPr>
        <w:t xml:space="preserve">Social Fairness and Economics: Economic Essays in the Spirit of Duncan Foley, </w:t>
      </w:r>
      <w:r w:rsidRPr="00CC74F6">
        <w:rPr>
          <w:rFonts w:ascii="Times New Roman" w:hAnsi="Times New Roman"/>
          <w:sz w:val="24"/>
          <w:lang w:val="en-US"/>
        </w:rPr>
        <w:t>New York:</w:t>
      </w:r>
      <w:r w:rsidRPr="00CC74F6">
        <w:rPr>
          <w:rFonts w:ascii="Times New Roman" w:hAnsi="Times New Roman"/>
          <w:i/>
          <w:sz w:val="24"/>
          <w:lang w:val="en-US"/>
        </w:rPr>
        <w:t xml:space="preserve"> </w:t>
      </w:r>
      <w:r w:rsidRPr="00CC74F6">
        <w:rPr>
          <w:rFonts w:ascii="Times New Roman" w:hAnsi="Times New Roman"/>
          <w:sz w:val="24"/>
          <w:lang w:val="en-US"/>
        </w:rPr>
        <w:t>Routledge, 2012, pp. 394</w:t>
      </w:r>
      <w:r w:rsidR="007A08A6">
        <w:rPr>
          <w:rFonts w:ascii="Times New Roman" w:hAnsi="Times New Roman"/>
          <w:sz w:val="24"/>
          <w:lang w:val="en-US"/>
        </w:rPr>
        <w:t>-</w:t>
      </w:r>
      <w:r w:rsidRPr="00CC74F6">
        <w:rPr>
          <w:rFonts w:ascii="Times New Roman" w:hAnsi="Times New Roman"/>
          <w:sz w:val="24"/>
          <w:lang w:val="en-US"/>
        </w:rPr>
        <w:t>404.</w:t>
      </w:r>
    </w:p>
    <w:p w14:paraId="44D81740" w14:textId="77777777" w:rsidR="008D340B"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Paul, Axel T. ‘Die Legitimität des Geldes</w:t>
      </w:r>
      <w:r w:rsidR="007A08A6">
        <w:rPr>
          <w:rFonts w:ascii="Times New Roman" w:hAnsi="Times New Roman"/>
          <w:sz w:val="24"/>
          <w:lang w:val="en-US"/>
        </w:rPr>
        <w:t>’</w:t>
      </w:r>
      <w:r w:rsidRPr="00CC74F6">
        <w:rPr>
          <w:rFonts w:ascii="Times New Roman" w:hAnsi="Times New Roman"/>
          <w:sz w:val="24"/>
          <w:lang w:val="en-US"/>
        </w:rPr>
        <w:t xml:space="preserve">, </w:t>
      </w:r>
      <w:r w:rsidRPr="00CC74F6">
        <w:rPr>
          <w:rFonts w:ascii="Times New Roman" w:hAnsi="Times New Roman"/>
          <w:i/>
          <w:sz w:val="24"/>
          <w:lang w:val="en-US"/>
        </w:rPr>
        <w:t>Leviathan</w:t>
      </w:r>
      <w:r w:rsidRPr="00CC74F6">
        <w:rPr>
          <w:rFonts w:ascii="Times New Roman" w:hAnsi="Times New Roman"/>
          <w:sz w:val="24"/>
          <w:lang w:val="en-US"/>
        </w:rPr>
        <w:t xml:space="preserve"> 21 (2002)</w:t>
      </w:r>
      <w:r w:rsidR="001A1FBC">
        <w:rPr>
          <w:rFonts w:ascii="Times New Roman" w:hAnsi="Times New Roman"/>
          <w:sz w:val="24"/>
          <w:lang w:val="en-US"/>
        </w:rPr>
        <w:t xml:space="preserve">: </w:t>
      </w:r>
      <w:r w:rsidRPr="00CC74F6">
        <w:rPr>
          <w:rFonts w:ascii="Times New Roman" w:hAnsi="Times New Roman"/>
          <w:sz w:val="24"/>
          <w:lang w:val="en-US"/>
        </w:rPr>
        <w:t>109-129.</w:t>
      </w:r>
    </w:p>
    <w:p w14:paraId="3100BAB5" w14:textId="77777777" w:rsidR="006F7983"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Piketty, Thomas. </w:t>
      </w:r>
      <w:r w:rsidRPr="00CC74F6">
        <w:rPr>
          <w:rFonts w:ascii="Times New Roman" w:hAnsi="Times New Roman"/>
          <w:i/>
          <w:sz w:val="24"/>
          <w:lang w:val="en-US"/>
        </w:rPr>
        <w:t>Capital in the 21st Century</w:t>
      </w:r>
      <w:r w:rsidRPr="00CC74F6">
        <w:rPr>
          <w:rFonts w:ascii="Times New Roman" w:hAnsi="Times New Roman"/>
          <w:sz w:val="24"/>
          <w:lang w:val="en-US"/>
        </w:rPr>
        <w:t xml:space="preserve">, </w:t>
      </w:r>
      <w:r w:rsidR="00D05D05">
        <w:rPr>
          <w:rFonts w:ascii="Times New Roman" w:hAnsi="Times New Roman"/>
          <w:sz w:val="24"/>
          <w:lang w:val="en-US"/>
        </w:rPr>
        <w:t>Cambridge, MA</w:t>
      </w:r>
      <w:r w:rsidRPr="00CC74F6">
        <w:rPr>
          <w:rFonts w:ascii="Times New Roman" w:hAnsi="Times New Roman"/>
          <w:sz w:val="24"/>
          <w:lang w:val="en-US"/>
        </w:rPr>
        <w:t>: Harvard University Press (Kindle Edition), 2014.</w:t>
      </w:r>
    </w:p>
    <w:p w14:paraId="04077E09" w14:textId="77777777" w:rsidR="006E0DE1"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Schmitz, Stefan W. </w:t>
      </w:r>
      <w:r w:rsidR="00574479">
        <w:rPr>
          <w:rFonts w:ascii="Times New Roman" w:hAnsi="Times New Roman"/>
          <w:sz w:val="24"/>
          <w:lang w:val="en-US"/>
        </w:rPr>
        <w:t>‘</w:t>
      </w:r>
      <w:r w:rsidRPr="00CC74F6">
        <w:rPr>
          <w:rFonts w:ascii="Times New Roman" w:hAnsi="Times New Roman"/>
          <w:sz w:val="24"/>
          <w:lang w:val="en-US"/>
        </w:rPr>
        <w:t>Will Central Banking Survive Electronic</w:t>
      </w:r>
      <w:r w:rsidR="001A1FBC">
        <w:rPr>
          <w:rFonts w:ascii="Times New Roman" w:hAnsi="Times New Roman"/>
          <w:sz w:val="24"/>
          <w:lang w:val="en-US"/>
        </w:rPr>
        <w:t xml:space="preserve"> Money?’, in Stephen Millard, </w:t>
      </w:r>
      <w:r w:rsidR="00E16E7F">
        <w:rPr>
          <w:rFonts w:ascii="Times New Roman" w:hAnsi="Times New Roman"/>
          <w:sz w:val="24"/>
          <w:lang w:val="en-US"/>
        </w:rPr>
        <w:t>An</w:t>
      </w:r>
      <w:r w:rsidRPr="00CC74F6">
        <w:rPr>
          <w:rFonts w:ascii="Times New Roman" w:hAnsi="Times New Roman"/>
          <w:sz w:val="24"/>
          <w:lang w:val="en-US"/>
        </w:rPr>
        <w:t>drew Haldane and</w:t>
      </w:r>
      <w:r w:rsidR="00D05D05">
        <w:rPr>
          <w:rFonts w:ascii="Times New Roman" w:hAnsi="Times New Roman"/>
          <w:sz w:val="24"/>
          <w:lang w:val="en-US"/>
        </w:rPr>
        <w:t xml:space="preserve"> </w:t>
      </w:r>
      <w:r w:rsidRPr="00CC74F6">
        <w:rPr>
          <w:rFonts w:ascii="Times New Roman" w:hAnsi="Times New Roman"/>
          <w:sz w:val="24"/>
          <w:lang w:val="en-US"/>
        </w:rPr>
        <w:t xml:space="preserve">Victoria Saporta (eds) </w:t>
      </w:r>
      <w:r w:rsidRPr="00CC74F6">
        <w:rPr>
          <w:rFonts w:ascii="Times New Roman" w:hAnsi="Times New Roman"/>
          <w:i/>
          <w:sz w:val="24"/>
          <w:lang w:val="en-US"/>
        </w:rPr>
        <w:t>The Future of Payments</w:t>
      </w:r>
      <w:r w:rsidRPr="00CC74F6">
        <w:rPr>
          <w:rFonts w:ascii="Times New Roman" w:hAnsi="Times New Roman"/>
          <w:sz w:val="24"/>
          <w:lang w:val="en-US"/>
        </w:rPr>
        <w:t xml:space="preserve">, London: </w:t>
      </w:r>
      <w:r w:rsidR="00E16E7F">
        <w:rPr>
          <w:rFonts w:ascii="Times New Roman" w:hAnsi="Times New Roman"/>
          <w:sz w:val="24"/>
          <w:lang w:val="en-US"/>
        </w:rPr>
        <w:tab/>
      </w:r>
      <w:r w:rsidRPr="00CC74F6">
        <w:rPr>
          <w:rFonts w:ascii="Times New Roman" w:hAnsi="Times New Roman"/>
          <w:sz w:val="24"/>
          <w:lang w:val="en-US"/>
        </w:rPr>
        <w:t>Routledge, 2007, pp. 233-254.</w:t>
      </w:r>
    </w:p>
    <w:p w14:paraId="2E7ACF4D" w14:textId="2DEB1F4B" w:rsidR="001C04BE"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Seyfang, Gill and Noel Longhurst. </w:t>
      </w:r>
      <w:r w:rsidR="00574479">
        <w:rPr>
          <w:rFonts w:ascii="Times New Roman" w:hAnsi="Times New Roman"/>
          <w:sz w:val="24"/>
          <w:lang w:val="en-US"/>
        </w:rPr>
        <w:t>‘</w:t>
      </w:r>
      <w:r w:rsidRPr="00CC74F6">
        <w:rPr>
          <w:rFonts w:ascii="Times New Roman" w:hAnsi="Times New Roman"/>
          <w:sz w:val="24"/>
          <w:lang w:val="en-US"/>
        </w:rPr>
        <w:t>Money, Money, Money? A Scoping Study of Grassroots Complementary Currencies for Sustainability</w:t>
      </w:r>
      <w:r w:rsidR="00574479">
        <w:rPr>
          <w:rFonts w:ascii="Times New Roman" w:hAnsi="Times New Roman"/>
          <w:sz w:val="24"/>
          <w:lang w:val="en-US"/>
        </w:rPr>
        <w:t>’</w:t>
      </w:r>
      <w:r w:rsidRPr="00CC74F6">
        <w:rPr>
          <w:rFonts w:ascii="Times New Roman" w:hAnsi="Times New Roman"/>
          <w:sz w:val="24"/>
          <w:lang w:val="en-US"/>
        </w:rPr>
        <w:t xml:space="preserve">, </w:t>
      </w:r>
      <w:r w:rsidRPr="00CC74F6">
        <w:rPr>
          <w:rFonts w:ascii="Times New Roman" w:hAnsi="Times New Roman"/>
          <w:i/>
          <w:sz w:val="24"/>
          <w:lang w:val="en-US"/>
        </w:rPr>
        <w:t>3S Working Paper</w:t>
      </w:r>
      <w:r w:rsidR="009C7318">
        <w:rPr>
          <w:rFonts w:ascii="Times New Roman" w:hAnsi="Times New Roman"/>
          <w:i/>
          <w:sz w:val="24"/>
          <w:lang w:val="en-US"/>
        </w:rPr>
        <w:t>,</w:t>
      </w:r>
      <w:r w:rsidR="009C7318">
        <w:rPr>
          <w:rFonts w:ascii="Times New Roman" w:hAnsi="Times New Roman"/>
          <w:sz w:val="24"/>
          <w:lang w:val="en-US"/>
        </w:rPr>
        <w:t xml:space="preserve"> 2012</w:t>
      </w:r>
      <w:r w:rsidRPr="00CC74F6">
        <w:rPr>
          <w:rFonts w:ascii="Times New Roman" w:hAnsi="Times New Roman"/>
          <w:sz w:val="24"/>
          <w:lang w:val="en-US"/>
        </w:rPr>
        <w:t>.</w:t>
      </w:r>
    </w:p>
    <w:p w14:paraId="386F8102" w14:textId="2897CBB7" w:rsidR="00185E9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Task Force of the Monetary Policy Committee of the European System of Central Banks. Corporate Finance and Economic Activity in The Euro</w:t>
      </w:r>
      <w:r w:rsidR="00B60DAA">
        <w:rPr>
          <w:rFonts w:ascii="Times New Roman" w:hAnsi="Times New Roman"/>
          <w:sz w:val="24"/>
          <w:lang w:val="en-US"/>
        </w:rPr>
        <w:t xml:space="preserve"> Area. Structural Issues Report</w:t>
      </w:r>
      <w:r w:rsidRPr="00CC74F6">
        <w:rPr>
          <w:rFonts w:ascii="Times New Roman" w:hAnsi="Times New Roman"/>
          <w:sz w:val="24"/>
          <w:lang w:val="en-US"/>
        </w:rPr>
        <w:t xml:space="preserve">, </w:t>
      </w:r>
      <w:r w:rsidRPr="00CC74F6">
        <w:rPr>
          <w:rFonts w:ascii="Times New Roman" w:hAnsi="Times New Roman"/>
          <w:i/>
          <w:sz w:val="24"/>
          <w:lang w:val="en-US"/>
        </w:rPr>
        <w:t>ECB Occasional Paper Series</w:t>
      </w:r>
      <w:r w:rsidRPr="00CC74F6">
        <w:rPr>
          <w:rFonts w:ascii="Times New Roman" w:hAnsi="Times New Roman"/>
          <w:sz w:val="24"/>
          <w:lang w:val="en-US"/>
        </w:rPr>
        <w:t xml:space="preserve"> 151, </w:t>
      </w:r>
      <w:r w:rsidR="00B60DAA">
        <w:rPr>
          <w:rFonts w:ascii="Times New Roman" w:hAnsi="Times New Roman"/>
          <w:sz w:val="24"/>
          <w:lang w:val="en-US"/>
        </w:rPr>
        <w:t>(</w:t>
      </w:r>
      <w:r w:rsidRPr="00CC74F6">
        <w:rPr>
          <w:rFonts w:ascii="Times New Roman" w:hAnsi="Times New Roman"/>
          <w:sz w:val="24"/>
          <w:lang w:val="en-US"/>
        </w:rPr>
        <w:t>2013</w:t>
      </w:r>
      <w:r w:rsidR="00B60DAA">
        <w:rPr>
          <w:rFonts w:ascii="Times New Roman" w:hAnsi="Times New Roman"/>
          <w:sz w:val="24"/>
          <w:lang w:val="en-US"/>
        </w:rPr>
        <w:t>)</w:t>
      </w:r>
      <w:r w:rsidRPr="00CC74F6">
        <w:rPr>
          <w:rFonts w:ascii="Times New Roman" w:hAnsi="Times New Roman"/>
          <w:sz w:val="24"/>
          <w:lang w:val="en-US"/>
        </w:rPr>
        <w:t>.</w:t>
      </w:r>
    </w:p>
    <w:p w14:paraId="28B500DF" w14:textId="77777777" w:rsidR="00E47CF2"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Weber, Beat. </w:t>
      </w:r>
      <w:r w:rsidR="00D72E06">
        <w:rPr>
          <w:rFonts w:ascii="Times New Roman" w:hAnsi="Times New Roman"/>
          <w:sz w:val="24"/>
          <w:lang w:val="en-US"/>
        </w:rPr>
        <w:t>‘</w:t>
      </w:r>
      <w:r w:rsidRPr="00CC74F6">
        <w:rPr>
          <w:rFonts w:ascii="Times New Roman" w:hAnsi="Times New Roman"/>
          <w:sz w:val="24"/>
          <w:lang w:val="en-US"/>
        </w:rPr>
        <w:t xml:space="preserve">Can Bitcoin Compete With Money?’, </w:t>
      </w:r>
      <w:r w:rsidRPr="00CC74F6">
        <w:rPr>
          <w:rFonts w:ascii="Times New Roman" w:hAnsi="Times New Roman"/>
          <w:i/>
          <w:sz w:val="24"/>
          <w:lang w:val="en-US"/>
        </w:rPr>
        <w:t>Journal of Peer Production</w:t>
      </w:r>
      <w:r w:rsidR="001A1FBC">
        <w:rPr>
          <w:rFonts w:ascii="Times New Roman" w:hAnsi="Times New Roman"/>
          <w:sz w:val="24"/>
          <w:lang w:val="en-US"/>
        </w:rPr>
        <w:t xml:space="preserve"> 4 (2014), </w:t>
      </w:r>
      <w:hyperlink r:id="rId11" w:history="1">
        <w:r w:rsidR="001A1FBC" w:rsidRPr="008D0A25">
          <w:rPr>
            <w:rStyle w:val="Hyperlink"/>
            <w:rFonts w:ascii="Times New Roman" w:hAnsi="Times New Roman"/>
            <w:sz w:val="24"/>
            <w:lang w:val="en-US"/>
          </w:rPr>
          <w:t>http://peerproduction.net/issues/issue-4-value-and-currency/invited-comments/can-bitcoin-compete-with-money/</w:t>
        </w:r>
      </w:hyperlink>
      <w:r w:rsidRPr="00CC74F6">
        <w:rPr>
          <w:rFonts w:ascii="Times New Roman" w:hAnsi="Times New Roman"/>
          <w:sz w:val="24"/>
          <w:lang w:val="en-US"/>
        </w:rPr>
        <w:t>.</w:t>
      </w:r>
    </w:p>
    <w:p w14:paraId="42EF2801" w14:textId="77777777" w:rsidR="005E1F6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Weber, Warren E. </w:t>
      </w:r>
      <w:r w:rsidR="00EC2A53">
        <w:rPr>
          <w:rFonts w:ascii="Times New Roman" w:hAnsi="Times New Roman"/>
          <w:sz w:val="24"/>
          <w:lang w:val="en-US"/>
        </w:rPr>
        <w:t>‘</w:t>
      </w:r>
      <w:r w:rsidRPr="00CC74F6">
        <w:rPr>
          <w:rFonts w:ascii="Times New Roman" w:hAnsi="Times New Roman"/>
          <w:sz w:val="24"/>
          <w:lang w:val="en-US"/>
        </w:rPr>
        <w:t>The Efficiency of Private E-money-like Systems: The U.S. Experience with State Bank Notes</w:t>
      </w:r>
      <w:r w:rsidR="00EC2A53">
        <w:rPr>
          <w:rFonts w:ascii="Times New Roman" w:hAnsi="Times New Roman"/>
          <w:sz w:val="24"/>
          <w:lang w:val="en-US"/>
        </w:rPr>
        <w:t>’</w:t>
      </w:r>
      <w:r w:rsidRPr="00CC74F6">
        <w:rPr>
          <w:rFonts w:ascii="Times New Roman" w:hAnsi="Times New Roman"/>
          <w:sz w:val="24"/>
          <w:lang w:val="en-US"/>
        </w:rPr>
        <w:t xml:space="preserve">, </w:t>
      </w:r>
      <w:r w:rsidRPr="00CC74F6">
        <w:rPr>
          <w:rFonts w:ascii="Times New Roman" w:hAnsi="Times New Roman"/>
          <w:i/>
          <w:sz w:val="24"/>
          <w:lang w:val="en-US"/>
        </w:rPr>
        <w:t>Bank of Canada Working Paper</w:t>
      </w:r>
      <w:r w:rsidR="002372C7">
        <w:rPr>
          <w:rFonts w:ascii="Times New Roman" w:hAnsi="Times New Roman"/>
          <w:sz w:val="24"/>
          <w:lang w:val="en-US"/>
        </w:rPr>
        <w:t>,</w:t>
      </w:r>
      <w:r w:rsidRPr="00CC74F6">
        <w:rPr>
          <w:rFonts w:ascii="Times New Roman" w:hAnsi="Times New Roman"/>
          <w:sz w:val="24"/>
          <w:lang w:val="en-US"/>
        </w:rPr>
        <w:t xml:space="preserve"> 2014-15.</w:t>
      </w:r>
    </w:p>
    <w:p w14:paraId="6BDE82A8" w14:textId="626EF3EF" w:rsidR="005E1F6F"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 xml:space="preserve">White, Lawrence H. </w:t>
      </w:r>
      <w:r w:rsidR="00EC2A53">
        <w:rPr>
          <w:rFonts w:ascii="Times New Roman" w:hAnsi="Times New Roman"/>
          <w:sz w:val="24"/>
          <w:lang w:val="en-US"/>
        </w:rPr>
        <w:t>‘</w:t>
      </w:r>
      <w:r w:rsidRPr="00CC74F6">
        <w:rPr>
          <w:rFonts w:ascii="Times New Roman" w:hAnsi="Times New Roman"/>
          <w:sz w:val="24"/>
          <w:lang w:val="en-US"/>
        </w:rPr>
        <w:t>Competing Money Supplies’, in David R. Henderson (ed</w:t>
      </w:r>
      <w:r w:rsidR="00B60DAA">
        <w:rPr>
          <w:rFonts w:ascii="Times New Roman" w:hAnsi="Times New Roman"/>
          <w:sz w:val="24"/>
          <w:lang w:val="en-US"/>
        </w:rPr>
        <w:t>.</w:t>
      </w:r>
      <w:r w:rsidRPr="00CC74F6">
        <w:rPr>
          <w:rFonts w:ascii="Times New Roman" w:hAnsi="Times New Roman"/>
          <w:sz w:val="24"/>
          <w:lang w:val="en-US"/>
        </w:rPr>
        <w:t xml:space="preserve">) </w:t>
      </w:r>
      <w:r w:rsidRPr="00CC74F6">
        <w:rPr>
          <w:rFonts w:ascii="Times New Roman" w:hAnsi="Times New Roman"/>
          <w:i/>
          <w:sz w:val="24"/>
          <w:lang w:val="en-US"/>
        </w:rPr>
        <w:t>The Concise Encyclopedia of Economics</w:t>
      </w:r>
      <w:r w:rsidRPr="00CC74F6">
        <w:rPr>
          <w:rFonts w:ascii="Times New Roman" w:hAnsi="Times New Roman"/>
          <w:sz w:val="24"/>
          <w:lang w:val="en-US"/>
        </w:rPr>
        <w:t>, Indianapolis: Liberty Fund, 2007, pp. 71-73.</w:t>
      </w:r>
    </w:p>
    <w:p w14:paraId="52474E22" w14:textId="77777777" w:rsidR="00A45FB3" w:rsidRPr="008B2ED9" w:rsidRDefault="00CC74F6" w:rsidP="001A1FBC">
      <w:pPr>
        <w:spacing w:before="120" w:after="240" w:line="276" w:lineRule="auto"/>
        <w:rPr>
          <w:rFonts w:ascii="Times New Roman" w:hAnsi="Times New Roman"/>
          <w:sz w:val="24"/>
          <w:lang w:val="en-US"/>
        </w:rPr>
      </w:pPr>
      <w:r w:rsidRPr="00CC74F6">
        <w:rPr>
          <w:rFonts w:ascii="Times New Roman" w:hAnsi="Times New Roman"/>
          <w:sz w:val="24"/>
          <w:lang w:val="en-US"/>
        </w:rPr>
        <w:t>Woodruff, Da</w:t>
      </w:r>
      <w:r w:rsidR="002372C7">
        <w:rPr>
          <w:rFonts w:ascii="Times New Roman" w:hAnsi="Times New Roman"/>
          <w:sz w:val="24"/>
          <w:lang w:val="en-US"/>
        </w:rPr>
        <w:t>vid. ‘</w:t>
      </w:r>
      <w:r w:rsidRPr="00CC74F6">
        <w:rPr>
          <w:rFonts w:ascii="Times New Roman" w:hAnsi="Times New Roman"/>
          <w:sz w:val="24"/>
          <w:lang w:val="en-US"/>
        </w:rPr>
        <w:t xml:space="preserve">Monetary Surrogates and Money's Dual Nature’, in Jocelyn Pixley and G.C.Harcourt (eds) </w:t>
      </w:r>
      <w:r w:rsidRPr="00CC74F6">
        <w:rPr>
          <w:rFonts w:ascii="Times New Roman" w:hAnsi="Times New Roman"/>
          <w:i/>
          <w:sz w:val="24"/>
          <w:lang w:val="en-US"/>
        </w:rPr>
        <w:t>Financial Crises and the Nature of Capitalist Money. Mutual Developments from the Work of Geoffrey Ingham,</w:t>
      </w:r>
      <w:r w:rsidRPr="00CC74F6">
        <w:rPr>
          <w:rFonts w:ascii="Times New Roman" w:hAnsi="Times New Roman"/>
          <w:sz w:val="24"/>
          <w:lang w:val="en-US"/>
        </w:rPr>
        <w:t xml:space="preserve"> Houndsmill/New York: Palgrave, 2013, pp. 101-123.</w:t>
      </w:r>
    </w:p>
    <w:sectPr w:rsidR="00A45FB3" w:rsidRPr="008B2ED9" w:rsidSect="001A1FBC">
      <w:footerReference w:type="even"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D09E5" w14:textId="77777777" w:rsidR="00B17C2C" w:rsidRDefault="00B17C2C" w:rsidP="00816572">
      <w:r>
        <w:separator/>
      </w:r>
    </w:p>
  </w:endnote>
  <w:endnote w:type="continuationSeparator" w:id="0">
    <w:p w14:paraId="2323EE7A" w14:textId="77777777" w:rsidR="00B17C2C" w:rsidRDefault="00B17C2C" w:rsidP="0081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erpetua">
    <w:panose1 w:val="02020502060401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B3AB4" w14:textId="77777777" w:rsidR="00B17C2C" w:rsidRDefault="00B17C2C" w:rsidP="008672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58D1F4" w14:textId="77777777" w:rsidR="00B17C2C" w:rsidRDefault="00B17C2C" w:rsidP="00F04C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0D04" w14:textId="77777777" w:rsidR="00B17C2C" w:rsidRDefault="00B17C2C" w:rsidP="008672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5E4E">
      <w:rPr>
        <w:rStyle w:val="PageNumber"/>
        <w:noProof/>
      </w:rPr>
      <w:t>8</w:t>
    </w:r>
    <w:r>
      <w:rPr>
        <w:rStyle w:val="PageNumber"/>
      </w:rPr>
      <w:fldChar w:fldCharType="end"/>
    </w:r>
  </w:p>
  <w:p w14:paraId="410A34B8" w14:textId="77777777" w:rsidR="00B17C2C" w:rsidRDefault="00B17C2C" w:rsidP="00F04CF4">
    <w:pPr>
      <w:pStyle w:val="Footer"/>
      <w:ind w:right="360"/>
    </w:pPr>
  </w:p>
  <w:p w14:paraId="3F954452" w14:textId="77777777" w:rsidR="00B17C2C" w:rsidRDefault="00B17C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D45CC" w14:textId="77777777" w:rsidR="00B17C2C" w:rsidRDefault="00B17C2C" w:rsidP="00816572">
      <w:r>
        <w:separator/>
      </w:r>
    </w:p>
  </w:footnote>
  <w:footnote w:type="continuationSeparator" w:id="0">
    <w:p w14:paraId="4FD02BD8" w14:textId="77777777" w:rsidR="00B17C2C" w:rsidRDefault="00B17C2C" w:rsidP="00816572">
      <w:r>
        <w:continuationSeparator/>
      </w:r>
    </w:p>
  </w:footnote>
  <w:footnote w:id="1">
    <w:p w14:paraId="4F2DD590" w14:textId="77777777"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rPr>
        <w:t>The views expressed in this text do not necessarily coincide with those of my employer. I am grateful to Stefan Schmitz for comments on an earlier draft of this paper.</w:t>
      </w:r>
    </w:p>
  </w:footnote>
  <w:footnote w:id="2">
    <w:p w14:paraId="2C66C6B0" w14:textId="77777777"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rPr>
        <w:t>Gill</w:t>
      </w:r>
      <w:r w:rsidRPr="001A1FBC">
        <w:rPr>
          <w:sz w:val="22"/>
          <w:szCs w:val="22"/>
        </w:rPr>
        <w:t xml:space="preserve"> </w:t>
      </w:r>
      <w:r w:rsidRPr="001A1FBC">
        <w:rPr>
          <w:rFonts w:ascii="Times New Roman" w:hAnsi="Times New Roman"/>
          <w:sz w:val="22"/>
          <w:szCs w:val="22"/>
          <w:lang w:val="en-US"/>
        </w:rPr>
        <w:t xml:space="preserve">Seyfang and Noel Longhurst, ‘Money, Money, Money? A Scoping Study of Grassroots Complementary Currencies for Sustainability’, </w:t>
      </w:r>
      <w:r w:rsidRPr="001A1FBC">
        <w:rPr>
          <w:rFonts w:ascii="Times New Roman" w:hAnsi="Times New Roman"/>
          <w:i/>
          <w:sz w:val="22"/>
          <w:szCs w:val="22"/>
          <w:lang w:val="en-US"/>
        </w:rPr>
        <w:t>3S Working Paper</w:t>
      </w:r>
      <w:r w:rsidRPr="001A1FBC">
        <w:rPr>
          <w:rFonts w:ascii="Times New Roman" w:hAnsi="Times New Roman"/>
          <w:sz w:val="22"/>
          <w:szCs w:val="22"/>
          <w:lang w:val="en-US"/>
        </w:rPr>
        <w:t>, 2012.</w:t>
      </w:r>
    </w:p>
  </w:footnote>
  <w:footnote w:id="3">
    <w:p w14:paraId="7DE10B73" w14:textId="77777777" w:rsidR="00B17C2C" w:rsidRPr="001A1FBC" w:rsidRDefault="00B17C2C" w:rsidP="001A1FBC">
      <w:pPr>
        <w:rPr>
          <w:rFonts w:ascii="Times New Roman" w:hAnsi="Times New Roman"/>
          <w:sz w:val="22"/>
          <w:szCs w:val="22"/>
          <w:lang w:val="en-US"/>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lang w:val="en-US"/>
        </w:rPr>
        <w:t xml:space="preserve">Geoffrey Ingham, </w:t>
      </w:r>
      <w:r w:rsidRPr="001A1FBC">
        <w:rPr>
          <w:rFonts w:ascii="Times New Roman" w:hAnsi="Times New Roman"/>
          <w:i/>
          <w:sz w:val="22"/>
          <w:szCs w:val="22"/>
          <w:lang w:val="en-US"/>
        </w:rPr>
        <w:t>The Nature of Money</w:t>
      </w:r>
      <w:r w:rsidRPr="001A1FBC">
        <w:rPr>
          <w:rFonts w:ascii="Times New Roman" w:hAnsi="Times New Roman"/>
          <w:sz w:val="22"/>
          <w:szCs w:val="22"/>
          <w:lang w:val="en-US"/>
        </w:rPr>
        <w:t>, Cambridge: Polity Press, 2004</w:t>
      </w:r>
      <w:r w:rsidRPr="001A1FBC">
        <w:rPr>
          <w:rFonts w:ascii="Times New Roman" w:hAnsi="Times New Roman"/>
          <w:sz w:val="22"/>
          <w:szCs w:val="22"/>
        </w:rPr>
        <w:t xml:space="preserve">; </w:t>
      </w:r>
      <w:r w:rsidRPr="001A1FBC">
        <w:rPr>
          <w:rFonts w:ascii="Times New Roman" w:hAnsi="Times New Roman"/>
          <w:sz w:val="22"/>
          <w:szCs w:val="22"/>
          <w:lang w:val="en-US"/>
        </w:rPr>
        <w:t xml:space="preserve">Makoto Itoh and Lapavitsas Costas, </w:t>
      </w:r>
      <w:r w:rsidRPr="001A1FBC">
        <w:rPr>
          <w:rFonts w:ascii="Times New Roman" w:hAnsi="Times New Roman"/>
          <w:i/>
          <w:sz w:val="22"/>
          <w:szCs w:val="22"/>
          <w:lang w:val="en-US"/>
        </w:rPr>
        <w:t>Political Economy of Money and Finance</w:t>
      </w:r>
      <w:r w:rsidRPr="001A1FBC">
        <w:rPr>
          <w:rFonts w:ascii="Times New Roman" w:hAnsi="Times New Roman"/>
          <w:sz w:val="22"/>
          <w:szCs w:val="22"/>
          <w:lang w:val="en-US"/>
        </w:rPr>
        <w:t>, Hampshire and London: MacMillan Press, 1999.</w:t>
      </w:r>
    </w:p>
    <w:p w14:paraId="3D813FDA" w14:textId="77777777" w:rsidR="00B17C2C" w:rsidRPr="001A1FBC" w:rsidRDefault="00B17C2C" w:rsidP="001A1FBC">
      <w:pPr>
        <w:pStyle w:val="FootnoteText"/>
        <w:rPr>
          <w:sz w:val="22"/>
          <w:szCs w:val="22"/>
        </w:rPr>
      </w:pPr>
    </w:p>
  </w:footnote>
  <w:footnote w:id="4">
    <w:p w14:paraId="227B5874" w14:textId="77777777" w:rsidR="00B17C2C" w:rsidRPr="001A1FBC" w:rsidRDefault="00B17C2C" w:rsidP="001A1FBC">
      <w:pPr>
        <w:rPr>
          <w:rFonts w:ascii="Times New Roman" w:hAnsi="Times New Roman"/>
          <w:sz w:val="22"/>
          <w:szCs w:val="22"/>
          <w:lang w:val="en-US"/>
        </w:rPr>
      </w:pPr>
      <w:r w:rsidRPr="001A1FBC">
        <w:rPr>
          <w:rStyle w:val="FootnoteReference"/>
          <w:sz w:val="22"/>
          <w:szCs w:val="22"/>
        </w:rPr>
        <w:footnoteRef/>
      </w:r>
      <w:r w:rsidRPr="001A1FBC">
        <w:rPr>
          <w:rFonts w:ascii="Times New Roman" w:hAnsi="Times New Roman"/>
          <w:sz w:val="22"/>
          <w:szCs w:val="22"/>
          <w:lang w:val="en-US"/>
        </w:rPr>
        <w:t xml:space="preserve"> Lawrence H. White, ‘Competing Money Supplies’, in David R. Henderson (ed.) </w:t>
      </w:r>
      <w:r w:rsidRPr="001A1FBC">
        <w:rPr>
          <w:rFonts w:ascii="Times New Roman" w:hAnsi="Times New Roman"/>
          <w:i/>
          <w:sz w:val="22"/>
          <w:szCs w:val="22"/>
          <w:lang w:val="en-US"/>
        </w:rPr>
        <w:t>The Concise Encyclopedia of Economics</w:t>
      </w:r>
      <w:r w:rsidRPr="001A1FBC">
        <w:rPr>
          <w:rFonts w:ascii="Times New Roman" w:hAnsi="Times New Roman"/>
          <w:sz w:val="22"/>
          <w:szCs w:val="22"/>
          <w:lang w:val="en-US"/>
        </w:rPr>
        <w:t>, Indianapolis: Liberty Fund, 2007, pp. 71-73</w:t>
      </w:r>
      <w:r w:rsidRPr="001A1FBC">
        <w:rPr>
          <w:rFonts w:ascii="Times New Roman" w:hAnsi="Times New Roman"/>
          <w:sz w:val="22"/>
          <w:szCs w:val="22"/>
        </w:rPr>
        <w:t xml:space="preserve">; Stefan W. </w:t>
      </w:r>
      <w:r w:rsidRPr="001A1FBC">
        <w:rPr>
          <w:rFonts w:ascii="Times New Roman" w:hAnsi="Times New Roman"/>
          <w:sz w:val="22"/>
          <w:szCs w:val="22"/>
          <w:lang w:val="en-US"/>
        </w:rPr>
        <w:t xml:space="preserve">Schmitz,‘Will Central Banking Survive Electronic Money?’, in Stephen Millard, Andrew Haldane, and Victoria Saporta (eds) </w:t>
      </w:r>
      <w:r w:rsidRPr="001A1FBC">
        <w:rPr>
          <w:rFonts w:ascii="Times New Roman" w:hAnsi="Times New Roman"/>
          <w:i/>
          <w:sz w:val="22"/>
          <w:szCs w:val="22"/>
          <w:lang w:val="en-US"/>
        </w:rPr>
        <w:t>The Future of Payments</w:t>
      </w:r>
      <w:r w:rsidRPr="001A1FBC">
        <w:rPr>
          <w:rFonts w:ascii="Times New Roman" w:hAnsi="Times New Roman"/>
          <w:sz w:val="22"/>
          <w:szCs w:val="22"/>
          <w:lang w:val="en-US"/>
        </w:rPr>
        <w:t>, London: Routledge, 2007, pp. 233-254</w:t>
      </w:r>
      <w:r w:rsidRPr="001A1FBC">
        <w:rPr>
          <w:rFonts w:ascii="Times New Roman" w:hAnsi="Times New Roman"/>
          <w:sz w:val="22"/>
          <w:szCs w:val="22"/>
        </w:rPr>
        <w:t>.</w:t>
      </w:r>
    </w:p>
  </w:footnote>
  <w:footnote w:id="5">
    <w:p w14:paraId="70FD0DD7" w14:textId="77777777" w:rsidR="00B17C2C" w:rsidRPr="001A1FBC" w:rsidRDefault="00B17C2C" w:rsidP="001A1FBC">
      <w:pPr>
        <w:rPr>
          <w:rFonts w:ascii="Times New Roman" w:hAnsi="Times New Roman"/>
          <w:sz w:val="22"/>
          <w:szCs w:val="22"/>
          <w:lang w:val="en-US"/>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lang w:val="en-US"/>
        </w:rPr>
        <w:t xml:space="preserve">Warren E. Weber, ‘The Efficiency of Private E-money-like Systems: The U.S. Experience With State Bank Notes’, </w:t>
      </w:r>
      <w:r w:rsidRPr="001A1FBC">
        <w:rPr>
          <w:rFonts w:ascii="Times New Roman" w:hAnsi="Times New Roman"/>
          <w:i/>
          <w:sz w:val="22"/>
          <w:szCs w:val="22"/>
          <w:lang w:val="en-US"/>
        </w:rPr>
        <w:t>Bank of Canada Working Paper</w:t>
      </w:r>
      <w:r w:rsidRPr="001A1FBC">
        <w:rPr>
          <w:rFonts w:ascii="Times New Roman" w:hAnsi="Times New Roman"/>
          <w:sz w:val="22"/>
          <w:szCs w:val="22"/>
          <w:lang w:val="en-US"/>
        </w:rPr>
        <w:t>, 2014-15.</w:t>
      </w:r>
    </w:p>
  </w:footnote>
  <w:footnote w:id="6">
    <w:p w14:paraId="3708D7AF" w14:textId="77777777"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rPr>
        <w:t>The reason for this ban can be found in an attempt by banks to install a disciplining device against banknote overissuance. In the system under consideration, banknotes had to be redeemable in gold held by banks. With large-denomination notes, so the argument went, the public would have a greater incentive to continually redeem them in gold. Small denomination notes on the other hand would circulate for too long a time, therefore offering banks an incentive to overissue them.</w:t>
      </w:r>
    </w:p>
  </w:footnote>
  <w:footnote w:id="7">
    <w:p w14:paraId="694721AC" w14:textId="77777777" w:rsidR="00B17C2C" w:rsidRPr="001A1FBC" w:rsidRDefault="00B17C2C" w:rsidP="001A1FBC">
      <w:pPr>
        <w:rPr>
          <w:rFonts w:ascii="Times New Roman" w:hAnsi="Times New Roman"/>
          <w:sz w:val="22"/>
          <w:szCs w:val="22"/>
          <w:lang w:val="en-US"/>
        </w:rPr>
      </w:pPr>
      <w:r w:rsidRPr="001A1FBC">
        <w:rPr>
          <w:rStyle w:val="FootnoteReference"/>
          <w:sz w:val="22"/>
          <w:szCs w:val="22"/>
        </w:rPr>
        <w:footnoteRef/>
      </w:r>
      <w:r w:rsidRPr="001A1FBC">
        <w:rPr>
          <w:rFonts w:ascii="Times New Roman" w:hAnsi="Times New Roman"/>
          <w:sz w:val="22"/>
          <w:szCs w:val="22"/>
          <w:lang w:val="en-US"/>
        </w:rPr>
        <w:t xml:space="preserve"> Bruce Champ, </w:t>
      </w:r>
      <w:r w:rsidRPr="001A1FBC">
        <w:rPr>
          <w:rFonts w:ascii="Times New Roman" w:hAnsi="Times New Roman"/>
          <w:i/>
          <w:sz w:val="22"/>
          <w:szCs w:val="22"/>
          <w:lang w:val="en-US"/>
        </w:rPr>
        <w:t>Private Money in Our Past, Present, and Future</w:t>
      </w:r>
      <w:r w:rsidRPr="001A1FBC">
        <w:rPr>
          <w:rFonts w:ascii="Times New Roman" w:hAnsi="Times New Roman"/>
          <w:sz w:val="22"/>
          <w:szCs w:val="22"/>
          <w:lang w:val="en-US"/>
        </w:rPr>
        <w:t xml:space="preserve">, </w:t>
      </w:r>
      <w:hyperlink r:id="rId1" w:history="1">
        <w:r w:rsidRPr="008D0A25">
          <w:rPr>
            <w:rStyle w:val="Hyperlink"/>
            <w:rFonts w:ascii="Times New Roman" w:hAnsi="Times New Roman"/>
            <w:sz w:val="22"/>
            <w:szCs w:val="22"/>
            <w:lang w:val="en-US"/>
          </w:rPr>
          <w:t>http://www.clevelandfed.org/research/commentary/2007/010107.cfm</w:t>
        </w:r>
      </w:hyperlink>
      <w:r w:rsidRPr="001A1FBC">
        <w:rPr>
          <w:rFonts w:ascii="Times New Roman" w:hAnsi="Times New Roman"/>
          <w:sz w:val="22"/>
          <w:szCs w:val="22"/>
          <w:lang w:val="en-US"/>
        </w:rPr>
        <w:t>.</w:t>
      </w:r>
    </w:p>
  </w:footnote>
  <w:footnote w:id="8">
    <w:p w14:paraId="68E3C02A" w14:textId="77777777" w:rsidR="00B17C2C" w:rsidRPr="001A1FBC" w:rsidRDefault="00B17C2C" w:rsidP="001A1FBC">
      <w:pPr>
        <w:rPr>
          <w:rFonts w:ascii="Times New Roman" w:hAnsi="Times New Roman"/>
          <w:sz w:val="22"/>
          <w:szCs w:val="22"/>
          <w:lang w:val="en-US"/>
        </w:rPr>
      </w:pPr>
      <w:r w:rsidRPr="001A1FBC">
        <w:rPr>
          <w:rStyle w:val="FootnoteReference"/>
          <w:sz w:val="22"/>
          <w:szCs w:val="22"/>
        </w:rPr>
        <w:footnoteRef/>
      </w:r>
      <w:r w:rsidRPr="001A1FBC">
        <w:rPr>
          <w:rFonts w:ascii="Times New Roman" w:hAnsi="Times New Roman"/>
          <w:sz w:val="22"/>
          <w:szCs w:val="22"/>
          <w:lang w:val="en-US"/>
        </w:rPr>
        <w:t xml:space="preserve"> Beat Weber, ‘Can Bitcoin Compete With Money?’, </w:t>
      </w:r>
      <w:r w:rsidRPr="001A1FBC">
        <w:rPr>
          <w:rFonts w:ascii="Times New Roman" w:hAnsi="Times New Roman"/>
          <w:i/>
          <w:sz w:val="22"/>
          <w:szCs w:val="22"/>
          <w:lang w:val="en-US"/>
        </w:rPr>
        <w:t>Journal of Peer Production</w:t>
      </w:r>
      <w:r>
        <w:rPr>
          <w:rFonts w:ascii="Times New Roman" w:hAnsi="Times New Roman"/>
          <w:sz w:val="22"/>
          <w:szCs w:val="22"/>
          <w:lang w:val="en-US"/>
        </w:rPr>
        <w:t xml:space="preserve"> 4 (2014), </w:t>
      </w:r>
      <w:hyperlink r:id="rId2" w:history="1">
        <w:r w:rsidRPr="008D0A25">
          <w:rPr>
            <w:rStyle w:val="Hyperlink"/>
            <w:rFonts w:ascii="Times New Roman" w:hAnsi="Times New Roman"/>
            <w:sz w:val="22"/>
            <w:szCs w:val="22"/>
            <w:lang w:val="en-US"/>
          </w:rPr>
          <w:t>http://peerproduction.net/issues/issue-4-value-and-currency/invited-comments/can-bitcoin-compete-with-money/</w:t>
        </w:r>
      </w:hyperlink>
      <w:r w:rsidRPr="001A1FBC">
        <w:rPr>
          <w:rFonts w:ascii="Times New Roman" w:hAnsi="Times New Roman"/>
          <w:sz w:val="22"/>
          <w:szCs w:val="22"/>
          <w:lang w:val="en-US"/>
        </w:rPr>
        <w:t>.</w:t>
      </w:r>
    </w:p>
  </w:footnote>
  <w:footnote w:id="9">
    <w:p w14:paraId="044FEEB1" w14:textId="77777777" w:rsidR="00B17C2C" w:rsidRPr="001A1FBC" w:rsidRDefault="00B17C2C" w:rsidP="001A1FBC">
      <w:pPr>
        <w:pStyle w:val="FootnoteText"/>
        <w:rPr>
          <w:sz w:val="22"/>
          <w:szCs w:val="22"/>
        </w:rPr>
      </w:pPr>
      <w:r w:rsidRPr="001A1FBC">
        <w:rPr>
          <w:rStyle w:val="FootnoteReference"/>
          <w:sz w:val="22"/>
          <w:szCs w:val="22"/>
        </w:rPr>
        <w:footnoteRef/>
      </w:r>
      <w:r w:rsidRPr="001A1FBC">
        <w:rPr>
          <w:rFonts w:ascii="Times New Roman" w:hAnsi="Times New Roman"/>
          <w:sz w:val="22"/>
          <w:szCs w:val="22"/>
          <w:lang w:val="en-US"/>
        </w:rPr>
        <w:t xml:space="preserve"> Bruce Champ, </w:t>
      </w:r>
      <w:r w:rsidRPr="001A1FBC">
        <w:rPr>
          <w:rFonts w:ascii="Times New Roman" w:hAnsi="Times New Roman"/>
          <w:i/>
          <w:sz w:val="22"/>
          <w:szCs w:val="22"/>
          <w:lang w:val="en-US"/>
        </w:rPr>
        <w:t>Private Money in Our Past, Present, and Future</w:t>
      </w:r>
      <w:r w:rsidRPr="001A1FBC">
        <w:rPr>
          <w:rFonts w:ascii="Times New Roman" w:hAnsi="Times New Roman"/>
          <w:sz w:val="22"/>
          <w:szCs w:val="22"/>
          <w:lang w:val="en-US"/>
        </w:rPr>
        <w:t xml:space="preserve">, 2007, </w:t>
      </w:r>
      <w:hyperlink r:id="rId3" w:history="1">
        <w:r w:rsidRPr="008D0A25">
          <w:rPr>
            <w:rStyle w:val="Hyperlink"/>
            <w:rFonts w:ascii="Times New Roman" w:hAnsi="Times New Roman"/>
            <w:sz w:val="22"/>
            <w:szCs w:val="22"/>
            <w:lang w:val="en-US"/>
          </w:rPr>
          <w:t>http://www.clevelandfed.org/research/commentary/2007/010107.cfm</w:t>
        </w:r>
      </w:hyperlink>
      <w:r w:rsidRPr="001A1FBC">
        <w:rPr>
          <w:rFonts w:ascii="Times New Roman" w:hAnsi="Times New Roman"/>
          <w:sz w:val="22"/>
          <w:szCs w:val="22"/>
        </w:rPr>
        <w:t>.</w:t>
      </w:r>
    </w:p>
  </w:footnote>
  <w:footnote w:id="10">
    <w:p w14:paraId="0984B134" w14:textId="77777777" w:rsidR="00B17C2C" w:rsidRPr="001A1FBC" w:rsidRDefault="00B17C2C" w:rsidP="001A1FBC">
      <w:pPr>
        <w:pStyle w:val="FootnoteText"/>
        <w:rPr>
          <w:sz w:val="22"/>
          <w:szCs w:val="22"/>
        </w:rPr>
      </w:pPr>
      <w:r w:rsidRPr="001A1FBC">
        <w:rPr>
          <w:rStyle w:val="FootnoteReference"/>
          <w:sz w:val="22"/>
          <w:szCs w:val="22"/>
        </w:rPr>
        <w:footnoteRef/>
      </w:r>
      <w:r w:rsidRPr="001A1FBC">
        <w:rPr>
          <w:rFonts w:ascii="Times New Roman" w:hAnsi="Times New Roman"/>
          <w:sz w:val="22"/>
          <w:szCs w:val="22"/>
          <w:lang w:val="en-US"/>
        </w:rPr>
        <w:t xml:space="preserve"> Bruce Champ, </w:t>
      </w:r>
      <w:r w:rsidRPr="001A1FBC">
        <w:rPr>
          <w:rFonts w:ascii="Times New Roman" w:hAnsi="Times New Roman"/>
          <w:i/>
          <w:sz w:val="22"/>
          <w:szCs w:val="22"/>
          <w:lang w:val="en-US"/>
        </w:rPr>
        <w:t>Stamp Scrip: Money People Paid to Use</w:t>
      </w:r>
      <w:r>
        <w:rPr>
          <w:rFonts w:ascii="Times New Roman" w:hAnsi="Times New Roman"/>
          <w:sz w:val="22"/>
          <w:szCs w:val="22"/>
          <w:lang w:val="en-US"/>
        </w:rPr>
        <w:t>, 2008,</w:t>
      </w:r>
      <w:r w:rsidRPr="001A1FBC">
        <w:rPr>
          <w:rFonts w:ascii="Times New Roman" w:hAnsi="Times New Roman"/>
          <w:sz w:val="22"/>
          <w:szCs w:val="22"/>
          <w:lang w:val="en-US"/>
        </w:rPr>
        <w:t xml:space="preserve"> </w:t>
      </w:r>
      <w:hyperlink r:id="rId4" w:history="1">
        <w:r w:rsidRPr="008D0A25">
          <w:rPr>
            <w:rStyle w:val="Hyperlink"/>
            <w:rFonts w:ascii="Times New Roman" w:hAnsi="Times New Roman"/>
            <w:sz w:val="22"/>
            <w:szCs w:val="22"/>
            <w:lang w:val="en-US"/>
          </w:rPr>
          <w:t>http://www.clevelandfed.org/research/commentary/2008/0408.pdf</w:t>
        </w:r>
      </w:hyperlink>
      <w:r w:rsidRPr="001A1FBC">
        <w:rPr>
          <w:rFonts w:ascii="Times New Roman" w:hAnsi="Times New Roman"/>
          <w:sz w:val="22"/>
          <w:szCs w:val="22"/>
        </w:rPr>
        <w:t>.</w:t>
      </w:r>
    </w:p>
  </w:footnote>
  <w:footnote w:id="11">
    <w:p w14:paraId="428ED482" w14:textId="49051451" w:rsidR="00B17C2C" w:rsidRPr="001A1FBC" w:rsidRDefault="00B17C2C" w:rsidP="001A1FBC">
      <w:pPr>
        <w:rPr>
          <w:sz w:val="22"/>
          <w:szCs w:val="22"/>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rPr>
        <w:t xml:space="preserve">David </w:t>
      </w:r>
      <w:r w:rsidRPr="001A1FBC">
        <w:rPr>
          <w:rFonts w:ascii="Times New Roman" w:hAnsi="Times New Roman"/>
          <w:sz w:val="22"/>
          <w:szCs w:val="22"/>
          <w:lang w:val="en-US"/>
        </w:rPr>
        <w:t>Woodruff,</w:t>
      </w:r>
      <w:r>
        <w:rPr>
          <w:rFonts w:ascii="Times New Roman" w:hAnsi="Times New Roman"/>
          <w:sz w:val="22"/>
          <w:szCs w:val="22"/>
          <w:lang w:val="en-US"/>
        </w:rPr>
        <w:t xml:space="preserve"> ‘Monetary Surrogates and Money’</w:t>
      </w:r>
      <w:r w:rsidRPr="001A1FBC">
        <w:rPr>
          <w:rFonts w:ascii="Times New Roman" w:hAnsi="Times New Roman"/>
          <w:sz w:val="22"/>
          <w:szCs w:val="22"/>
          <w:lang w:val="en-US"/>
        </w:rPr>
        <w:t xml:space="preserve">s Dual Nature’, in Jocelyn Pixley and G.C.Harcourt (eds) </w:t>
      </w:r>
      <w:r w:rsidRPr="001A1FBC">
        <w:rPr>
          <w:rFonts w:ascii="Times New Roman" w:hAnsi="Times New Roman"/>
          <w:i/>
          <w:sz w:val="22"/>
          <w:szCs w:val="22"/>
          <w:lang w:val="en-US"/>
        </w:rPr>
        <w:t>Financial Crises and the Nature of Capitalist Money. Mutual Developments from the Work of Geoffrey Ingham,</w:t>
      </w:r>
      <w:r w:rsidRPr="001A1FBC">
        <w:rPr>
          <w:rFonts w:ascii="Times New Roman" w:hAnsi="Times New Roman"/>
          <w:sz w:val="22"/>
          <w:szCs w:val="22"/>
          <w:lang w:val="en-US"/>
        </w:rPr>
        <w:t xml:space="preserve"> Houndsmill and New York: Palgrave, 2013, pp. 101-123.</w:t>
      </w:r>
    </w:p>
  </w:footnote>
  <w:footnote w:id="12">
    <w:p w14:paraId="7C7B570A" w14:textId="3F4A8FE3"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sidRPr="008672EF">
        <w:rPr>
          <w:rFonts w:ascii="Times New Roman" w:hAnsi="Times New Roman"/>
          <w:sz w:val="22"/>
          <w:szCs w:val="22"/>
        </w:rPr>
        <w:t>See</w:t>
      </w:r>
      <w:r>
        <w:rPr>
          <w:sz w:val="22"/>
          <w:szCs w:val="22"/>
        </w:rPr>
        <w:t xml:space="preserve"> </w:t>
      </w:r>
      <w:hyperlink r:id="rId5" w:history="1">
        <w:r w:rsidRPr="001A1FBC">
          <w:rPr>
            <w:rStyle w:val="Hyperlink"/>
            <w:rFonts w:ascii="Times New Roman" w:hAnsi="Times New Roman"/>
            <w:sz w:val="22"/>
            <w:szCs w:val="22"/>
          </w:rPr>
          <w:t>http://www.sco.ca.gov/eo_news_registeredwarrants.html</w:t>
        </w:r>
      </w:hyperlink>
      <w:r w:rsidRPr="001A1FBC">
        <w:rPr>
          <w:rFonts w:ascii="Times New Roman" w:hAnsi="Times New Roman"/>
          <w:sz w:val="22"/>
          <w:szCs w:val="22"/>
        </w:rPr>
        <w:t xml:space="preserve">. </w:t>
      </w:r>
    </w:p>
  </w:footnote>
  <w:footnote w:id="13">
    <w:p w14:paraId="22C71657" w14:textId="77777777" w:rsidR="00B17C2C" w:rsidRPr="001A1FBC" w:rsidRDefault="00B17C2C" w:rsidP="001A1FBC">
      <w:pPr>
        <w:pStyle w:val="FootnoteText"/>
        <w:rPr>
          <w:sz w:val="22"/>
          <w:szCs w:val="22"/>
        </w:rPr>
      </w:pPr>
      <w:r w:rsidRPr="001A1FBC">
        <w:rPr>
          <w:rStyle w:val="FootnoteReference"/>
          <w:sz w:val="22"/>
          <w:szCs w:val="22"/>
        </w:rPr>
        <w:footnoteRef/>
      </w:r>
      <w:r w:rsidRPr="001A1FBC">
        <w:rPr>
          <w:rFonts w:ascii="Times New Roman" w:hAnsi="Times New Roman"/>
          <w:sz w:val="22"/>
          <w:szCs w:val="22"/>
          <w:lang w:val="en-US"/>
        </w:rPr>
        <w:t xml:space="preserve"> Thomas Greco, </w:t>
      </w:r>
      <w:r w:rsidRPr="001A1FBC">
        <w:rPr>
          <w:rFonts w:ascii="Times New Roman" w:hAnsi="Times New Roman"/>
          <w:i/>
          <w:sz w:val="22"/>
          <w:szCs w:val="22"/>
          <w:lang w:val="en-US"/>
        </w:rPr>
        <w:t>The End of Money and the Future of Civilization</w:t>
      </w:r>
      <w:r w:rsidRPr="001A1FBC">
        <w:rPr>
          <w:rFonts w:ascii="Times New Roman" w:hAnsi="Times New Roman"/>
          <w:sz w:val="22"/>
          <w:szCs w:val="22"/>
          <w:lang w:val="en-US"/>
        </w:rPr>
        <w:t>, White River Junction: Chelsea Green Publishing (Kindle Edition), 2009</w:t>
      </w:r>
      <w:r w:rsidRPr="001A1FBC">
        <w:rPr>
          <w:rFonts w:ascii="Times New Roman" w:hAnsi="Times New Roman"/>
          <w:sz w:val="22"/>
          <w:szCs w:val="22"/>
        </w:rPr>
        <w:t>, p. 2943.</w:t>
      </w:r>
    </w:p>
  </w:footnote>
  <w:footnote w:id="14">
    <w:p w14:paraId="4AB0DD40" w14:textId="0DE18AA5"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Pr>
          <w:rFonts w:ascii="Times New Roman" w:hAnsi="Times New Roman"/>
          <w:sz w:val="22"/>
          <w:szCs w:val="22"/>
          <w:lang w:val="en-US"/>
        </w:rPr>
        <w:t>ECB (</w:t>
      </w:r>
      <w:r w:rsidRPr="001A1FBC">
        <w:rPr>
          <w:rFonts w:ascii="Times New Roman" w:hAnsi="Times New Roman"/>
          <w:sz w:val="22"/>
          <w:szCs w:val="22"/>
          <w:lang w:val="en-US"/>
        </w:rPr>
        <w:t>European Central Bank</w:t>
      </w:r>
      <w:r>
        <w:rPr>
          <w:rFonts w:ascii="Times New Roman" w:hAnsi="Times New Roman"/>
          <w:sz w:val="22"/>
          <w:szCs w:val="22"/>
          <w:lang w:val="en-US"/>
        </w:rPr>
        <w:t>)</w:t>
      </w:r>
      <w:r w:rsidRPr="001A1FBC">
        <w:rPr>
          <w:rFonts w:ascii="Times New Roman" w:hAnsi="Times New Roman"/>
          <w:sz w:val="22"/>
          <w:szCs w:val="22"/>
          <w:lang w:val="en-US"/>
        </w:rPr>
        <w:t xml:space="preserve">, </w:t>
      </w:r>
      <w:r w:rsidRPr="001A1FBC">
        <w:rPr>
          <w:rFonts w:ascii="Times New Roman" w:hAnsi="Times New Roman"/>
          <w:i/>
          <w:sz w:val="22"/>
          <w:szCs w:val="22"/>
          <w:lang w:val="en-US"/>
        </w:rPr>
        <w:t>Virtual Currency Schemes</w:t>
      </w:r>
      <w:r w:rsidRPr="001A1FBC">
        <w:rPr>
          <w:rFonts w:ascii="Times New Roman" w:hAnsi="Times New Roman"/>
          <w:sz w:val="22"/>
          <w:szCs w:val="22"/>
          <w:lang w:val="en-US"/>
        </w:rPr>
        <w:t>, Frankfurt, 2012</w:t>
      </w:r>
      <w:r w:rsidRPr="001A1FBC">
        <w:rPr>
          <w:rFonts w:ascii="Times New Roman" w:hAnsi="Times New Roman"/>
          <w:sz w:val="22"/>
          <w:szCs w:val="22"/>
        </w:rPr>
        <w:t>.</w:t>
      </w:r>
    </w:p>
  </w:footnote>
  <w:footnote w:id="15">
    <w:p w14:paraId="7E24AB53" w14:textId="087AAB73"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Pr>
          <w:rFonts w:ascii="Times New Roman" w:hAnsi="Times New Roman"/>
          <w:sz w:val="22"/>
          <w:szCs w:val="22"/>
        </w:rPr>
        <w:t xml:space="preserve">Ingham, </w:t>
      </w:r>
      <w:r w:rsidRPr="00CC74F6">
        <w:rPr>
          <w:rFonts w:ascii="Times New Roman" w:hAnsi="Times New Roman"/>
          <w:i/>
          <w:lang w:val="en-US"/>
        </w:rPr>
        <w:t>The Nature of Money</w:t>
      </w:r>
      <w:r w:rsidRPr="001A1FBC">
        <w:rPr>
          <w:rFonts w:ascii="Times New Roman" w:hAnsi="Times New Roman"/>
          <w:sz w:val="22"/>
          <w:szCs w:val="22"/>
        </w:rPr>
        <w:t>, p.</w:t>
      </w:r>
      <w:r>
        <w:rPr>
          <w:rFonts w:ascii="Times New Roman" w:hAnsi="Times New Roman"/>
          <w:sz w:val="22"/>
          <w:szCs w:val="22"/>
        </w:rPr>
        <w:t xml:space="preserve"> </w:t>
      </w:r>
      <w:r w:rsidRPr="001A1FBC">
        <w:rPr>
          <w:rFonts w:ascii="Times New Roman" w:hAnsi="Times New Roman"/>
          <w:sz w:val="22"/>
          <w:szCs w:val="22"/>
        </w:rPr>
        <w:t>185.</w:t>
      </w:r>
    </w:p>
  </w:footnote>
  <w:footnote w:id="16">
    <w:p w14:paraId="5FCD8F81" w14:textId="5FAEBDCE" w:rsidR="00B17C2C" w:rsidRPr="001A1FBC" w:rsidRDefault="00B17C2C" w:rsidP="001A1FBC">
      <w:pPr>
        <w:pStyle w:val="FootnoteText"/>
        <w:rPr>
          <w:rFonts w:ascii="Times New Roman" w:hAnsi="Times New Roman"/>
          <w:sz w:val="22"/>
          <w:szCs w:val="22"/>
        </w:rPr>
      </w:pPr>
      <w:r w:rsidRPr="001A1FBC">
        <w:rPr>
          <w:rStyle w:val="FootnoteReference"/>
          <w:rFonts w:ascii="Times New Roman" w:hAnsi="Times New Roman"/>
          <w:sz w:val="22"/>
          <w:szCs w:val="22"/>
        </w:rPr>
        <w:footnoteRef/>
      </w:r>
      <w:r w:rsidRPr="001A1FBC">
        <w:rPr>
          <w:rFonts w:ascii="Times New Roman" w:hAnsi="Times New Roman"/>
          <w:sz w:val="22"/>
          <w:szCs w:val="22"/>
        </w:rPr>
        <w:t xml:space="preserve"> Wikipedia</w:t>
      </w:r>
      <w:r>
        <w:rPr>
          <w:rFonts w:ascii="Times New Roman" w:hAnsi="Times New Roman"/>
          <w:sz w:val="22"/>
          <w:szCs w:val="22"/>
        </w:rPr>
        <w:t>,</w:t>
      </w:r>
      <w:r w:rsidRPr="001A1FBC">
        <w:rPr>
          <w:rFonts w:ascii="Times New Roman" w:hAnsi="Times New Roman"/>
          <w:sz w:val="22"/>
          <w:szCs w:val="22"/>
        </w:rPr>
        <w:t xml:space="preserve"> </w:t>
      </w:r>
      <w:r w:rsidRPr="001A1FBC">
        <w:rPr>
          <w:rFonts w:ascii="Times New Roman" w:hAnsi="Times New Roman" w:cs="Georgia"/>
          <w:color w:val="1C1C1C"/>
          <w:sz w:val="22"/>
          <w:szCs w:val="22"/>
          <w:lang w:val="en-US" w:eastAsia="en-US"/>
        </w:rPr>
        <w:t>‘Complementary Currency’</w:t>
      </w:r>
      <w:r>
        <w:rPr>
          <w:rFonts w:ascii="Times New Roman" w:hAnsi="Times New Roman" w:cs="Georgia"/>
          <w:color w:val="1C1C1C"/>
          <w:sz w:val="22"/>
          <w:szCs w:val="22"/>
          <w:lang w:val="en-US" w:eastAsia="en-US"/>
        </w:rPr>
        <w:t xml:space="preserve">, </w:t>
      </w:r>
      <w:hyperlink r:id="rId6" w:history="1">
        <w:r w:rsidRPr="008D0A25">
          <w:rPr>
            <w:rStyle w:val="Hyperlink"/>
            <w:rFonts w:ascii="Times New Roman" w:hAnsi="Times New Roman"/>
            <w:sz w:val="22"/>
            <w:szCs w:val="22"/>
          </w:rPr>
          <w:t>http://en.wikipedia.org/wiki/Complementary_currency</w:t>
        </w:r>
      </w:hyperlink>
      <w:r w:rsidRPr="008672EF">
        <w:rPr>
          <w:rStyle w:val="Hyperlink"/>
          <w:rFonts w:ascii="Times New Roman" w:hAnsi="Times New Roman"/>
          <w:color w:val="auto"/>
          <w:sz w:val="22"/>
          <w:szCs w:val="22"/>
          <w:u w:val="none"/>
        </w:rPr>
        <w:t>,</w:t>
      </w:r>
      <w:r w:rsidRPr="008672EF">
        <w:rPr>
          <w:rFonts w:ascii="Times New Roman" w:hAnsi="Times New Roman" w:cs="Georgia"/>
          <w:sz w:val="22"/>
          <w:szCs w:val="22"/>
          <w:lang w:val="en-US" w:eastAsia="en-US"/>
        </w:rPr>
        <w:t xml:space="preserve"> </w:t>
      </w:r>
      <w:r>
        <w:rPr>
          <w:rFonts w:ascii="Times New Roman" w:hAnsi="Times New Roman" w:cs="Georgia"/>
          <w:color w:val="1C1C1C"/>
          <w:sz w:val="22"/>
          <w:szCs w:val="22"/>
          <w:lang w:val="en-US" w:eastAsia="en-US"/>
        </w:rPr>
        <w:t>accessed 17 August</w:t>
      </w:r>
      <w:r w:rsidRPr="001A1FBC">
        <w:rPr>
          <w:rFonts w:ascii="Times New Roman" w:hAnsi="Times New Roman" w:cs="Georgia"/>
          <w:color w:val="1C1C1C"/>
          <w:sz w:val="22"/>
          <w:szCs w:val="22"/>
          <w:lang w:val="en-US" w:eastAsia="en-US"/>
        </w:rPr>
        <w:t xml:space="preserve"> 2014</w:t>
      </w:r>
      <w:r w:rsidR="00F0164B">
        <w:rPr>
          <w:rFonts w:ascii="Times New Roman" w:hAnsi="Times New Roman" w:cs="Georgia"/>
          <w:color w:val="1C1C1C"/>
          <w:sz w:val="22"/>
          <w:szCs w:val="22"/>
          <w:lang w:val="en-US" w:eastAsia="en-US"/>
        </w:rPr>
        <w:t>.</w:t>
      </w:r>
    </w:p>
  </w:footnote>
  <w:footnote w:id="17">
    <w:p w14:paraId="6C07278B" w14:textId="6D6F3416" w:rsidR="00B17C2C" w:rsidRPr="001A1FBC" w:rsidRDefault="00B17C2C" w:rsidP="001A1FBC">
      <w:pPr>
        <w:pStyle w:val="FootnoteText"/>
        <w:rPr>
          <w:sz w:val="22"/>
          <w:szCs w:val="22"/>
        </w:rPr>
      </w:pPr>
      <w:r w:rsidRPr="001A1FBC">
        <w:rPr>
          <w:rStyle w:val="FootnoteReference"/>
          <w:sz w:val="22"/>
          <w:szCs w:val="22"/>
        </w:rPr>
        <w:footnoteRef/>
      </w:r>
      <w:r w:rsidRPr="001A1FBC">
        <w:rPr>
          <w:rFonts w:ascii="Times New Roman" w:hAnsi="Times New Roman"/>
          <w:sz w:val="22"/>
          <w:szCs w:val="22"/>
          <w:lang w:val="en-US"/>
        </w:rPr>
        <w:t xml:space="preserve"> Jérôme Blanc, ‘Classifying “CCs”: Community, Complementary and Local Currencies’ Types and Generations’, </w:t>
      </w:r>
      <w:r w:rsidRPr="001A1FBC">
        <w:rPr>
          <w:rFonts w:ascii="Times New Roman" w:hAnsi="Times New Roman"/>
          <w:i/>
          <w:sz w:val="22"/>
          <w:szCs w:val="22"/>
          <w:lang w:val="en-US"/>
        </w:rPr>
        <w:t>International Journal of Community Currency Research</w:t>
      </w:r>
      <w:r>
        <w:rPr>
          <w:rFonts w:ascii="Times New Roman" w:hAnsi="Times New Roman"/>
          <w:sz w:val="22"/>
          <w:szCs w:val="22"/>
          <w:lang w:val="en-US"/>
        </w:rPr>
        <w:t xml:space="preserve"> 15 (2011) D 4-10, </w:t>
      </w:r>
      <w:hyperlink r:id="rId7" w:history="1">
        <w:r w:rsidRPr="008D0A25">
          <w:rPr>
            <w:rStyle w:val="Hyperlink"/>
            <w:rFonts w:ascii="Times New Roman" w:hAnsi="Times New Roman"/>
            <w:sz w:val="22"/>
            <w:szCs w:val="22"/>
            <w:lang w:val="en-US"/>
          </w:rPr>
          <w:t>https://ijccr.files.wordpress.com/2012/05/ijccr-2011-special-issue-02-blanc.pdf</w:t>
        </w:r>
      </w:hyperlink>
      <w:r w:rsidRPr="001A1FBC">
        <w:rPr>
          <w:rFonts w:ascii="Times New Roman" w:hAnsi="Times New Roman"/>
          <w:sz w:val="22"/>
          <w:szCs w:val="22"/>
        </w:rPr>
        <w:t xml:space="preserve">; </w:t>
      </w:r>
      <w:r w:rsidRPr="008672EF">
        <w:rPr>
          <w:rFonts w:ascii="Times New Roman" w:hAnsi="Times New Roman"/>
          <w:sz w:val="22"/>
          <w:szCs w:val="22"/>
        </w:rPr>
        <w:t xml:space="preserve">Greco, </w:t>
      </w:r>
      <w:r w:rsidRPr="008672EF">
        <w:rPr>
          <w:rFonts w:ascii="Times New Roman" w:hAnsi="Times New Roman"/>
          <w:i/>
          <w:sz w:val="22"/>
          <w:szCs w:val="22"/>
          <w:lang w:val="en-US"/>
        </w:rPr>
        <w:t>The End of Money and the Future of Civilization</w:t>
      </w:r>
      <w:r w:rsidRPr="008672EF">
        <w:rPr>
          <w:rFonts w:ascii="Times New Roman" w:hAnsi="Times New Roman"/>
          <w:sz w:val="22"/>
          <w:szCs w:val="22"/>
          <w:lang w:val="en-US"/>
        </w:rPr>
        <w:t xml:space="preserve">, </w:t>
      </w:r>
      <w:r w:rsidRPr="008672EF">
        <w:rPr>
          <w:rFonts w:ascii="Times New Roman" w:hAnsi="Times New Roman"/>
          <w:sz w:val="22"/>
          <w:szCs w:val="22"/>
        </w:rPr>
        <w:t>p. 2659.</w:t>
      </w:r>
    </w:p>
  </w:footnote>
  <w:footnote w:id="18">
    <w:p w14:paraId="6984FDF9" w14:textId="04141046" w:rsidR="00B17C2C" w:rsidRPr="001A1FBC" w:rsidRDefault="00B17C2C" w:rsidP="001A1FBC">
      <w:pPr>
        <w:pStyle w:val="EndnoteText"/>
        <w:rPr>
          <w:rFonts w:ascii="Times New Roman" w:hAnsi="Times New Roman"/>
          <w:sz w:val="22"/>
          <w:szCs w:val="22"/>
        </w:rPr>
      </w:pPr>
      <w:r w:rsidRPr="001A1FBC">
        <w:rPr>
          <w:rStyle w:val="FootnoteReference"/>
          <w:sz w:val="22"/>
          <w:szCs w:val="22"/>
        </w:rPr>
        <w:footnoteRef/>
      </w:r>
      <w:r w:rsidRPr="001A1FBC">
        <w:rPr>
          <w:sz w:val="22"/>
          <w:szCs w:val="22"/>
        </w:rPr>
        <w:t xml:space="preserve"> </w:t>
      </w:r>
      <w:r>
        <w:rPr>
          <w:rFonts w:ascii="Times New Roman" w:hAnsi="Times New Roman"/>
          <w:sz w:val="22"/>
          <w:szCs w:val="22"/>
        </w:rPr>
        <w:t xml:space="preserve">Wikipedia, </w:t>
      </w:r>
      <w:r w:rsidRPr="001A1FBC">
        <w:rPr>
          <w:rFonts w:ascii="Times New Roman" w:hAnsi="Times New Roman"/>
          <w:sz w:val="22"/>
          <w:szCs w:val="22"/>
          <w:lang w:val="en-US"/>
        </w:rPr>
        <w:t>‘</w:t>
      </w:r>
      <w:r w:rsidRPr="001A1FBC">
        <w:rPr>
          <w:rFonts w:ascii="Times New Roman" w:hAnsi="Times New Roman" w:cs="Georgia"/>
          <w:color w:val="1C1C1C"/>
          <w:sz w:val="22"/>
          <w:szCs w:val="22"/>
          <w:lang w:val="en-US" w:eastAsia="en-US"/>
        </w:rPr>
        <w:t>Local Exchan</w:t>
      </w:r>
      <w:r>
        <w:rPr>
          <w:rFonts w:ascii="Times New Roman" w:hAnsi="Times New Roman" w:cs="Georgia"/>
          <w:color w:val="1C1C1C"/>
          <w:sz w:val="22"/>
          <w:szCs w:val="22"/>
          <w:lang w:val="en-US" w:eastAsia="en-US"/>
        </w:rPr>
        <w:t xml:space="preserve">ge Trading System’, </w:t>
      </w:r>
      <w:hyperlink r:id="rId8" w:history="1">
        <w:r w:rsidRPr="008D0A25">
          <w:rPr>
            <w:rStyle w:val="Hyperlink"/>
            <w:rFonts w:ascii="Times New Roman" w:hAnsi="Times New Roman"/>
            <w:sz w:val="22"/>
            <w:szCs w:val="22"/>
          </w:rPr>
          <w:t>http://en.wikipedia.org/wiki/Local_exchange_trading_system</w:t>
        </w:r>
      </w:hyperlink>
      <w:r>
        <w:rPr>
          <w:rFonts w:ascii="Times New Roman" w:hAnsi="Times New Roman"/>
          <w:sz w:val="22"/>
          <w:szCs w:val="22"/>
        </w:rPr>
        <w:t xml:space="preserve">, accessed </w:t>
      </w:r>
      <w:r>
        <w:rPr>
          <w:rFonts w:ascii="Times New Roman" w:hAnsi="Times New Roman" w:cs="Georgia"/>
          <w:color w:val="1C1C1C"/>
          <w:sz w:val="22"/>
          <w:szCs w:val="22"/>
          <w:lang w:val="en-US" w:eastAsia="en-US"/>
        </w:rPr>
        <w:t>23 November</w:t>
      </w:r>
      <w:r w:rsidRPr="001A1FBC">
        <w:rPr>
          <w:rFonts w:ascii="Times New Roman" w:hAnsi="Times New Roman" w:cs="Georgia"/>
          <w:color w:val="1C1C1C"/>
          <w:sz w:val="22"/>
          <w:szCs w:val="22"/>
          <w:lang w:val="en-US" w:eastAsia="en-US"/>
        </w:rPr>
        <w:t xml:space="preserve"> 2014</w:t>
      </w:r>
      <w:r>
        <w:rPr>
          <w:rFonts w:ascii="Times New Roman" w:hAnsi="Times New Roman" w:cs="Georgia"/>
          <w:color w:val="1C1C1C"/>
          <w:sz w:val="22"/>
          <w:szCs w:val="22"/>
          <w:lang w:val="en-US" w:eastAsia="en-US"/>
        </w:rPr>
        <w:t>.</w:t>
      </w:r>
    </w:p>
  </w:footnote>
  <w:footnote w:id="19">
    <w:p w14:paraId="2E102AAD" w14:textId="2D1268FC" w:rsidR="00B17C2C" w:rsidRPr="001A1FBC" w:rsidRDefault="00B17C2C" w:rsidP="001A1FBC">
      <w:pPr>
        <w:pStyle w:val="EndnoteText"/>
        <w:rPr>
          <w:rFonts w:ascii="Times New Roman" w:hAnsi="Times New Roman"/>
          <w:sz w:val="22"/>
          <w:szCs w:val="22"/>
        </w:rPr>
      </w:pPr>
      <w:r w:rsidRPr="001A1FBC">
        <w:rPr>
          <w:rStyle w:val="FootnoteReference"/>
          <w:sz w:val="22"/>
          <w:szCs w:val="22"/>
        </w:rPr>
        <w:footnoteRef/>
      </w:r>
      <w:r w:rsidRPr="001A1FBC">
        <w:rPr>
          <w:sz w:val="22"/>
          <w:szCs w:val="22"/>
        </w:rPr>
        <w:t xml:space="preserve"> </w:t>
      </w:r>
      <w:r>
        <w:rPr>
          <w:rFonts w:ascii="Times New Roman" w:hAnsi="Times New Roman"/>
          <w:sz w:val="22"/>
          <w:szCs w:val="22"/>
        </w:rPr>
        <w:t xml:space="preserve">Wikipedia, </w:t>
      </w:r>
      <w:r w:rsidRPr="001A1FBC">
        <w:rPr>
          <w:rFonts w:ascii="Times New Roman" w:hAnsi="Times New Roman"/>
          <w:sz w:val="22"/>
          <w:szCs w:val="22"/>
          <w:lang w:val="en-US"/>
        </w:rPr>
        <w:t>‘</w:t>
      </w:r>
      <w:r w:rsidRPr="001A1FBC">
        <w:rPr>
          <w:rFonts w:ascii="Times New Roman" w:hAnsi="Times New Roman" w:cs="Georgia"/>
          <w:color w:val="1C1C1C"/>
          <w:sz w:val="22"/>
          <w:szCs w:val="22"/>
          <w:lang w:val="en-US" w:eastAsia="en-US"/>
        </w:rPr>
        <w:t>Local Exchan</w:t>
      </w:r>
      <w:r>
        <w:rPr>
          <w:rFonts w:ascii="Times New Roman" w:hAnsi="Times New Roman" w:cs="Georgia"/>
          <w:color w:val="1C1C1C"/>
          <w:sz w:val="22"/>
          <w:szCs w:val="22"/>
          <w:lang w:val="en-US" w:eastAsia="en-US"/>
        </w:rPr>
        <w:t xml:space="preserve">ge Trading System’, </w:t>
      </w:r>
      <w:hyperlink r:id="rId9" w:history="1">
        <w:r w:rsidRPr="008D0A25">
          <w:rPr>
            <w:rStyle w:val="Hyperlink"/>
            <w:rFonts w:ascii="Times New Roman" w:hAnsi="Times New Roman"/>
            <w:sz w:val="22"/>
            <w:szCs w:val="22"/>
          </w:rPr>
          <w:t>http://en.wikipedia.org/wiki/Local_exchange_trading_system</w:t>
        </w:r>
      </w:hyperlink>
      <w:r>
        <w:rPr>
          <w:rFonts w:ascii="Times New Roman" w:hAnsi="Times New Roman"/>
          <w:sz w:val="22"/>
          <w:szCs w:val="22"/>
        </w:rPr>
        <w:t xml:space="preserve">, accessed </w:t>
      </w:r>
      <w:r>
        <w:rPr>
          <w:rFonts w:ascii="Times New Roman" w:hAnsi="Times New Roman" w:cs="Georgia"/>
          <w:color w:val="1C1C1C"/>
          <w:sz w:val="22"/>
          <w:szCs w:val="22"/>
          <w:lang w:val="en-US" w:eastAsia="en-US"/>
        </w:rPr>
        <w:t>23 November</w:t>
      </w:r>
      <w:r w:rsidRPr="001A1FBC">
        <w:rPr>
          <w:rFonts w:ascii="Times New Roman" w:hAnsi="Times New Roman" w:cs="Georgia"/>
          <w:color w:val="1C1C1C"/>
          <w:sz w:val="22"/>
          <w:szCs w:val="22"/>
          <w:lang w:val="en-US" w:eastAsia="en-US"/>
        </w:rPr>
        <w:t xml:space="preserve"> 2014</w:t>
      </w:r>
      <w:r w:rsidRPr="001A1FBC">
        <w:rPr>
          <w:rFonts w:ascii="Times New Roman" w:hAnsi="Times New Roman"/>
          <w:sz w:val="22"/>
          <w:szCs w:val="22"/>
        </w:rPr>
        <w:t>.</w:t>
      </w:r>
    </w:p>
  </w:footnote>
  <w:footnote w:id="20">
    <w:p w14:paraId="3D41F3EF" w14:textId="4C3C066A"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rPr>
        <w:t xml:space="preserve">Greco, </w:t>
      </w:r>
      <w:r w:rsidRPr="008672EF">
        <w:rPr>
          <w:rFonts w:ascii="Times New Roman" w:hAnsi="Times New Roman"/>
          <w:i/>
          <w:sz w:val="22"/>
          <w:szCs w:val="22"/>
          <w:lang w:val="en-US"/>
        </w:rPr>
        <w:t>The End of Money and the Future of Civilization Money and the Future</w:t>
      </w:r>
      <w:r>
        <w:rPr>
          <w:rFonts w:ascii="Times New Roman" w:hAnsi="Times New Roman"/>
          <w:i/>
          <w:sz w:val="22"/>
          <w:szCs w:val="22"/>
          <w:lang w:val="en-US"/>
        </w:rPr>
        <w:t xml:space="preserve">, </w:t>
      </w:r>
      <w:r w:rsidRPr="001A1FBC">
        <w:rPr>
          <w:rFonts w:ascii="Times New Roman" w:hAnsi="Times New Roman"/>
          <w:sz w:val="22"/>
          <w:szCs w:val="22"/>
        </w:rPr>
        <w:t>p.</w:t>
      </w:r>
      <w:r>
        <w:rPr>
          <w:rFonts w:ascii="Times New Roman" w:hAnsi="Times New Roman"/>
          <w:sz w:val="22"/>
          <w:szCs w:val="22"/>
        </w:rPr>
        <w:t xml:space="preserve"> </w:t>
      </w:r>
      <w:r w:rsidRPr="001A1FBC">
        <w:rPr>
          <w:rFonts w:ascii="Times New Roman" w:hAnsi="Times New Roman"/>
          <w:sz w:val="22"/>
          <w:szCs w:val="22"/>
        </w:rPr>
        <w:t>2079.</w:t>
      </w:r>
    </w:p>
  </w:footnote>
  <w:footnote w:id="21">
    <w:p w14:paraId="2637DD6F" w14:textId="77777777" w:rsidR="00B17C2C" w:rsidRPr="001A1FBC" w:rsidRDefault="00B17C2C" w:rsidP="001A1FBC">
      <w:pPr>
        <w:rPr>
          <w:sz w:val="22"/>
          <w:szCs w:val="22"/>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lang w:val="en-US"/>
        </w:rPr>
        <w:t xml:space="preserve">Benjamin Cohen, </w:t>
      </w:r>
      <w:r w:rsidRPr="001A1FBC">
        <w:rPr>
          <w:rFonts w:ascii="Times New Roman" w:hAnsi="Times New Roman"/>
          <w:i/>
          <w:sz w:val="22"/>
          <w:szCs w:val="22"/>
          <w:lang w:val="en-US"/>
        </w:rPr>
        <w:t>The Future of Money</w:t>
      </w:r>
      <w:r w:rsidRPr="001A1FBC">
        <w:rPr>
          <w:rFonts w:ascii="Times New Roman" w:hAnsi="Times New Roman"/>
          <w:sz w:val="22"/>
          <w:szCs w:val="22"/>
          <w:lang w:val="en-US"/>
        </w:rPr>
        <w:t>, Princeton: Princeton University Press, 2006,</w:t>
      </w:r>
      <w:r>
        <w:rPr>
          <w:rFonts w:ascii="Times New Roman" w:hAnsi="Times New Roman"/>
          <w:sz w:val="22"/>
          <w:szCs w:val="22"/>
          <w:lang w:val="en-US"/>
        </w:rPr>
        <w:t xml:space="preserve"> </w:t>
      </w:r>
      <w:r w:rsidRPr="001A1FBC">
        <w:rPr>
          <w:rFonts w:ascii="Times New Roman" w:hAnsi="Times New Roman"/>
          <w:sz w:val="22"/>
          <w:szCs w:val="22"/>
        </w:rPr>
        <w:t>p.</w:t>
      </w:r>
      <w:r>
        <w:rPr>
          <w:rFonts w:ascii="Times New Roman" w:hAnsi="Times New Roman"/>
          <w:sz w:val="22"/>
          <w:szCs w:val="22"/>
        </w:rPr>
        <w:t xml:space="preserve"> </w:t>
      </w:r>
      <w:r w:rsidRPr="001A1FBC">
        <w:rPr>
          <w:rFonts w:ascii="Times New Roman" w:hAnsi="Times New Roman"/>
          <w:sz w:val="22"/>
          <w:szCs w:val="22"/>
        </w:rPr>
        <w:t>11.</w:t>
      </w:r>
    </w:p>
  </w:footnote>
  <w:footnote w:id="22">
    <w:p w14:paraId="4836BB59" w14:textId="11516BA6" w:rsidR="00B17C2C" w:rsidRPr="001A1FBC" w:rsidRDefault="00B17C2C" w:rsidP="001A1FBC">
      <w:pPr>
        <w:pStyle w:val="FootnoteText"/>
        <w:rPr>
          <w:rFonts w:ascii="Times New Roman" w:hAnsi="Times New Roman"/>
          <w:sz w:val="22"/>
          <w:szCs w:val="22"/>
          <w:lang w:val="en-US"/>
        </w:rPr>
      </w:pPr>
      <w:r w:rsidRPr="001A1FBC">
        <w:rPr>
          <w:rStyle w:val="FootnoteReference"/>
          <w:sz w:val="22"/>
          <w:szCs w:val="22"/>
        </w:rPr>
        <w:footnoteRef/>
      </w:r>
      <w:r w:rsidR="00F0164B">
        <w:rPr>
          <w:rFonts w:ascii="Times New Roman" w:hAnsi="Times New Roman"/>
          <w:sz w:val="22"/>
          <w:szCs w:val="22"/>
          <w:lang w:val="en-US"/>
        </w:rPr>
        <w:t xml:space="preserve"> </w:t>
      </w:r>
      <w:r w:rsidRPr="001A1FBC">
        <w:rPr>
          <w:rFonts w:ascii="Times New Roman" w:hAnsi="Times New Roman"/>
          <w:sz w:val="22"/>
          <w:szCs w:val="22"/>
          <w:lang w:val="en-US"/>
        </w:rPr>
        <w:t>Task Force of the Monetary Policy Committee of the European System of Central Banks</w:t>
      </w:r>
      <w:r>
        <w:rPr>
          <w:rFonts w:ascii="Times New Roman" w:hAnsi="Times New Roman"/>
          <w:sz w:val="22"/>
          <w:szCs w:val="22"/>
          <w:lang w:val="en-US"/>
        </w:rPr>
        <w:t>,</w:t>
      </w:r>
      <w:r w:rsidRPr="001A1FBC">
        <w:rPr>
          <w:rFonts w:ascii="Times New Roman" w:hAnsi="Times New Roman"/>
          <w:sz w:val="22"/>
          <w:szCs w:val="22"/>
          <w:lang w:val="en-US"/>
        </w:rPr>
        <w:t xml:space="preserve"> </w:t>
      </w:r>
      <w:r>
        <w:rPr>
          <w:rFonts w:ascii="Times New Roman" w:hAnsi="Times New Roman"/>
          <w:sz w:val="22"/>
          <w:szCs w:val="22"/>
          <w:lang w:val="en-US"/>
        </w:rPr>
        <w:t>‘</w:t>
      </w:r>
      <w:r w:rsidRPr="001A1FBC">
        <w:rPr>
          <w:rFonts w:ascii="Times New Roman" w:hAnsi="Times New Roman"/>
          <w:sz w:val="22"/>
          <w:szCs w:val="22"/>
          <w:lang w:val="en-US"/>
        </w:rPr>
        <w:t xml:space="preserve">Corporate Finance and Economic Activity in The Euro Area’, Structural Issues Report 2013, </w:t>
      </w:r>
      <w:r w:rsidRPr="001A1FBC">
        <w:rPr>
          <w:rFonts w:ascii="Times New Roman" w:hAnsi="Times New Roman"/>
          <w:i/>
          <w:sz w:val="22"/>
          <w:szCs w:val="22"/>
          <w:lang w:val="en-US"/>
        </w:rPr>
        <w:t>ECB Occasional Paper Series</w:t>
      </w:r>
      <w:r>
        <w:rPr>
          <w:rFonts w:ascii="Times New Roman" w:hAnsi="Times New Roman"/>
          <w:sz w:val="22"/>
          <w:szCs w:val="22"/>
          <w:lang w:val="en-US"/>
        </w:rPr>
        <w:t xml:space="preserve"> 151 (</w:t>
      </w:r>
      <w:r w:rsidRPr="001A1FBC">
        <w:rPr>
          <w:rFonts w:ascii="Times New Roman" w:hAnsi="Times New Roman"/>
          <w:sz w:val="22"/>
          <w:szCs w:val="22"/>
          <w:lang w:val="en-US"/>
        </w:rPr>
        <w:t>2013</w:t>
      </w:r>
      <w:r>
        <w:rPr>
          <w:rFonts w:ascii="Times New Roman" w:hAnsi="Times New Roman"/>
          <w:sz w:val="22"/>
          <w:szCs w:val="22"/>
          <w:lang w:val="en-US"/>
        </w:rPr>
        <w:t>):</w:t>
      </w:r>
      <w:r w:rsidRPr="001A1FBC">
        <w:rPr>
          <w:rFonts w:ascii="Times New Roman" w:hAnsi="Times New Roman"/>
          <w:sz w:val="22"/>
          <w:szCs w:val="22"/>
        </w:rPr>
        <w:t xml:space="preserve"> 7.</w:t>
      </w:r>
    </w:p>
  </w:footnote>
  <w:footnote w:id="23">
    <w:p w14:paraId="76BE1EDE" w14:textId="05706F42"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sidRPr="003A2157">
        <w:rPr>
          <w:rFonts w:ascii="Times New Roman" w:hAnsi="Times New Roman"/>
          <w:sz w:val="22"/>
          <w:szCs w:val="22"/>
        </w:rPr>
        <w:t xml:space="preserve">Cohen, </w:t>
      </w:r>
      <w:r w:rsidR="003A2157" w:rsidRPr="003A2157">
        <w:rPr>
          <w:rFonts w:ascii="Times New Roman" w:hAnsi="Times New Roman"/>
          <w:i/>
          <w:sz w:val="22"/>
          <w:szCs w:val="22"/>
          <w:lang w:val="en-US"/>
        </w:rPr>
        <w:t>The Future of Money</w:t>
      </w:r>
      <w:r w:rsidRPr="003A2157">
        <w:rPr>
          <w:rFonts w:ascii="Times New Roman" w:hAnsi="Times New Roman"/>
          <w:sz w:val="22"/>
          <w:szCs w:val="22"/>
        </w:rPr>
        <w:t>, p. 25.</w:t>
      </w:r>
    </w:p>
  </w:footnote>
  <w:footnote w:id="24">
    <w:p w14:paraId="76B32D2C" w14:textId="7A085279" w:rsidR="00B17C2C" w:rsidRPr="001A1FBC" w:rsidRDefault="00B17C2C" w:rsidP="001A1FBC">
      <w:pPr>
        <w:pStyle w:val="FootnoteText"/>
        <w:rPr>
          <w:sz w:val="22"/>
          <w:szCs w:val="22"/>
        </w:rPr>
      </w:pPr>
      <w:r w:rsidRPr="001A1FBC">
        <w:rPr>
          <w:rStyle w:val="FootnoteReference"/>
          <w:sz w:val="22"/>
          <w:szCs w:val="22"/>
        </w:rPr>
        <w:footnoteRef/>
      </w:r>
      <w:r w:rsidRPr="001A1FBC">
        <w:rPr>
          <w:rFonts w:ascii="Times New Roman" w:hAnsi="Times New Roman"/>
          <w:sz w:val="22"/>
          <w:szCs w:val="22"/>
          <w:lang w:val="en-US"/>
        </w:rPr>
        <w:t xml:space="preserve"> Axel T. Paul, ‘Die Legitimität des Geldes’, </w:t>
      </w:r>
      <w:r w:rsidRPr="001A1FBC">
        <w:rPr>
          <w:rFonts w:ascii="Times New Roman" w:hAnsi="Times New Roman"/>
          <w:i/>
          <w:sz w:val="22"/>
          <w:szCs w:val="22"/>
          <w:lang w:val="en-US"/>
        </w:rPr>
        <w:t>Leviathan</w:t>
      </w:r>
      <w:r w:rsidR="00D974E6">
        <w:rPr>
          <w:rFonts w:ascii="Times New Roman" w:hAnsi="Times New Roman"/>
          <w:sz w:val="22"/>
          <w:szCs w:val="22"/>
          <w:lang w:val="en-US"/>
        </w:rPr>
        <w:t xml:space="preserve"> 21 (2002):</w:t>
      </w:r>
      <w:r w:rsidRPr="001A1FBC">
        <w:rPr>
          <w:rFonts w:ascii="Times New Roman" w:hAnsi="Times New Roman"/>
          <w:sz w:val="22"/>
          <w:szCs w:val="22"/>
          <w:lang w:val="en-US"/>
        </w:rPr>
        <w:t xml:space="preserve"> </w:t>
      </w:r>
      <w:r w:rsidR="00F0164B">
        <w:rPr>
          <w:rFonts w:ascii="Times New Roman" w:hAnsi="Times New Roman"/>
          <w:sz w:val="22"/>
          <w:szCs w:val="22"/>
          <w:lang w:val="en-US"/>
        </w:rPr>
        <w:t xml:space="preserve">pp. </w:t>
      </w:r>
      <w:r w:rsidRPr="001A1FBC">
        <w:rPr>
          <w:rFonts w:ascii="Times New Roman" w:hAnsi="Times New Roman"/>
          <w:sz w:val="22"/>
          <w:szCs w:val="22"/>
          <w:lang w:val="en-US"/>
        </w:rPr>
        <w:t>109-129</w:t>
      </w:r>
      <w:r w:rsidRPr="001A1FBC">
        <w:rPr>
          <w:rFonts w:ascii="Times New Roman" w:hAnsi="Times New Roman"/>
          <w:sz w:val="22"/>
          <w:szCs w:val="22"/>
        </w:rPr>
        <w:t>.</w:t>
      </w:r>
    </w:p>
  </w:footnote>
  <w:footnote w:id="25">
    <w:p w14:paraId="52D8DB02" w14:textId="4B34372D" w:rsidR="00B17C2C" w:rsidRPr="001A1FBC" w:rsidRDefault="00B17C2C" w:rsidP="001A1FBC">
      <w:pPr>
        <w:pStyle w:val="FootnoteText"/>
        <w:rPr>
          <w:sz w:val="22"/>
          <w:szCs w:val="22"/>
        </w:rPr>
      </w:pPr>
      <w:r w:rsidRPr="001A1FBC">
        <w:rPr>
          <w:rStyle w:val="FootnoteReference"/>
          <w:sz w:val="22"/>
          <w:szCs w:val="22"/>
        </w:rPr>
        <w:footnoteRef/>
      </w:r>
      <w:r w:rsidRPr="001A1FBC">
        <w:rPr>
          <w:rFonts w:ascii="Times New Roman" w:hAnsi="Times New Roman"/>
          <w:sz w:val="22"/>
          <w:szCs w:val="22"/>
          <w:lang w:val="en-US"/>
        </w:rPr>
        <w:t xml:space="preserve"> Greco, </w:t>
      </w:r>
      <w:r w:rsidR="00D974E6" w:rsidRPr="00D974E6">
        <w:rPr>
          <w:rFonts w:ascii="Times New Roman" w:hAnsi="Times New Roman"/>
          <w:i/>
          <w:sz w:val="22"/>
          <w:szCs w:val="22"/>
          <w:lang w:val="en-US"/>
        </w:rPr>
        <w:t>The End</w:t>
      </w:r>
      <w:r w:rsidRPr="001A1FBC">
        <w:rPr>
          <w:rFonts w:ascii="Times New Roman" w:hAnsi="Times New Roman"/>
          <w:sz w:val="22"/>
          <w:szCs w:val="22"/>
        </w:rPr>
        <w:t>, p. 2032.</w:t>
      </w:r>
    </w:p>
  </w:footnote>
  <w:footnote w:id="26">
    <w:p w14:paraId="6456B676" w14:textId="77777777" w:rsidR="00B17C2C" w:rsidRPr="001A1FBC" w:rsidRDefault="00B17C2C" w:rsidP="001A1FBC">
      <w:pPr>
        <w:pStyle w:val="FootnoteText"/>
        <w:rPr>
          <w:sz w:val="22"/>
          <w:szCs w:val="22"/>
        </w:rPr>
      </w:pPr>
      <w:r w:rsidRPr="001A1FBC">
        <w:rPr>
          <w:rStyle w:val="FootnoteReference"/>
          <w:sz w:val="22"/>
          <w:szCs w:val="22"/>
        </w:rPr>
        <w:footnoteRef/>
      </w:r>
      <w:r w:rsidRPr="001A1FBC">
        <w:rPr>
          <w:sz w:val="22"/>
          <w:szCs w:val="22"/>
        </w:rPr>
        <w:t xml:space="preserve"> </w:t>
      </w:r>
      <w:r w:rsidRPr="001A1FBC">
        <w:rPr>
          <w:rFonts w:ascii="Times New Roman" w:hAnsi="Times New Roman"/>
          <w:sz w:val="22"/>
          <w:szCs w:val="22"/>
          <w:lang w:val="en-US"/>
        </w:rPr>
        <w:t xml:space="preserve">Thomas Piketty, </w:t>
      </w:r>
      <w:r w:rsidRPr="001A1FBC">
        <w:rPr>
          <w:rFonts w:ascii="Times New Roman" w:hAnsi="Times New Roman"/>
          <w:i/>
          <w:sz w:val="22"/>
          <w:szCs w:val="22"/>
          <w:lang w:val="en-US"/>
        </w:rPr>
        <w:t>Capital in the 21st Century</w:t>
      </w:r>
      <w:r w:rsidRPr="001A1FBC">
        <w:rPr>
          <w:rFonts w:ascii="Times New Roman" w:hAnsi="Times New Roman"/>
          <w:sz w:val="22"/>
          <w:szCs w:val="22"/>
          <w:lang w:val="en-US"/>
        </w:rPr>
        <w:t>, Cambridge, MA: Harvard University Press (Kindle Edition), 2014</w:t>
      </w:r>
      <w:r w:rsidRPr="001A1FBC">
        <w:rPr>
          <w:rFonts w:ascii="Times New Roman" w:hAnsi="Times New Roman"/>
          <w:sz w:val="22"/>
          <w:szCs w:val="22"/>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152E7"/>
    <w:multiLevelType w:val="hybridMultilevel"/>
    <w:tmpl w:val="F3F4A27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37C"/>
    <w:rsid w:val="0000736D"/>
    <w:rsid w:val="00014F0F"/>
    <w:rsid w:val="0001702C"/>
    <w:rsid w:val="000205E0"/>
    <w:rsid w:val="00020EFF"/>
    <w:rsid w:val="000217C6"/>
    <w:rsid w:val="000257CE"/>
    <w:rsid w:val="00036C02"/>
    <w:rsid w:val="000436D7"/>
    <w:rsid w:val="000601BC"/>
    <w:rsid w:val="00062E99"/>
    <w:rsid w:val="00066641"/>
    <w:rsid w:val="00073F24"/>
    <w:rsid w:val="00076410"/>
    <w:rsid w:val="00081A01"/>
    <w:rsid w:val="00081ECD"/>
    <w:rsid w:val="00082B53"/>
    <w:rsid w:val="00092481"/>
    <w:rsid w:val="000C3482"/>
    <w:rsid w:val="000C5A13"/>
    <w:rsid w:val="000D198C"/>
    <w:rsid w:val="000E329B"/>
    <w:rsid w:val="000E4275"/>
    <w:rsid w:val="000F4E23"/>
    <w:rsid w:val="00101E14"/>
    <w:rsid w:val="00102C7E"/>
    <w:rsid w:val="0010334D"/>
    <w:rsid w:val="001033D6"/>
    <w:rsid w:val="00112422"/>
    <w:rsid w:val="001134B9"/>
    <w:rsid w:val="001141F9"/>
    <w:rsid w:val="001150F4"/>
    <w:rsid w:val="00115A0F"/>
    <w:rsid w:val="00125EC9"/>
    <w:rsid w:val="001351B4"/>
    <w:rsid w:val="00135D97"/>
    <w:rsid w:val="001401A0"/>
    <w:rsid w:val="0014305C"/>
    <w:rsid w:val="00151E16"/>
    <w:rsid w:val="00182D81"/>
    <w:rsid w:val="001838E0"/>
    <w:rsid w:val="00185E9F"/>
    <w:rsid w:val="00196533"/>
    <w:rsid w:val="001A1FBC"/>
    <w:rsid w:val="001B1EE6"/>
    <w:rsid w:val="001B30AE"/>
    <w:rsid w:val="001B4BF3"/>
    <w:rsid w:val="001B78F1"/>
    <w:rsid w:val="001C04BE"/>
    <w:rsid w:val="001C567E"/>
    <w:rsid w:val="001C5B3C"/>
    <w:rsid w:val="001D4808"/>
    <w:rsid w:val="001D5696"/>
    <w:rsid w:val="001D7D23"/>
    <w:rsid w:val="001E0453"/>
    <w:rsid w:val="001E26E0"/>
    <w:rsid w:val="001F3082"/>
    <w:rsid w:val="001F7756"/>
    <w:rsid w:val="0021561F"/>
    <w:rsid w:val="00224E3F"/>
    <w:rsid w:val="002372C7"/>
    <w:rsid w:val="00242121"/>
    <w:rsid w:val="00253761"/>
    <w:rsid w:val="00260B01"/>
    <w:rsid w:val="0026178F"/>
    <w:rsid w:val="00267B75"/>
    <w:rsid w:val="002911F8"/>
    <w:rsid w:val="00292F92"/>
    <w:rsid w:val="00297677"/>
    <w:rsid w:val="002A48EF"/>
    <w:rsid w:val="002A7E30"/>
    <w:rsid w:val="002B088B"/>
    <w:rsid w:val="002B5F4F"/>
    <w:rsid w:val="002B6812"/>
    <w:rsid w:val="002C1726"/>
    <w:rsid w:val="002C2392"/>
    <w:rsid w:val="002D094E"/>
    <w:rsid w:val="002D539A"/>
    <w:rsid w:val="002E1C3D"/>
    <w:rsid w:val="002E49B0"/>
    <w:rsid w:val="002F1C31"/>
    <w:rsid w:val="00310140"/>
    <w:rsid w:val="00310D28"/>
    <w:rsid w:val="00311FB5"/>
    <w:rsid w:val="00314451"/>
    <w:rsid w:val="0032688D"/>
    <w:rsid w:val="003311D1"/>
    <w:rsid w:val="00340E48"/>
    <w:rsid w:val="00343CFD"/>
    <w:rsid w:val="00344460"/>
    <w:rsid w:val="003529FC"/>
    <w:rsid w:val="0036221A"/>
    <w:rsid w:val="003664B5"/>
    <w:rsid w:val="00372A52"/>
    <w:rsid w:val="00372D61"/>
    <w:rsid w:val="00375625"/>
    <w:rsid w:val="00381ED3"/>
    <w:rsid w:val="0038277B"/>
    <w:rsid w:val="00383A71"/>
    <w:rsid w:val="003844AB"/>
    <w:rsid w:val="00384CD6"/>
    <w:rsid w:val="003A2157"/>
    <w:rsid w:val="003A51E9"/>
    <w:rsid w:val="003A5E9C"/>
    <w:rsid w:val="003A603B"/>
    <w:rsid w:val="003B309B"/>
    <w:rsid w:val="003B58DD"/>
    <w:rsid w:val="003C4690"/>
    <w:rsid w:val="003C730A"/>
    <w:rsid w:val="003D3F52"/>
    <w:rsid w:val="003D601F"/>
    <w:rsid w:val="003E1266"/>
    <w:rsid w:val="003E3CDB"/>
    <w:rsid w:val="003E5D2B"/>
    <w:rsid w:val="003F27B8"/>
    <w:rsid w:val="004026ED"/>
    <w:rsid w:val="004046CA"/>
    <w:rsid w:val="00421A80"/>
    <w:rsid w:val="00426E42"/>
    <w:rsid w:val="004275F7"/>
    <w:rsid w:val="004431CF"/>
    <w:rsid w:val="00445D08"/>
    <w:rsid w:val="0044629F"/>
    <w:rsid w:val="00451F8F"/>
    <w:rsid w:val="004716D7"/>
    <w:rsid w:val="00477E4A"/>
    <w:rsid w:val="0048260F"/>
    <w:rsid w:val="00485703"/>
    <w:rsid w:val="004970D1"/>
    <w:rsid w:val="004A7E5E"/>
    <w:rsid w:val="004B45B1"/>
    <w:rsid w:val="004C2066"/>
    <w:rsid w:val="004C5DC7"/>
    <w:rsid w:val="004D30E1"/>
    <w:rsid w:val="004F6CAB"/>
    <w:rsid w:val="00515FE9"/>
    <w:rsid w:val="00523007"/>
    <w:rsid w:val="005250D1"/>
    <w:rsid w:val="00533010"/>
    <w:rsid w:val="005376CA"/>
    <w:rsid w:val="0054126C"/>
    <w:rsid w:val="00545762"/>
    <w:rsid w:val="00547B8F"/>
    <w:rsid w:val="00560A0E"/>
    <w:rsid w:val="0056717A"/>
    <w:rsid w:val="0057223B"/>
    <w:rsid w:val="00574479"/>
    <w:rsid w:val="005760A6"/>
    <w:rsid w:val="00576A85"/>
    <w:rsid w:val="00581A5E"/>
    <w:rsid w:val="0058362D"/>
    <w:rsid w:val="00594E21"/>
    <w:rsid w:val="005A404B"/>
    <w:rsid w:val="005A6C78"/>
    <w:rsid w:val="005B0895"/>
    <w:rsid w:val="005B2C7F"/>
    <w:rsid w:val="005C1EC2"/>
    <w:rsid w:val="005C4ECD"/>
    <w:rsid w:val="005C6B2B"/>
    <w:rsid w:val="005D19AC"/>
    <w:rsid w:val="005D7CD4"/>
    <w:rsid w:val="005E1F6F"/>
    <w:rsid w:val="005E576F"/>
    <w:rsid w:val="00602EB4"/>
    <w:rsid w:val="006039CC"/>
    <w:rsid w:val="006108F7"/>
    <w:rsid w:val="0062279D"/>
    <w:rsid w:val="00627120"/>
    <w:rsid w:val="00634312"/>
    <w:rsid w:val="00634730"/>
    <w:rsid w:val="00635245"/>
    <w:rsid w:val="00637980"/>
    <w:rsid w:val="0064041F"/>
    <w:rsid w:val="00655A63"/>
    <w:rsid w:val="00672201"/>
    <w:rsid w:val="00677062"/>
    <w:rsid w:val="006847AD"/>
    <w:rsid w:val="00691881"/>
    <w:rsid w:val="00692179"/>
    <w:rsid w:val="00696F1A"/>
    <w:rsid w:val="006A0718"/>
    <w:rsid w:val="006A0C1B"/>
    <w:rsid w:val="006A1C9B"/>
    <w:rsid w:val="006A2DDD"/>
    <w:rsid w:val="006A5FF1"/>
    <w:rsid w:val="006B0CFB"/>
    <w:rsid w:val="006B56BB"/>
    <w:rsid w:val="006E0DE1"/>
    <w:rsid w:val="006E4E83"/>
    <w:rsid w:val="006F71F9"/>
    <w:rsid w:val="006F7983"/>
    <w:rsid w:val="00704003"/>
    <w:rsid w:val="00713A4D"/>
    <w:rsid w:val="00715F7F"/>
    <w:rsid w:val="0072016B"/>
    <w:rsid w:val="00723B53"/>
    <w:rsid w:val="00744040"/>
    <w:rsid w:val="0074485F"/>
    <w:rsid w:val="00746E5E"/>
    <w:rsid w:val="007573CB"/>
    <w:rsid w:val="00764A8C"/>
    <w:rsid w:val="00776BEE"/>
    <w:rsid w:val="00781603"/>
    <w:rsid w:val="00786CD1"/>
    <w:rsid w:val="007A08A6"/>
    <w:rsid w:val="007B2668"/>
    <w:rsid w:val="007C4D06"/>
    <w:rsid w:val="007C5A3D"/>
    <w:rsid w:val="007C7BC6"/>
    <w:rsid w:val="007D6042"/>
    <w:rsid w:val="007E02E4"/>
    <w:rsid w:val="007E068B"/>
    <w:rsid w:val="007E2B48"/>
    <w:rsid w:val="007E6F5A"/>
    <w:rsid w:val="007F5D04"/>
    <w:rsid w:val="008075FE"/>
    <w:rsid w:val="00814292"/>
    <w:rsid w:val="00816572"/>
    <w:rsid w:val="008230FE"/>
    <w:rsid w:val="0083213B"/>
    <w:rsid w:val="008322B7"/>
    <w:rsid w:val="00836F36"/>
    <w:rsid w:val="00844A8F"/>
    <w:rsid w:val="00853AE0"/>
    <w:rsid w:val="008576B2"/>
    <w:rsid w:val="00860A44"/>
    <w:rsid w:val="00860B01"/>
    <w:rsid w:val="008627E2"/>
    <w:rsid w:val="008672EF"/>
    <w:rsid w:val="00872AB7"/>
    <w:rsid w:val="0089371F"/>
    <w:rsid w:val="008A667D"/>
    <w:rsid w:val="008B238F"/>
    <w:rsid w:val="008B2ED9"/>
    <w:rsid w:val="008B3149"/>
    <w:rsid w:val="008B4154"/>
    <w:rsid w:val="008B5770"/>
    <w:rsid w:val="008B5860"/>
    <w:rsid w:val="008C1C87"/>
    <w:rsid w:val="008C445C"/>
    <w:rsid w:val="008D340B"/>
    <w:rsid w:val="008D3573"/>
    <w:rsid w:val="008E058E"/>
    <w:rsid w:val="008E3E7B"/>
    <w:rsid w:val="008E4526"/>
    <w:rsid w:val="00904A3B"/>
    <w:rsid w:val="00934434"/>
    <w:rsid w:val="00936D06"/>
    <w:rsid w:val="00937D65"/>
    <w:rsid w:val="0095276E"/>
    <w:rsid w:val="00954596"/>
    <w:rsid w:val="00957275"/>
    <w:rsid w:val="00974AE7"/>
    <w:rsid w:val="0098365C"/>
    <w:rsid w:val="009910CF"/>
    <w:rsid w:val="00992B39"/>
    <w:rsid w:val="00993FD9"/>
    <w:rsid w:val="00994DAB"/>
    <w:rsid w:val="00997603"/>
    <w:rsid w:val="009B234A"/>
    <w:rsid w:val="009C1D25"/>
    <w:rsid w:val="009C3E5B"/>
    <w:rsid w:val="009C5E4E"/>
    <w:rsid w:val="009C7318"/>
    <w:rsid w:val="009D3FDD"/>
    <w:rsid w:val="009E53A7"/>
    <w:rsid w:val="009F24FE"/>
    <w:rsid w:val="00A03CA6"/>
    <w:rsid w:val="00A101E6"/>
    <w:rsid w:val="00A14C76"/>
    <w:rsid w:val="00A14E44"/>
    <w:rsid w:val="00A22FAC"/>
    <w:rsid w:val="00A2723C"/>
    <w:rsid w:val="00A342C3"/>
    <w:rsid w:val="00A37EF6"/>
    <w:rsid w:val="00A42C1A"/>
    <w:rsid w:val="00A4348B"/>
    <w:rsid w:val="00A45FB3"/>
    <w:rsid w:val="00A67A08"/>
    <w:rsid w:val="00A84C8F"/>
    <w:rsid w:val="00A94989"/>
    <w:rsid w:val="00A97623"/>
    <w:rsid w:val="00AB17DA"/>
    <w:rsid w:val="00AB458A"/>
    <w:rsid w:val="00AB6E24"/>
    <w:rsid w:val="00AC0944"/>
    <w:rsid w:val="00AC48BE"/>
    <w:rsid w:val="00AD1416"/>
    <w:rsid w:val="00AD67CA"/>
    <w:rsid w:val="00AF3FEE"/>
    <w:rsid w:val="00AF5110"/>
    <w:rsid w:val="00AF62C3"/>
    <w:rsid w:val="00AF6883"/>
    <w:rsid w:val="00B01BFD"/>
    <w:rsid w:val="00B11F4F"/>
    <w:rsid w:val="00B1716E"/>
    <w:rsid w:val="00B17C2C"/>
    <w:rsid w:val="00B31556"/>
    <w:rsid w:val="00B36D98"/>
    <w:rsid w:val="00B377A7"/>
    <w:rsid w:val="00B4001D"/>
    <w:rsid w:val="00B4078C"/>
    <w:rsid w:val="00B51DB9"/>
    <w:rsid w:val="00B5586D"/>
    <w:rsid w:val="00B575C7"/>
    <w:rsid w:val="00B60DAA"/>
    <w:rsid w:val="00B6537C"/>
    <w:rsid w:val="00B6613A"/>
    <w:rsid w:val="00B74867"/>
    <w:rsid w:val="00B74E88"/>
    <w:rsid w:val="00B76CAE"/>
    <w:rsid w:val="00B84746"/>
    <w:rsid w:val="00B86463"/>
    <w:rsid w:val="00B86F4C"/>
    <w:rsid w:val="00B8767B"/>
    <w:rsid w:val="00B9605F"/>
    <w:rsid w:val="00B96A5D"/>
    <w:rsid w:val="00BA0349"/>
    <w:rsid w:val="00BB27A8"/>
    <w:rsid w:val="00BB2E4B"/>
    <w:rsid w:val="00BB30B4"/>
    <w:rsid w:val="00BB3174"/>
    <w:rsid w:val="00BB5C5F"/>
    <w:rsid w:val="00BC2448"/>
    <w:rsid w:val="00BD1775"/>
    <w:rsid w:val="00BD211A"/>
    <w:rsid w:val="00BD2F48"/>
    <w:rsid w:val="00BD7368"/>
    <w:rsid w:val="00BE19B4"/>
    <w:rsid w:val="00BE5B62"/>
    <w:rsid w:val="00BE5C06"/>
    <w:rsid w:val="00C005B8"/>
    <w:rsid w:val="00C0077A"/>
    <w:rsid w:val="00C027A5"/>
    <w:rsid w:val="00C055D7"/>
    <w:rsid w:val="00C10BCE"/>
    <w:rsid w:val="00C11154"/>
    <w:rsid w:val="00C32E07"/>
    <w:rsid w:val="00C337B4"/>
    <w:rsid w:val="00C3606D"/>
    <w:rsid w:val="00C37C13"/>
    <w:rsid w:val="00C423DE"/>
    <w:rsid w:val="00C45FBF"/>
    <w:rsid w:val="00C461AC"/>
    <w:rsid w:val="00C50900"/>
    <w:rsid w:val="00C56EE9"/>
    <w:rsid w:val="00C75797"/>
    <w:rsid w:val="00CB1A29"/>
    <w:rsid w:val="00CC0069"/>
    <w:rsid w:val="00CC17E1"/>
    <w:rsid w:val="00CC74F6"/>
    <w:rsid w:val="00CC7F28"/>
    <w:rsid w:val="00CD0B94"/>
    <w:rsid w:val="00CD3995"/>
    <w:rsid w:val="00CD4A4B"/>
    <w:rsid w:val="00CD54F6"/>
    <w:rsid w:val="00CE3219"/>
    <w:rsid w:val="00CE5BA9"/>
    <w:rsid w:val="00CE6C27"/>
    <w:rsid w:val="00D012B3"/>
    <w:rsid w:val="00D01986"/>
    <w:rsid w:val="00D048F2"/>
    <w:rsid w:val="00D050E8"/>
    <w:rsid w:val="00D05D05"/>
    <w:rsid w:val="00D1263D"/>
    <w:rsid w:val="00D134DF"/>
    <w:rsid w:val="00D13BFB"/>
    <w:rsid w:val="00D140BF"/>
    <w:rsid w:val="00D23472"/>
    <w:rsid w:val="00D25D04"/>
    <w:rsid w:val="00D26B53"/>
    <w:rsid w:val="00D41750"/>
    <w:rsid w:val="00D43235"/>
    <w:rsid w:val="00D565D2"/>
    <w:rsid w:val="00D63BFD"/>
    <w:rsid w:val="00D64721"/>
    <w:rsid w:val="00D71CA4"/>
    <w:rsid w:val="00D72E06"/>
    <w:rsid w:val="00D77453"/>
    <w:rsid w:val="00D8786A"/>
    <w:rsid w:val="00D9688B"/>
    <w:rsid w:val="00D974E6"/>
    <w:rsid w:val="00DA03EF"/>
    <w:rsid w:val="00DA737C"/>
    <w:rsid w:val="00DB7313"/>
    <w:rsid w:val="00DC3CF3"/>
    <w:rsid w:val="00DD0199"/>
    <w:rsid w:val="00DD1330"/>
    <w:rsid w:val="00DD4280"/>
    <w:rsid w:val="00DE2EE7"/>
    <w:rsid w:val="00DE455A"/>
    <w:rsid w:val="00DE4DB2"/>
    <w:rsid w:val="00DF4C80"/>
    <w:rsid w:val="00DF757A"/>
    <w:rsid w:val="00E0686B"/>
    <w:rsid w:val="00E0788A"/>
    <w:rsid w:val="00E11555"/>
    <w:rsid w:val="00E16E7F"/>
    <w:rsid w:val="00E175B6"/>
    <w:rsid w:val="00E27C7C"/>
    <w:rsid w:val="00E47CF2"/>
    <w:rsid w:val="00E55917"/>
    <w:rsid w:val="00E622FD"/>
    <w:rsid w:val="00E63887"/>
    <w:rsid w:val="00E6604D"/>
    <w:rsid w:val="00E67621"/>
    <w:rsid w:val="00E70F95"/>
    <w:rsid w:val="00E71FA6"/>
    <w:rsid w:val="00E804BD"/>
    <w:rsid w:val="00E826E0"/>
    <w:rsid w:val="00E90AFF"/>
    <w:rsid w:val="00E93754"/>
    <w:rsid w:val="00E95396"/>
    <w:rsid w:val="00EB176E"/>
    <w:rsid w:val="00EB4E93"/>
    <w:rsid w:val="00EC2A53"/>
    <w:rsid w:val="00EC5814"/>
    <w:rsid w:val="00EE2807"/>
    <w:rsid w:val="00EE2987"/>
    <w:rsid w:val="00EE3D7C"/>
    <w:rsid w:val="00EE48A6"/>
    <w:rsid w:val="00EF426D"/>
    <w:rsid w:val="00F0164B"/>
    <w:rsid w:val="00F04CF4"/>
    <w:rsid w:val="00F05425"/>
    <w:rsid w:val="00F07AE1"/>
    <w:rsid w:val="00F10B67"/>
    <w:rsid w:val="00F10DC7"/>
    <w:rsid w:val="00F1523F"/>
    <w:rsid w:val="00F168E3"/>
    <w:rsid w:val="00F21420"/>
    <w:rsid w:val="00F24075"/>
    <w:rsid w:val="00F4304D"/>
    <w:rsid w:val="00F557DE"/>
    <w:rsid w:val="00F80BBF"/>
    <w:rsid w:val="00F84710"/>
    <w:rsid w:val="00F92BA1"/>
    <w:rsid w:val="00F93B21"/>
    <w:rsid w:val="00FA4C43"/>
    <w:rsid w:val="00FB1D9D"/>
    <w:rsid w:val="00FD37E7"/>
    <w:rsid w:val="00FD7856"/>
    <w:rsid w:val="00FE24E0"/>
    <w:rsid w:val="00FE2627"/>
    <w:rsid w:val="00FE3873"/>
    <w:rsid w:val="00FF62B5"/>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E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A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07"/>
    <w:rPr>
      <w:rFonts w:ascii="Perpetua" w:hAnsi="Perpetua"/>
      <w:sz w:val="28"/>
      <w:lang w:val="de-DE" w:eastAsia="de-AT"/>
    </w:rPr>
  </w:style>
  <w:style w:type="paragraph" w:styleId="Heading1">
    <w:name w:val="heading 1"/>
    <w:basedOn w:val="Normal"/>
    <w:next w:val="Normal"/>
    <w:link w:val="Heading1Char"/>
    <w:qFormat/>
    <w:rsid w:val="00744040"/>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nhideWhenUsed/>
    <w:qFormat/>
    <w:rsid w:val="00744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A1F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85E9F"/>
    <w:rPr>
      <w:rFonts w:ascii="Tahoma" w:hAnsi="Tahoma" w:cs="Tahoma"/>
      <w:sz w:val="16"/>
      <w:szCs w:val="16"/>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2">
    <w:name w:val="Balloon Text Char"/>
    <w:basedOn w:val="DefaultParagraphFont"/>
    <w:uiPriority w:val="99"/>
    <w:semiHidden/>
    <w:rsid w:val="000B21E3"/>
    <w:rPr>
      <w:rFonts w:ascii="Lucida Grande" w:hAnsi="Lucida Grande"/>
      <w:sz w:val="18"/>
      <w:szCs w:val="18"/>
    </w:rPr>
  </w:style>
  <w:style w:type="paragraph" w:styleId="Title">
    <w:name w:val="Title"/>
    <w:basedOn w:val="Normal"/>
    <w:link w:val="TitleChar"/>
    <w:qFormat/>
    <w:rsid w:val="00C32E07"/>
    <w:pPr>
      <w:jc w:val="center"/>
    </w:pPr>
    <w:rPr>
      <w:b/>
      <w:sz w:val="32"/>
    </w:rPr>
  </w:style>
  <w:style w:type="character" w:customStyle="1" w:styleId="TitleChar">
    <w:name w:val="Title Char"/>
    <w:basedOn w:val="DefaultParagraphFont"/>
    <w:link w:val="Title"/>
    <w:rsid w:val="00C32E07"/>
    <w:rPr>
      <w:rFonts w:ascii="Perpetua" w:hAnsi="Perpetua"/>
      <w:b/>
      <w:sz w:val="32"/>
      <w:lang w:val="de-DE" w:eastAsia="de-AT"/>
    </w:rPr>
  </w:style>
  <w:style w:type="paragraph" w:styleId="PlainText">
    <w:name w:val="Plain Text"/>
    <w:basedOn w:val="Normal"/>
    <w:link w:val="PlainTextChar"/>
    <w:uiPriority w:val="99"/>
    <w:unhideWhenUsed/>
    <w:rsid w:val="003A5E9C"/>
    <w:rPr>
      <w:rFonts w:ascii="Calibri" w:eastAsiaTheme="minorHAnsi" w:hAnsi="Calibri" w:cstheme="minorBidi"/>
      <w:sz w:val="22"/>
      <w:szCs w:val="21"/>
      <w:lang w:val="de-AT" w:eastAsia="en-US"/>
    </w:rPr>
  </w:style>
  <w:style w:type="character" w:customStyle="1" w:styleId="PlainTextChar">
    <w:name w:val="Plain Text Char"/>
    <w:basedOn w:val="DefaultParagraphFont"/>
    <w:link w:val="PlainText"/>
    <w:uiPriority w:val="99"/>
    <w:rsid w:val="003A5E9C"/>
    <w:rPr>
      <w:rFonts w:ascii="Calibri" w:eastAsiaTheme="minorHAnsi" w:hAnsi="Calibri" w:cstheme="minorBidi"/>
      <w:sz w:val="22"/>
      <w:szCs w:val="21"/>
    </w:rPr>
  </w:style>
  <w:style w:type="character" w:styleId="Hyperlink">
    <w:name w:val="Hyperlink"/>
    <w:basedOn w:val="DefaultParagraphFont"/>
    <w:uiPriority w:val="99"/>
    <w:unhideWhenUsed/>
    <w:rsid w:val="002A48EF"/>
    <w:rPr>
      <w:color w:val="0000FF" w:themeColor="hyperlink"/>
      <w:u w:val="single"/>
    </w:rPr>
  </w:style>
  <w:style w:type="character" w:styleId="Emphasis">
    <w:name w:val="Emphasis"/>
    <w:basedOn w:val="DefaultParagraphFont"/>
    <w:uiPriority w:val="20"/>
    <w:qFormat/>
    <w:rsid w:val="002A48EF"/>
    <w:rPr>
      <w:i/>
      <w:iCs/>
    </w:rPr>
  </w:style>
  <w:style w:type="paragraph" w:styleId="NormalWeb">
    <w:name w:val="Normal (Web)"/>
    <w:basedOn w:val="Normal"/>
    <w:uiPriority w:val="99"/>
    <w:semiHidden/>
    <w:unhideWhenUsed/>
    <w:rsid w:val="002A48EF"/>
    <w:pPr>
      <w:spacing w:before="120" w:after="216"/>
    </w:pPr>
    <w:rPr>
      <w:rFonts w:ascii="Times New Roman" w:hAnsi="Times New Roman"/>
      <w:sz w:val="24"/>
      <w:lang w:val="de-AT"/>
    </w:rPr>
  </w:style>
  <w:style w:type="paragraph" w:styleId="ListParagraph">
    <w:name w:val="List Paragraph"/>
    <w:basedOn w:val="Normal"/>
    <w:uiPriority w:val="34"/>
    <w:qFormat/>
    <w:rsid w:val="00D01986"/>
    <w:pPr>
      <w:ind w:left="720"/>
      <w:contextualSpacing/>
    </w:pPr>
  </w:style>
  <w:style w:type="paragraph" w:styleId="EndnoteText">
    <w:name w:val="endnote text"/>
    <w:basedOn w:val="Normal"/>
    <w:link w:val="EndnoteTextChar"/>
    <w:uiPriority w:val="99"/>
    <w:unhideWhenUsed/>
    <w:rsid w:val="00816572"/>
    <w:rPr>
      <w:sz w:val="20"/>
    </w:rPr>
  </w:style>
  <w:style w:type="character" w:customStyle="1" w:styleId="EndnoteTextChar">
    <w:name w:val="Endnote Text Char"/>
    <w:basedOn w:val="DefaultParagraphFont"/>
    <w:link w:val="EndnoteText"/>
    <w:uiPriority w:val="99"/>
    <w:rsid w:val="00816572"/>
    <w:rPr>
      <w:rFonts w:ascii="Perpetua" w:hAnsi="Perpetua"/>
      <w:lang w:val="de-DE" w:eastAsia="de-AT"/>
    </w:rPr>
  </w:style>
  <w:style w:type="character" w:styleId="EndnoteReference">
    <w:name w:val="endnote reference"/>
    <w:basedOn w:val="DefaultParagraphFont"/>
    <w:uiPriority w:val="99"/>
    <w:semiHidden/>
    <w:unhideWhenUsed/>
    <w:rsid w:val="00816572"/>
    <w:rPr>
      <w:vertAlign w:val="superscript"/>
    </w:rPr>
  </w:style>
  <w:style w:type="paragraph" w:styleId="Header">
    <w:name w:val="header"/>
    <w:basedOn w:val="Normal"/>
    <w:link w:val="HeaderChar"/>
    <w:uiPriority w:val="99"/>
    <w:unhideWhenUsed/>
    <w:rsid w:val="00A45FB3"/>
    <w:pPr>
      <w:tabs>
        <w:tab w:val="center" w:pos="4536"/>
        <w:tab w:val="right" w:pos="9072"/>
      </w:tabs>
    </w:pPr>
  </w:style>
  <w:style w:type="character" w:customStyle="1" w:styleId="HeaderChar">
    <w:name w:val="Header Char"/>
    <w:basedOn w:val="DefaultParagraphFont"/>
    <w:link w:val="Header"/>
    <w:uiPriority w:val="99"/>
    <w:rsid w:val="00A45FB3"/>
    <w:rPr>
      <w:rFonts w:ascii="Perpetua" w:hAnsi="Perpetua"/>
      <w:sz w:val="28"/>
      <w:lang w:val="de-DE" w:eastAsia="de-AT"/>
    </w:rPr>
  </w:style>
  <w:style w:type="paragraph" w:styleId="Footer">
    <w:name w:val="footer"/>
    <w:basedOn w:val="Normal"/>
    <w:link w:val="FooterChar"/>
    <w:uiPriority w:val="99"/>
    <w:unhideWhenUsed/>
    <w:rsid w:val="00A45FB3"/>
    <w:pPr>
      <w:tabs>
        <w:tab w:val="center" w:pos="4536"/>
        <w:tab w:val="right" w:pos="9072"/>
      </w:tabs>
    </w:pPr>
  </w:style>
  <w:style w:type="character" w:customStyle="1" w:styleId="FooterChar">
    <w:name w:val="Footer Char"/>
    <w:basedOn w:val="DefaultParagraphFont"/>
    <w:link w:val="Footer"/>
    <w:uiPriority w:val="99"/>
    <w:rsid w:val="00A45FB3"/>
    <w:rPr>
      <w:rFonts w:ascii="Perpetua" w:hAnsi="Perpetua"/>
      <w:sz w:val="28"/>
      <w:lang w:val="de-DE" w:eastAsia="de-AT"/>
    </w:rPr>
  </w:style>
  <w:style w:type="character" w:customStyle="1" w:styleId="BalloonTextChar1">
    <w:name w:val="Balloon Text Char1"/>
    <w:basedOn w:val="DefaultParagraphFont"/>
    <w:link w:val="BalloonText"/>
    <w:uiPriority w:val="99"/>
    <w:semiHidden/>
    <w:rsid w:val="00185E9F"/>
    <w:rPr>
      <w:rFonts w:ascii="Tahoma" w:hAnsi="Tahoma" w:cs="Tahoma"/>
      <w:sz w:val="16"/>
      <w:szCs w:val="16"/>
      <w:lang w:val="de-DE" w:eastAsia="de-AT"/>
    </w:rPr>
  </w:style>
  <w:style w:type="character" w:customStyle="1" w:styleId="Heading1Char">
    <w:name w:val="Heading 1 Char"/>
    <w:basedOn w:val="DefaultParagraphFont"/>
    <w:link w:val="Heading1"/>
    <w:rsid w:val="00744040"/>
    <w:rPr>
      <w:rFonts w:asciiTheme="majorHAnsi" w:eastAsiaTheme="majorEastAsia" w:hAnsiTheme="majorHAnsi" w:cstheme="majorBidi"/>
      <w:b/>
      <w:bCs/>
      <w:color w:val="365F91" w:themeColor="accent1" w:themeShade="BF"/>
      <w:sz w:val="28"/>
      <w:szCs w:val="28"/>
      <w:lang w:val="de-DE" w:eastAsia="de-AT"/>
    </w:rPr>
  </w:style>
  <w:style w:type="character" w:customStyle="1" w:styleId="Heading2Char">
    <w:name w:val="Heading 2 Char"/>
    <w:basedOn w:val="DefaultParagraphFont"/>
    <w:link w:val="Heading2"/>
    <w:rsid w:val="00744040"/>
    <w:rPr>
      <w:rFonts w:asciiTheme="majorHAnsi" w:eastAsiaTheme="majorEastAsia" w:hAnsiTheme="majorHAnsi" w:cstheme="majorBidi"/>
      <w:b/>
      <w:bCs/>
      <w:color w:val="4F81BD" w:themeColor="accent1"/>
      <w:sz w:val="26"/>
      <w:szCs w:val="26"/>
      <w:lang w:val="de-DE" w:eastAsia="de-AT"/>
    </w:rPr>
  </w:style>
  <w:style w:type="character" w:styleId="CommentReference">
    <w:name w:val="annotation reference"/>
    <w:basedOn w:val="DefaultParagraphFont"/>
    <w:uiPriority w:val="99"/>
    <w:semiHidden/>
    <w:unhideWhenUsed/>
    <w:rsid w:val="00E0686B"/>
    <w:rPr>
      <w:sz w:val="18"/>
      <w:szCs w:val="18"/>
    </w:rPr>
  </w:style>
  <w:style w:type="paragraph" w:styleId="CommentText">
    <w:name w:val="annotation text"/>
    <w:basedOn w:val="Normal"/>
    <w:link w:val="CommentTextChar"/>
    <w:uiPriority w:val="99"/>
    <w:semiHidden/>
    <w:unhideWhenUsed/>
    <w:rsid w:val="00E0686B"/>
    <w:rPr>
      <w:sz w:val="24"/>
    </w:rPr>
  </w:style>
  <w:style w:type="character" w:customStyle="1" w:styleId="CommentTextChar">
    <w:name w:val="Comment Text Char"/>
    <w:basedOn w:val="DefaultParagraphFont"/>
    <w:link w:val="CommentText"/>
    <w:uiPriority w:val="99"/>
    <w:semiHidden/>
    <w:rsid w:val="00E0686B"/>
    <w:rPr>
      <w:rFonts w:ascii="Perpetua" w:hAnsi="Perpetua"/>
      <w:sz w:val="24"/>
      <w:szCs w:val="24"/>
      <w:lang w:val="de-DE" w:eastAsia="de-AT"/>
    </w:rPr>
  </w:style>
  <w:style w:type="paragraph" w:styleId="CommentSubject">
    <w:name w:val="annotation subject"/>
    <w:basedOn w:val="CommentText"/>
    <w:next w:val="CommentText"/>
    <w:link w:val="CommentSubjectChar"/>
    <w:uiPriority w:val="99"/>
    <w:semiHidden/>
    <w:unhideWhenUsed/>
    <w:rsid w:val="00E0686B"/>
    <w:rPr>
      <w:b/>
      <w:bCs/>
      <w:sz w:val="20"/>
      <w:szCs w:val="20"/>
    </w:rPr>
  </w:style>
  <w:style w:type="character" w:customStyle="1" w:styleId="CommentSubjectChar">
    <w:name w:val="Comment Subject Char"/>
    <w:basedOn w:val="CommentTextChar"/>
    <w:link w:val="CommentSubject"/>
    <w:uiPriority w:val="99"/>
    <w:semiHidden/>
    <w:rsid w:val="00E0686B"/>
    <w:rPr>
      <w:rFonts w:ascii="Perpetua" w:hAnsi="Perpetua"/>
      <w:b/>
      <w:bCs/>
      <w:sz w:val="24"/>
      <w:szCs w:val="24"/>
      <w:lang w:val="de-DE" w:eastAsia="de-AT"/>
    </w:rPr>
  </w:style>
  <w:style w:type="paragraph" w:styleId="FootnoteText">
    <w:name w:val="footnote text"/>
    <w:basedOn w:val="Normal"/>
    <w:link w:val="FootnoteTextChar"/>
    <w:uiPriority w:val="99"/>
    <w:unhideWhenUsed/>
    <w:rsid w:val="00993FD9"/>
    <w:rPr>
      <w:sz w:val="24"/>
    </w:rPr>
  </w:style>
  <w:style w:type="character" w:customStyle="1" w:styleId="FootnoteTextChar">
    <w:name w:val="Footnote Text Char"/>
    <w:basedOn w:val="DefaultParagraphFont"/>
    <w:link w:val="FootnoteText"/>
    <w:uiPriority w:val="99"/>
    <w:rsid w:val="00993FD9"/>
    <w:rPr>
      <w:rFonts w:ascii="Perpetua" w:hAnsi="Perpetua"/>
      <w:sz w:val="24"/>
      <w:szCs w:val="24"/>
      <w:lang w:val="de-DE" w:eastAsia="de-AT"/>
    </w:rPr>
  </w:style>
  <w:style w:type="character" w:styleId="FootnoteReference">
    <w:name w:val="footnote reference"/>
    <w:basedOn w:val="DefaultParagraphFont"/>
    <w:uiPriority w:val="99"/>
    <w:semiHidden/>
    <w:unhideWhenUsed/>
    <w:rsid w:val="00993FD9"/>
    <w:rPr>
      <w:vertAlign w:val="superscript"/>
    </w:rPr>
  </w:style>
  <w:style w:type="character" w:customStyle="1" w:styleId="Heading3Char">
    <w:name w:val="Heading 3 Char"/>
    <w:basedOn w:val="DefaultParagraphFont"/>
    <w:link w:val="Heading3"/>
    <w:rsid w:val="001A1FBC"/>
    <w:rPr>
      <w:rFonts w:asciiTheme="majorHAnsi" w:eastAsiaTheme="majorEastAsia" w:hAnsiTheme="majorHAnsi" w:cstheme="majorBidi"/>
      <w:b/>
      <w:bCs/>
      <w:color w:val="4F81BD" w:themeColor="accent1"/>
      <w:sz w:val="28"/>
      <w:lang w:val="de-DE" w:eastAsia="de-AT"/>
    </w:rPr>
  </w:style>
  <w:style w:type="character" w:styleId="FollowedHyperlink">
    <w:name w:val="FollowedHyperlink"/>
    <w:basedOn w:val="DefaultParagraphFont"/>
    <w:uiPriority w:val="99"/>
    <w:semiHidden/>
    <w:unhideWhenUsed/>
    <w:rsid w:val="001A1FBC"/>
    <w:rPr>
      <w:color w:val="800080" w:themeColor="followedHyperlink"/>
      <w:u w:val="single"/>
    </w:rPr>
  </w:style>
  <w:style w:type="character" w:styleId="PageNumber">
    <w:name w:val="page number"/>
    <w:basedOn w:val="DefaultParagraphFont"/>
    <w:uiPriority w:val="99"/>
    <w:semiHidden/>
    <w:unhideWhenUsed/>
    <w:rsid w:val="00F04C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A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07"/>
    <w:rPr>
      <w:rFonts w:ascii="Perpetua" w:hAnsi="Perpetua"/>
      <w:sz w:val="28"/>
      <w:lang w:val="de-DE" w:eastAsia="de-AT"/>
    </w:rPr>
  </w:style>
  <w:style w:type="paragraph" w:styleId="Heading1">
    <w:name w:val="heading 1"/>
    <w:basedOn w:val="Normal"/>
    <w:next w:val="Normal"/>
    <w:link w:val="Heading1Char"/>
    <w:qFormat/>
    <w:rsid w:val="00744040"/>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nhideWhenUsed/>
    <w:qFormat/>
    <w:rsid w:val="00744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A1F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85E9F"/>
    <w:rPr>
      <w:rFonts w:ascii="Tahoma" w:hAnsi="Tahoma" w:cs="Tahoma"/>
      <w:sz w:val="16"/>
      <w:szCs w:val="16"/>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2">
    <w:name w:val="Balloon Text Char"/>
    <w:basedOn w:val="DefaultParagraphFont"/>
    <w:uiPriority w:val="99"/>
    <w:semiHidden/>
    <w:rsid w:val="000B21E3"/>
    <w:rPr>
      <w:rFonts w:ascii="Lucida Grande" w:hAnsi="Lucida Grande"/>
      <w:sz w:val="18"/>
      <w:szCs w:val="18"/>
    </w:rPr>
  </w:style>
  <w:style w:type="paragraph" w:styleId="Title">
    <w:name w:val="Title"/>
    <w:basedOn w:val="Normal"/>
    <w:link w:val="TitleChar"/>
    <w:qFormat/>
    <w:rsid w:val="00C32E07"/>
    <w:pPr>
      <w:jc w:val="center"/>
    </w:pPr>
    <w:rPr>
      <w:b/>
      <w:sz w:val="32"/>
    </w:rPr>
  </w:style>
  <w:style w:type="character" w:customStyle="1" w:styleId="TitleChar">
    <w:name w:val="Title Char"/>
    <w:basedOn w:val="DefaultParagraphFont"/>
    <w:link w:val="Title"/>
    <w:rsid w:val="00C32E07"/>
    <w:rPr>
      <w:rFonts w:ascii="Perpetua" w:hAnsi="Perpetua"/>
      <w:b/>
      <w:sz w:val="32"/>
      <w:lang w:val="de-DE" w:eastAsia="de-AT"/>
    </w:rPr>
  </w:style>
  <w:style w:type="paragraph" w:styleId="PlainText">
    <w:name w:val="Plain Text"/>
    <w:basedOn w:val="Normal"/>
    <w:link w:val="PlainTextChar"/>
    <w:uiPriority w:val="99"/>
    <w:unhideWhenUsed/>
    <w:rsid w:val="003A5E9C"/>
    <w:rPr>
      <w:rFonts w:ascii="Calibri" w:eastAsiaTheme="minorHAnsi" w:hAnsi="Calibri" w:cstheme="minorBidi"/>
      <w:sz w:val="22"/>
      <w:szCs w:val="21"/>
      <w:lang w:val="de-AT" w:eastAsia="en-US"/>
    </w:rPr>
  </w:style>
  <w:style w:type="character" w:customStyle="1" w:styleId="PlainTextChar">
    <w:name w:val="Plain Text Char"/>
    <w:basedOn w:val="DefaultParagraphFont"/>
    <w:link w:val="PlainText"/>
    <w:uiPriority w:val="99"/>
    <w:rsid w:val="003A5E9C"/>
    <w:rPr>
      <w:rFonts w:ascii="Calibri" w:eastAsiaTheme="minorHAnsi" w:hAnsi="Calibri" w:cstheme="minorBidi"/>
      <w:sz w:val="22"/>
      <w:szCs w:val="21"/>
    </w:rPr>
  </w:style>
  <w:style w:type="character" w:styleId="Hyperlink">
    <w:name w:val="Hyperlink"/>
    <w:basedOn w:val="DefaultParagraphFont"/>
    <w:uiPriority w:val="99"/>
    <w:unhideWhenUsed/>
    <w:rsid w:val="002A48EF"/>
    <w:rPr>
      <w:color w:val="0000FF" w:themeColor="hyperlink"/>
      <w:u w:val="single"/>
    </w:rPr>
  </w:style>
  <w:style w:type="character" w:styleId="Emphasis">
    <w:name w:val="Emphasis"/>
    <w:basedOn w:val="DefaultParagraphFont"/>
    <w:uiPriority w:val="20"/>
    <w:qFormat/>
    <w:rsid w:val="002A48EF"/>
    <w:rPr>
      <w:i/>
      <w:iCs/>
    </w:rPr>
  </w:style>
  <w:style w:type="paragraph" w:styleId="NormalWeb">
    <w:name w:val="Normal (Web)"/>
    <w:basedOn w:val="Normal"/>
    <w:uiPriority w:val="99"/>
    <w:semiHidden/>
    <w:unhideWhenUsed/>
    <w:rsid w:val="002A48EF"/>
    <w:pPr>
      <w:spacing w:before="120" w:after="216"/>
    </w:pPr>
    <w:rPr>
      <w:rFonts w:ascii="Times New Roman" w:hAnsi="Times New Roman"/>
      <w:sz w:val="24"/>
      <w:lang w:val="de-AT"/>
    </w:rPr>
  </w:style>
  <w:style w:type="paragraph" w:styleId="ListParagraph">
    <w:name w:val="List Paragraph"/>
    <w:basedOn w:val="Normal"/>
    <w:uiPriority w:val="34"/>
    <w:qFormat/>
    <w:rsid w:val="00D01986"/>
    <w:pPr>
      <w:ind w:left="720"/>
      <w:contextualSpacing/>
    </w:pPr>
  </w:style>
  <w:style w:type="paragraph" w:styleId="EndnoteText">
    <w:name w:val="endnote text"/>
    <w:basedOn w:val="Normal"/>
    <w:link w:val="EndnoteTextChar"/>
    <w:uiPriority w:val="99"/>
    <w:unhideWhenUsed/>
    <w:rsid w:val="00816572"/>
    <w:rPr>
      <w:sz w:val="20"/>
    </w:rPr>
  </w:style>
  <w:style w:type="character" w:customStyle="1" w:styleId="EndnoteTextChar">
    <w:name w:val="Endnote Text Char"/>
    <w:basedOn w:val="DefaultParagraphFont"/>
    <w:link w:val="EndnoteText"/>
    <w:uiPriority w:val="99"/>
    <w:rsid w:val="00816572"/>
    <w:rPr>
      <w:rFonts w:ascii="Perpetua" w:hAnsi="Perpetua"/>
      <w:lang w:val="de-DE" w:eastAsia="de-AT"/>
    </w:rPr>
  </w:style>
  <w:style w:type="character" w:styleId="EndnoteReference">
    <w:name w:val="endnote reference"/>
    <w:basedOn w:val="DefaultParagraphFont"/>
    <w:uiPriority w:val="99"/>
    <w:semiHidden/>
    <w:unhideWhenUsed/>
    <w:rsid w:val="00816572"/>
    <w:rPr>
      <w:vertAlign w:val="superscript"/>
    </w:rPr>
  </w:style>
  <w:style w:type="paragraph" w:styleId="Header">
    <w:name w:val="header"/>
    <w:basedOn w:val="Normal"/>
    <w:link w:val="HeaderChar"/>
    <w:uiPriority w:val="99"/>
    <w:unhideWhenUsed/>
    <w:rsid w:val="00A45FB3"/>
    <w:pPr>
      <w:tabs>
        <w:tab w:val="center" w:pos="4536"/>
        <w:tab w:val="right" w:pos="9072"/>
      </w:tabs>
    </w:pPr>
  </w:style>
  <w:style w:type="character" w:customStyle="1" w:styleId="HeaderChar">
    <w:name w:val="Header Char"/>
    <w:basedOn w:val="DefaultParagraphFont"/>
    <w:link w:val="Header"/>
    <w:uiPriority w:val="99"/>
    <w:rsid w:val="00A45FB3"/>
    <w:rPr>
      <w:rFonts w:ascii="Perpetua" w:hAnsi="Perpetua"/>
      <w:sz w:val="28"/>
      <w:lang w:val="de-DE" w:eastAsia="de-AT"/>
    </w:rPr>
  </w:style>
  <w:style w:type="paragraph" w:styleId="Footer">
    <w:name w:val="footer"/>
    <w:basedOn w:val="Normal"/>
    <w:link w:val="FooterChar"/>
    <w:uiPriority w:val="99"/>
    <w:unhideWhenUsed/>
    <w:rsid w:val="00A45FB3"/>
    <w:pPr>
      <w:tabs>
        <w:tab w:val="center" w:pos="4536"/>
        <w:tab w:val="right" w:pos="9072"/>
      </w:tabs>
    </w:pPr>
  </w:style>
  <w:style w:type="character" w:customStyle="1" w:styleId="FooterChar">
    <w:name w:val="Footer Char"/>
    <w:basedOn w:val="DefaultParagraphFont"/>
    <w:link w:val="Footer"/>
    <w:uiPriority w:val="99"/>
    <w:rsid w:val="00A45FB3"/>
    <w:rPr>
      <w:rFonts w:ascii="Perpetua" w:hAnsi="Perpetua"/>
      <w:sz w:val="28"/>
      <w:lang w:val="de-DE" w:eastAsia="de-AT"/>
    </w:rPr>
  </w:style>
  <w:style w:type="character" w:customStyle="1" w:styleId="BalloonTextChar1">
    <w:name w:val="Balloon Text Char1"/>
    <w:basedOn w:val="DefaultParagraphFont"/>
    <w:link w:val="BalloonText"/>
    <w:uiPriority w:val="99"/>
    <w:semiHidden/>
    <w:rsid w:val="00185E9F"/>
    <w:rPr>
      <w:rFonts w:ascii="Tahoma" w:hAnsi="Tahoma" w:cs="Tahoma"/>
      <w:sz w:val="16"/>
      <w:szCs w:val="16"/>
      <w:lang w:val="de-DE" w:eastAsia="de-AT"/>
    </w:rPr>
  </w:style>
  <w:style w:type="character" w:customStyle="1" w:styleId="Heading1Char">
    <w:name w:val="Heading 1 Char"/>
    <w:basedOn w:val="DefaultParagraphFont"/>
    <w:link w:val="Heading1"/>
    <w:rsid w:val="00744040"/>
    <w:rPr>
      <w:rFonts w:asciiTheme="majorHAnsi" w:eastAsiaTheme="majorEastAsia" w:hAnsiTheme="majorHAnsi" w:cstheme="majorBidi"/>
      <w:b/>
      <w:bCs/>
      <w:color w:val="365F91" w:themeColor="accent1" w:themeShade="BF"/>
      <w:sz w:val="28"/>
      <w:szCs w:val="28"/>
      <w:lang w:val="de-DE" w:eastAsia="de-AT"/>
    </w:rPr>
  </w:style>
  <w:style w:type="character" w:customStyle="1" w:styleId="Heading2Char">
    <w:name w:val="Heading 2 Char"/>
    <w:basedOn w:val="DefaultParagraphFont"/>
    <w:link w:val="Heading2"/>
    <w:rsid w:val="00744040"/>
    <w:rPr>
      <w:rFonts w:asciiTheme="majorHAnsi" w:eastAsiaTheme="majorEastAsia" w:hAnsiTheme="majorHAnsi" w:cstheme="majorBidi"/>
      <w:b/>
      <w:bCs/>
      <w:color w:val="4F81BD" w:themeColor="accent1"/>
      <w:sz w:val="26"/>
      <w:szCs w:val="26"/>
      <w:lang w:val="de-DE" w:eastAsia="de-AT"/>
    </w:rPr>
  </w:style>
  <w:style w:type="character" w:styleId="CommentReference">
    <w:name w:val="annotation reference"/>
    <w:basedOn w:val="DefaultParagraphFont"/>
    <w:uiPriority w:val="99"/>
    <w:semiHidden/>
    <w:unhideWhenUsed/>
    <w:rsid w:val="00E0686B"/>
    <w:rPr>
      <w:sz w:val="18"/>
      <w:szCs w:val="18"/>
    </w:rPr>
  </w:style>
  <w:style w:type="paragraph" w:styleId="CommentText">
    <w:name w:val="annotation text"/>
    <w:basedOn w:val="Normal"/>
    <w:link w:val="CommentTextChar"/>
    <w:uiPriority w:val="99"/>
    <w:semiHidden/>
    <w:unhideWhenUsed/>
    <w:rsid w:val="00E0686B"/>
    <w:rPr>
      <w:sz w:val="24"/>
    </w:rPr>
  </w:style>
  <w:style w:type="character" w:customStyle="1" w:styleId="CommentTextChar">
    <w:name w:val="Comment Text Char"/>
    <w:basedOn w:val="DefaultParagraphFont"/>
    <w:link w:val="CommentText"/>
    <w:uiPriority w:val="99"/>
    <w:semiHidden/>
    <w:rsid w:val="00E0686B"/>
    <w:rPr>
      <w:rFonts w:ascii="Perpetua" w:hAnsi="Perpetua"/>
      <w:sz w:val="24"/>
      <w:szCs w:val="24"/>
      <w:lang w:val="de-DE" w:eastAsia="de-AT"/>
    </w:rPr>
  </w:style>
  <w:style w:type="paragraph" w:styleId="CommentSubject">
    <w:name w:val="annotation subject"/>
    <w:basedOn w:val="CommentText"/>
    <w:next w:val="CommentText"/>
    <w:link w:val="CommentSubjectChar"/>
    <w:uiPriority w:val="99"/>
    <w:semiHidden/>
    <w:unhideWhenUsed/>
    <w:rsid w:val="00E0686B"/>
    <w:rPr>
      <w:b/>
      <w:bCs/>
      <w:sz w:val="20"/>
      <w:szCs w:val="20"/>
    </w:rPr>
  </w:style>
  <w:style w:type="character" w:customStyle="1" w:styleId="CommentSubjectChar">
    <w:name w:val="Comment Subject Char"/>
    <w:basedOn w:val="CommentTextChar"/>
    <w:link w:val="CommentSubject"/>
    <w:uiPriority w:val="99"/>
    <w:semiHidden/>
    <w:rsid w:val="00E0686B"/>
    <w:rPr>
      <w:rFonts w:ascii="Perpetua" w:hAnsi="Perpetua"/>
      <w:b/>
      <w:bCs/>
      <w:sz w:val="24"/>
      <w:szCs w:val="24"/>
      <w:lang w:val="de-DE" w:eastAsia="de-AT"/>
    </w:rPr>
  </w:style>
  <w:style w:type="paragraph" w:styleId="FootnoteText">
    <w:name w:val="footnote text"/>
    <w:basedOn w:val="Normal"/>
    <w:link w:val="FootnoteTextChar"/>
    <w:uiPriority w:val="99"/>
    <w:unhideWhenUsed/>
    <w:rsid w:val="00993FD9"/>
    <w:rPr>
      <w:sz w:val="24"/>
    </w:rPr>
  </w:style>
  <w:style w:type="character" w:customStyle="1" w:styleId="FootnoteTextChar">
    <w:name w:val="Footnote Text Char"/>
    <w:basedOn w:val="DefaultParagraphFont"/>
    <w:link w:val="FootnoteText"/>
    <w:uiPriority w:val="99"/>
    <w:rsid w:val="00993FD9"/>
    <w:rPr>
      <w:rFonts w:ascii="Perpetua" w:hAnsi="Perpetua"/>
      <w:sz w:val="24"/>
      <w:szCs w:val="24"/>
      <w:lang w:val="de-DE" w:eastAsia="de-AT"/>
    </w:rPr>
  </w:style>
  <w:style w:type="character" w:styleId="FootnoteReference">
    <w:name w:val="footnote reference"/>
    <w:basedOn w:val="DefaultParagraphFont"/>
    <w:uiPriority w:val="99"/>
    <w:semiHidden/>
    <w:unhideWhenUsed/>
    <w:rsid w:val="00993FD9"/>
    <w:rPr>
      <w:vertAlign w:val="superscript"/>
    </w:rPr>
  </w:style>
  <w:style w:type="character" w:customStyle="1" w:styleId="Heading3Char">
    <w:name w:val="Heading 3 Char"/>
    <w:basedOn w:val="DefaultParagraphFont"/>
    <w:link w:val="Heading3"/>
    <w:rsid w:val="001A1FBC"/>
    <w:rPr>
      <w:rFonts w:asciiTheme="majorHAnsi" w:eastAsiaTheme="majorEastAsia" w:hAnsiTheme="majorHAnsi" w:cstheme="majorBidi"/>
      <w:b/>
      <w:bCs/>
      <w:color w:val="4F81BD" w:themeColor="accent1"/>
      <w:sz w:val="28"/>
      <w:lang w:val="de-DE" w:eastAsia="de-AT"/>
    </w:rPr>
  </w:style>
  <w:style w:type="character" w:styleId="FollowedHyperlink">
    <w:name w:val="FollowedHyperlink"/>
    <w:basedOn w:val="DefaultParagraphFont"/>
    <w:uiPriority w:val="99"/>
    <w:semiHidden/>
    <w:unhideWhenUsed/>
    <w:rsid w:val="001A1FBC"/>
    <w:rPr>
      <w:color w:val="800080" w:themeColor="followedHyperlink"/>
      <w:u w:val="single"/>
    </w:rPr>
  </w:style>
  <w:style w:type="character" w:styleId="PageNumber">
    <w:name w:val="page number"/>
    <w:basedOn w:val="DefaultParagraphFont"/>
    <w:uiPriority w:val="99"/>
    <w:semiHidden/>
    <w:unhideWhenUsed/>
    <w:rsid w:val="00F04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293255">
      <w:bodyDiv w:val="1"/>
      <w:marLeft w:val="0"/>
      <w:marRight w:val="0"/>
      <w:marTop w:val="0"/>
      <w:marBottom w:val="0"/>
      <w:divBdr>
        <w:top w:val="none" w:sz="0" w:space="0" w:color="auto"/>
        <w:left w:val="none" w:sz="0" w:space="0" w:color="auto"/>
        <w:bottom w:val="none" w:sz="0" w:space="0" w:color="auto"/>
        <w:right w:val="none" w:sz="0" w:space="0" w:color="auto"/>
      </w:divBdr>
    </w:div>
    <w:div w:id="569920829">
      <w:bodyDiv w:val="1"/>
      <w:marLeft w:val="0"/>
      <w:marRight w:val="0"/>
      <w:marTop w:val="0"/>
      <w:marBottom w:val="0"/>
      <w:divBdr>
        <w:top w:val="none" w:sz="0" w:space="0" w:color="auto"/>
        <w:left w:val="none" w:sz="0" w:space="0" w:color="auto"/>
        <w:bottom w:val="none" w:sz="0" w:space="0" w:color="auto"/>
        <w:right w:val="none" w:sz="0" w:space="0" w:color="auto"/>
      </w:divBdr>
    </w:div>
    <w:div w:id="803039078">
      <w:bodyDiv w:val="1"/>
      <w:marLeft w:val="0"/>
      <w:marRight w:val="0"/>
      <w:marTop w:val="0"/>
      <w:marBottom w:val="0"/>
      <w:divBdr>
        <w:top w:val="none" w:sz="0" w:space="0" w:color="auto"/>
        <w:left w:val="none" w:sz="0" w:space="0" w:color="auto"/>
        <w:bottom w:val="none" w:sz="0" w:space="0" w:color="auto"/>
        <w:right w:val="none" w:sz="0" w:space="0" w:color="auto"/>
      </w:divBdr>
    </w:div>
    <w:div w:id="805128271">
      <w:bodyDiv w:val="1"/>
      <w:marLeft w:val="0"/>
      <w:marRight w:val="0"/>
      <w:marTop w:val="0"/>
      <w:marBottom w:val="0"/>
      <w:divBdr>
        <w:top w:val="none" w:sz="0" w:space="0" w:color="auto"/>
        <w:left w:val="none" w:sz="0" w:space="0" w:color="auto"/>
        <w:bottom w:val="none" w:sz="0" w:space="0" w:color="auto"/>
        <w:right w:val="none" w:sz="0" w:space="0" w:color="auto"/>
      </w:divBdr>
    </w:div>
    <w:div w:id="881139691">
      <w:bodyDiv w:val="1"/>
      <w:marLeft w:val="0"/>
      <w:marRight w:val="0"/>
      <w:marTop w:val="0"/>
      <w:marBottom w:val="0"/>
      <w:divBdr>
        <w:top w:val="none" w:sz="0" w:space="0" w:color="auto"/>
        <w:left w:val="none" w:sz="0" w:space="0" w:color="auto"/>
        <w:bottom w:val="none" w:sz="0" w:space="0" w:color="auto"/>
        <w:right w:val="none" w:sz="0" w:space="0" w:color="auto"/>
      </w:divBdr>
      <w:divsChild>
        <w:div w:id="860701725">
          <w:marLeft w:val="0"/>
          <w:marRight w:val="0"/>
          <w:marTop w:val="0"/>
          <w:marBottom w:val="0"/>
          <w:divBdr>
            <w:top w:val="none" w:sz="0" w:space="0" w:color="auto"/>
            <w:left w:val="none" w:sz="0" w:space="0" w:color="auto"/>
            <w:bottom w:val="none" w:sz="0" w:space="0" w:color="auto"/>
            <w:right w:val="none" w:sz="0" w:space="0" w:color="auto"/>
          </w:divBdr>
          <w:divsChild>
            <w:div w:id="1677612540">
              <w:marLeft w:val="0"/>
              <w:marRight w:val="0"/>
              <w:marTop w:val="600"/>
              <w:marBottom w:val="0"/>
              <w:divBdr>
                <w:top w:val="none" w:sz="0" w:space="0" w:color="auto"/>
                <w:left w:val="none" w:sz="0" w:space="0" w:color="auto"/>
                <w:bottom w:val="none" w:sz="0" w:space="0" w:color="auto"/>
                <w:right w:val="none" w:sz="0" w:space="0" w:color="auto"/>
              </w:divBdr>
              <w:divsChild>
                <w:div w:id="850292082">
                  <w:marLeft w:val="0"/>
                  <w:marRight w:val="0"/>
                  <w:marTop w:val="0"/>
                  <w:marBottom w:val="0"/>
                  <w:divBdr>
                    <w:top w:val="none" w:sz="0" w:space="0" w:color="auto"/>
                    <w:left w:val="none" w:sz="0" w:space="0" w:color="auto"/>
                    <w:bottom w:val="none" w:sz="0" w:space="0" w:color="auto"/>
                    <w:right w:val="none" w:sz="0" w:space="0" w:color="auto"/>
                  </w:divBdr>
                  <w:divsChild>
                    <w:div w:id="549727940">
                      <w:marLeft w:val="0"/>
                      <w:marRight w:val="0"/>
                      <w:marTop w:val="0"/>
                      <w:marBottom w:val="0"/>
                      <w:divBdr>
                        <w:top w:val="none" w:sz="0" w:space="0" w:color="auto"/>
                        <w:left w:val="none" w:sz="0" w:space="0" w:color="auto"/>
                        <w:bottom w:val="none" w:sz="0" w:space="0" w:color="auto"/>
                        <w:right w:val="none" w:sz="0" w:space="0" w:color="auto"/>
                      </w:divBdr>
                      <w:divsChild>
                        <w:div w:id="2016178652">
                          <w:marLeft w:val="0"/>
                          <w:marRight w:val="0"/>
                          <w:marTop w:val="0"/>
                          <w:marBottom w:val="270"/>
                          <w:divBdr>
                            <w:top w:val="none" w:sz="0" w:space="0" w:color="auto"/>
                            <w:left w:val="none" w:sz="0" w:space="0" w:color="auto"/>
                            <w:bottom w:val="none" w:sz="0" w:space="0" w:color="auto"/>
                            <w:right w:val="none" w:sz="0" w:space="0" w:color="auto"/>
                          </w:divBdr>
                          <w:divsChild>
                            <w:div w:id="18854874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222211">
      <w:bodyDiv w:val="1"/>
      <w:marLeft w:val="0"/>
      <w:marRight w:val="0"/>
      <w:marTop w:val="0"/>
      <w:marBottom w:val="0"/>
      <w:divBdr>
        <w:top w:val="none" w:sz="0" w:space="0" w:color="auto"/>
        <w:left w:val="none" w:sz="0" w:space="0" w:color="auto"/>
        <w:bottom w:val="none" w:sz="0" w:space="0" w:color="auto"/>
        <w:right w:val="none" w:sz="0" w:space="0" w:color="auto"/>
      </w:divBdr>
    </w:div>
    <w:div w:id="1529949579">
      <w:bodyDiv w:val="1"/>
      <w:marLeft w:val="0"/>
      <w:marRight w:val="0"/>
      <w:marTop w:val="0"/>
      <w:marBottom w:val="0"/>
      <w:divBdr>
        <w:top w:val="none" w:sz="0" w:space="0" w:color="auto"/>
        <w:left w:val="none" w:sz="0" w:space="0" w:color="auto"/>
        <w:bottom w:val="none" w:sz="0" w:space="0" w:color="auto"/>
        <w:right w:val="none" w:sz="0" w:space="0" w:color="auto"/>
      </w:divBdr>
    </w:div>
    <w:div w:id="188967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erproduction.net/issues/issue-4-value-and-currency/invited-comments/can-bitcoin-compete-with-mone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jccr.files.wordpress.com/2012/05/ijccr-2011-special-issue-02-blanc.pdf" TargetMode="External"/><Relationship Id="rId9" Type="http://schemas.openxmlformats.org/officeDocument/2006/relationships/hyperlink" Target="http://www.clevelandfed.org/research/commentary/2007/010107.cfm" TargetMode="External"/><Relationship Id="rId10" Type="http://schemas.openxmlformats.org/officeDocument/2006/relationships/hyperlink" Target="http://www.clevelandfed.org/research/commentary/2008/040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levelandfed.org/research/commentary/2007/010107.cfm" TargetMode="External"/><Relationship Id="rId4" Type="http://schemas.openxmlformats.org/officeDocument/2006/relationships/hyperlink" Target="http://www.clevelandfed.org/research/commentary/2008/0408.pdf" TargetMode="External"/><Relationship Id="rId5" Type="http://schemas.openxmlformats.org/officeDocument/2006/relationships/hyperlink" Target="http://www.sco.ca.gov/eo_news_registeredwarrants.html" TargetMode="External"/><Relationship Id="rId6" Type="http://schemas.openxmlformats.org/officeDocument/2006/relationships/hyperlink" Target="http://en.wikipedia.org/wiki/Complementary_currency" TargetMode="External"/><Relationship Id="rId7" Type="http://schemas.openxmlformats.org/officeDocument/2006/relationships/hyperlink" Target="https://ijccr.files.wordpress.com/2012/05/ijccr-2011-special-issue-02-blanc.pdf" TargetMode="External"/><Relationship Id="rId8" Type="http://schemas.openxmlformats.org/officeDocument/2006/relationships/hyperlink" Target="http://en.wikipedia.org/wiki/Local_exchange_trading_system" TargetMode="External"/><Relationship Id="rId9" Type="http://schemas.openxmlformats.org/officeDocument/2006/relationships/hyperlink" Target="http://en.wikipedia.org/wiki/Local_exchange_trading_system" TargetMode="External"/><Relationship Id="rId1" Type="http://schemas.openxmlformats.org/officeDocument/2006/relationships/hyperlink" Target="http://www.clevelandfed.org/research/commentary/2007/010107.cfm" TargetMode="External"/><Relationship Id="rId2" Type="http://schemas.openxmlformats.org/officeDocument/2006/relationships/hyperlink" Target="http://peerproduction.net/issues/issue-4-value-and-currency/invited-comments/can-bitcoin-compete-with-mone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8937</Words>
  <Characters>44329</Characters>
  <Application>Microsoft Macintosh Word</Application>
  <DocSecurity>0</DocSecurity>
  <Lines>591</Lines>
  <Paragraphs>129</Paragraphs>
  <ScaleCrop>false</ScaleCrop>
  <HeadingPairs>
    <vt:vector size="2" baseType="variant">
      <vt:variant>
        <vt:lpstr>Titel</vt:lpstr>
      </vt:variant>
      <vt:variant>
        <vt:i4>1</vt:i4>
      </vt:variant>
    </vt:vector>
  </HeadingPairs>
  <TitlesOfParts>
    <vt:vector size="1" baseType="lpstr">
      <vt:lpstr/>
    </vt:vector>
  </TitlesOfParts>
  <Company>Oesterreichische Nationalbank</Company>
  <LinksUpToDate>false</LinksUpToDate>
  <CharactersWithSpaces>53137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Weber, Beat</dc:creator>
  <cp:lastModifiedBy>Patricia de Vries</cp:lastModifiedBy>
  <cp:revision>2</cp:revision>
  <cp:lastPrinted>2014-12-11T14:42:00Z</cp:lastPrinted>
  <dcterms:created xsi:type="dcterms:W3CDTF">2015-01-20T13:38:00Z</dcterms:created>
  <dcterms:modified xsi:type="dcterms:W3CDTF">2015-01-20T13:38:00Z</dcterms:modified>
</cp:coreProperties>
</file>