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56A" w:rsidRDefault="00DB3911" w:rsidP="005D7533">
      <w:pPr>
        <w:pStyle w:val="Heading1"/>
      </w:pPr>
      <w:r>
        <w:t xml:space="preserve">How To Use The </w:t>
      </w:r>
      <w:proofErr w:type="gramStart"/>
      <w:r>
        <w:t>Book</w:t>
      </w:r>
      <w:proofErr w:type="gramEnd"/>
    </w:p>
    <w:p w:rsidR="0053656A" w:rsidRDefault="0053656A">
      <w:pPr>
        <w:rPr>
          <w:rFonts w:ascii="Times New Roman" w:eastAsia="Times New Roman" w:hAnsi="Times New Roman" w:cs="Times New Roman"/>
          <w:color w:val="000000"/>
          <w:sz w:val="20"/>
          <w:szCs w:val="20"/>
        </w:rPr>
      </w:pPr>
    </w:p>
    <w:p w:rsidR="0053656A" w:rsidRDefault="00DB3911">
      <w:r>
        <w:rPr>
          <w:rFonts w:ascii="Times New Roman" w:eastAsia="Times New Roman" w:hAnsi="Times New Roman" w:cs="Times New Roman"/>
          <w:color w:val="000000"/>
          <w:sz w:val="20"/>
          <w:szCs w:val="20"/>
        </w:rPr>
        <w:t xml:space="preserve">This book is an invitation to listen into the everyday lives of the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listened into over a span of almost two-decades. </w:t>
      </w:r>
      <w:r>
        <w:rPr>
          <w:rFonts w:ascii="Times New Roman" w:eastAsia="Times New Roman" w:hAnsi="Times New Roman" w:cs="Times New Roman"/>
          <w:color w:val="000000"/>
          <w:sz w:val="20"/>
          <w:szCs w:val="20"/>
        </w:rPr>
        <w:t xml:space="preserve">Slums lie on the margins of the state and society. However, unpacking the casual </w:t>
      </w:r>
      <w:r>
        <w:rPr>
          <w:rFonts w:ascii="Times New Roman" w:eastAsia="Times New Roman" w:hAnsi="Times New Roman" w:cs="Times New Roman"/>
          <w:color w:val="000000"/>
          <w:sz w:val="20"/>
          <w:szCs w:val="20"/>
        </w:rPr>
        <w:t>spatial/geographical reference is integral to locating the position of the 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in the city as it is revealing of the complex </w:t>
      </w:r>
      <w:proofErr w:type="spellStart"/>
      <w:r>
        <w:rPr>
          <w:rFonts w:ascii="Times New Roman" w:eastAsia="Times New Roman" w:hAnsi="Times New Roman" w:cs="Times New Roman"/>
          <w:color w:val="000000"/>
          <w:sz w:val="20"/>
          <w:szCs w:val="20"/>
        </w:rPr>
        <w:t>materialities</w:t>
      </w:r>
      <w:proofErr w:type="spellEnd"/>
      <w:r>
        <w:rPr>
          <w:rFonts w:ascii="Times New Roman" w:eastAsia="Times New Roman" w:hAnsi="Times New Roman" w:cs="Times New Roman"/>
          <w:color w:val="000000"/>
          <w:sz w:val="20"/>
          <w:szCs w:val="20"/>
        </w:rPr>
        <w:t xml:space="preserve"> and modalities of executing this marginalisation. More often than not, slums do not geographically lie on the </w:t>
      </w:r>
      <w:r>
        <w:rPr>
          <w:rFonts w:ascii="Times New Roman" w:eastAsia="Times New Roman" w:hAnsi="Times New Roman" w:cs="Times New Roman"/>
          <w:color w:val="000000"/>
          <w:sz w:val="20"/>
          <w:szCs w:val="20"/>
        </w:rPr>
        <w:t>margins of the city; in fact, historically, across continents, cities and cultures, the growth and evolution of the 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is intricately linked with the development of the cities, and thus, more often than not, they are located in the heart of the city. An</w:t>
      </w:r>
      <w:r>
        <w:rPr>
          <w:rFonts w:ascii="Times New Roman" w:eastAsia="Times New Roman" w:hAnsi="Times New Roman" w:cs="Times New Roman"/>
          <w:color w:val="000000"/>
          <w:sz w:val="20"/>
          <w:szCs w:val="20"/>
        </w:rPr>
        <w:t xml:space="preserve">d it is precisely this </w:t>
      </w:r>
      <w:proofErr w:type="spellStart"/>
      <w:r>
        <w:rPr>
          <w:rFonts w:ascii="Times New Roman" w:eastAsia="Times New Roman" w:hAnsi="Times New Roman" w:cs="Times New Roman"/>
          <w:color w:val="000000"/>
          <w:sz w:val="20"/>
          <w:szCs w:val="20"/>
        </w:rPr>
        <w:t>centered</w:t>
      </w:r>
      <w:proofErr w:type="spellEnd"/>
      <w:r>
        <w:rPr>
          <w:rFonts w:ascii="Times New Roman" w:eastAsia="Times New Roman" w:hAnsi="Times New Roman" w:cs="Times New Roman"/>
          <w:color w:val="000000"/>
          <w:sz w:val="20"/>
          <w:szCs w:val="20"/>
        </w:rPr>
        <w:t>-ness of the slums in the city which causes anxiety between the two entities – geographically, historically, theoretically and in the everyday practice. The centrality and visibility of the slums is after all a stark reminder</w:t>
      </w:r>
      <w:r>
        <w:rPr>
          <w:rFonts w:ascii="Times New Roman" w:eastAsia="Times New Roman" w:hAnsi="Times New Roman" w:cs="Times New Roman"/>
          <w:color w:val="000000"/>
          <w:sz w:val="20"/>
          <w:szCs w:val="20"/>
        </w:rPr>
        <w:t xml:space="preserve"> that the 'modern, world-class' city around it is not a result of the fantastic imagination of the precious few, who have access to the glittering city, but rests on the histories of efforts and exploitation of the many who only experience it in its cold, </w:t>
      </w:r>
      <w:r>
        <w:rPr>
          <w:rFonts w:ascii="Times New Roman" w:eastAsia="Times New Roman" w:hAnsi="Times New Roman" w:cs="Times New Roman"/>
          <w:color w:val="000000"/>
          <w:sz w:val="20"/>
          <w:szCs w:val="20"/>
        </w:rPr>
        <w:t xml:space="preserve">clinical reality of steel and mortar </w:t>
      </w:r>
      <w:proofErr w:type="spellStart"/>
      <w:r>
        <w:rPr>
          <w:rFonts w:ascii="Times New Roman" w:eastAsia="Times New Roman" w:hAnsi="Times New Roman" w:cs="Times New Roman"/>
          <w:color w:val="000000"/>
          <w:sz w:val="20"/>
          <w:szCs w:val="20"/>
        </w:rPr>
        <w:t>structures.</w:t>
      </w:r>
      <w:r>
        <w:rPr>
          <w:rFonts w:ascii="Times New Roman" w:eastAsia="Times New Roman" w:hAnsi="Times New Roman" w:cs="Times New Roman"/>
          <w:color w:val="000000"/>
          <w:sz w:val="20"/>
          <w:szCs w:val="20"/>
        </w:rPr>
        <w:t>The</w:t>
      </w:r>
      <w:proofErr w:type="spellEnd"/>
      <w:r>
        <w:rPr>
          <w:rFonts w:ascii="Times New Roman" w:eastAsia="Times New Roman" w:hAnsi="Times New Roman" w:cs="Times New Roman"/>
          <w:color w:val="000000"/>
          <w:sz w:val="20"/>
          <w:szCs w:val="20"/>
        </w:rPr>
        <w:t xml:space="preserve"> presence of the </w:t>
      </w:r>
      <w:r>
        <w:rPr>
          <w:rFonts w:ascii="Times New Roman" w:eastAsia="Times New Roman" w:hAnsi="Times New Roman" w:cs="Times New Roman"/>
          <w:color w:val="000000"/>
          <w:sz w:val="20"/>
          <w:szCs w:val="20"/>
        </w:rPr>
        <w:t>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in the city is undeniable, solid, and typically evokes strong reactions. Most city-dwellers harbour the sentiment that the reality of the everyday of the </w:t>
      </w:r>
      <w:r>
        <w:rPr>
          <w:rFonts w:ascii="Times New Roman" w:eastAsia="Times New Roman" w:hAnsi="Times New Roman" w:cs="Times New Roman"/>
          <w:color w:val="000000"/>
          <w:sz w:val="20"/>
          <w:szCs w:val="20"/>
        </w:rPr>
        <w:t>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is in ‘any respect unf</w:t>
      </w:r>
      <w:r>
        <w:rPr>
          <w:rFonts w:ascii="Times New Roman" w:eastAsia="Times New Roman" w:hAnsi="Times New Roman" w:cs="Times New Roman"/>
          <w:color w:val="000000"/>
          <w:sz w:val="20"/>
          <w:szCs w:val="20"/>
        </w:rPr>
        <w:t xml:space="preserve">it for human habitation’ and that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Liberation Serif" w:hAnsi="Times New Roman" w:cs="Liberation Serif"/>
          <w:color w:val="000000"/>
          <w:sz w:val="20"/>
          <w:szCs w:val="20"/>
        </w:rPr>
        <w:t>‘</w:t>
      </w:r>
      <w:r>
        <w:rPr>
          <w:rFonts w:ascii="Times New Roman" w:eastAsia="Times New Roman" w:hAnsi="Times New Roman" w:cs="Times New Roman"/>
          <w:color w:val="000000"/>
          <w:sz w:val="20"/>
          <w:szCs w:val="20"/>
        </w:rPr>
        <w:t>are detrimental to safety, health and morals</w:t>
      </w:r>
      <w:r w:rsidR="005D7533">
        <w:rPr>
          <w:rFonts w:ascii="Times New Roman" w:eastAsia="Times New Roman" w:hAnsi="Times New Roman" w:cs="Times New Roman"/>
          <w:color w:val="000000"/>
          <w:sz w:val="20"/>
          <w:szCs w:val="20"/>
        </w:rPr>
        <w:t>’.</w:t>
      </w:r>
      <w:r>
        <w:rPr>
          <w:rStyle w:val="FootnoteAnchor"/>
          <w:rFonts w:ascii="Times New Roman" w:eastAsia="Times New Roman" w:hAnsi="Times New Roman" w:cs="Times New Roman"/>
          <w:color w:val="000000"/>
          <w:sz w:val="20"/>
          <w:szCs w:val="20"/>
          <w:vertAlign w:val="baseline"/>
        </w:rPr>
        <w:footnoteReference w:id="1"/>
      </w:r>
      <w:r>
        <w:rPr>
          <w:rFonts w:ascii="Times New Roman" w:eastAsia="Liberation Serif" w:hAnsi="Times New Roman" w:cs="Liberation Serif"/>
          <w:color w:val="000000"/>
          <w:sz w:val="20"/>
          <w:szCs w:val="20"/>
        </w:rPr>
        <w:t xml:space="preserve"> </w:t>
      </w:r>
    </w:p>
    <w:p w:rsidR="0053656A" w:rsidRDefault="0053656A">
      <w:pPr>
        <w:spacing w:after="140"/>
        <w:rPr>
          <w:rFonts w:ascii="Times New Roman" w:eastAsia="Liberation Serif" w:hAnsi="Times New Roman" w:cs="Liberation Serif"/>
          <w:color w:val="000000"/>
          <w:sz w:val="20"/>
          <w:szCs w:val="20"/>
        </w:rPr>
      </w:pPr>
    </w:p>
    <w:p w:rsidR="0053656A" w:rsidRDefault="00DB3911">
      <w:r>
        <w:rPr>
          <w:rFonts w:ascii="Times New Roman" w:eastAsia="Times New Roman" w:hAnsi="Times New Roman" w:cs="Times New Roman"/>
          <w:color w:val="000000"/>
          <w:sz w:val="20"/>
          <w:szCs w:val="20"/>
        </w:rPr>
        <w:t xml:space="preserve">The essays in this book intend to enliven the lives and practices of living in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beyond these simplistic, distant assertions by undertaking the task of ‘tuning the </w:t>
      </w:r>
      <w:proofErr w:type="gramStart"/>
      <w:r>
        <w:rPr>
          <w:rFonts w:ascii="Times New Roman" w:eastAsia="Times New Roman" w:hAnsi="Times New Roman" w:cs="Times New Roman"/>
          <w:color w:val="000000"/>
          <w:sz w:val="20"/>
          <w:szCs w:val="20"/>
        </w:rPr>
        <w:t>ears’</w:t>
      </w:r>
      <w:proofErr w:type="gramEnd"/>
      <w:r>
        <w:rPr>
          <w:rFonts w:ascii="Times New Roman" w:eastAsia="Times New Roman" w:hAnsi="Times New Roman" w:cs="Times New Roman"/>
          <w:color w:val="000000"/>
          <w:sz w:val="20"/>
          <w:szCs w:val="20"/>
        </w:rPr>
        <w:t xml:space="preserve">. These imaginations of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color w:val="000000"/>
          <w:sz w:val="20"/>
          <w:szCs w:val="20"/>
        </w:rPr>
        <w:t xml:space="preserve">, arising from a limited, tenuous and more often than not biased engagement with their reality, is what populates the intellectual and </w:t>
      </w:r>
      <w:r>
        <w:rPr>
          <w:rFonts w:ascii="Times New Roman" w:eastAsia="Times New Roman" w:hAnsi="Times New Roman" w:cs="Times New Roman"/>
          <w:color w:val="000000"/>
          <w:sz w:val="20"/>
          <w:szCs w:val="20"/>
        </w:rPr>
        <w:t xml:space="preserve">political environment from which issue the multiple institutional investments in the city, including urban development policies, legal actions and political priorities, as well as the social–cultural responses to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and its residents. The protagonis</w:t>
      </w:r>
      <w:r>
        <w:rPr>
          <w:rFonts w:ascii="Times New Roman" w:eastAsia="Times New Roman" w:hAnsi="Times New Roman" w:cs="Times New Roman"/>
          <w:color w:val="000000"/>
          <w:sz w:val="20"/>
          <w:szCs w:val="20"/>
        </w:rPr>
        <w:t xml:space="preserve">ts of this book are the residents of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of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The book begins with the assertion and acknowledgment that </w:t>
      </w:r>
      <w:r>
        <w:rPr>
          <w:rFonts w:ascii="Times New Roman" w:eastAsia="Times New Roman" w:hAnsi="Times New Roman" w:cs="Times New Roman"/>
          <w:color w:val="000000"/>
          <w:sz w:val="20"/>
          <w:szCs w:val="20"/>
        </w:rPr>
        <w:t>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are unsettling sights in the city. In this case the city of New Delhi; but in any city its </w:t>
      </w:r>
      <w:r>
        <w:rPr>
          <w:rFonts w:ascii="Times New Roman" w:eastAsia="Times New Roman" w:hAnsi="Times New Roman" w:cs="Times New Roman"/>
          <w:color w:val="000000"/>
          <w:sz w:val="20"/>
          <w:szCs w:val="20"/>
        </w:rPr>
        <w:t>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are, metaphorically, testimonies</w:t>
      </w:r>
      <w:r>
        <w:rPr>
          <w:rFonts w:ascii="Times New Roman" w:eastAsia="Times New Roman" w:hAnsi="Times New Roman" w:cs="Times New Roman"/>
          <w:color w:val="000000"/>
          <w:sz w:val="20"/>
          <w:szCs w:val="20"/>
        </w:rPr>
        <w:t xml:space="preserve"> of its unsettlement. Yes,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are indeed unsettling sights. They are dirty and congested. The houses, permanent and semi-permanent, appear to have no logic, each being incestuously woven with its neighbours, and the dwellings from a distance seem to be </w:t>
      </w:r>
      <w:r>
        <w:rPr>
          <w:rFonts w:ascii="Times New Roman" w:eastAsia="Times New Roman" w:hAnsi="Times New Roman" w:cs="Times New Roman"/>
          <w:color w:val="000000"/>
          <w:sz w:val="20"/>
          <w:szCs w:val="20"/>
        </w:rPr>
        <w:t>precariously balanced on the edge of a precipice.</w:t>
      </w:r>
    </w:p>
    <w:p w:rsidR="0053656A" w:rsidRDefault="0053656A">
      <w:pPr>
        <w:rPr>
          <w:rFonts w:ascii="Times New Roman" w:eastAsia="Times New Roman" w:hAnsi="Times New Roman" w:cs="Times New Roman"/>
          <w:color w:val="000000"/>
          <w:sz w:val="20"/>
          <w:szCs w:val="20"/>
        </w:rPr>
      </w:pPr>
    </w:p>
    <w:p w:rsidR="0053656A" w:rsidRDefault="00DB3911">
      <w:r>
        <w:rPr>
          <w:rFonts w:ascii="Times New Roman" w:eastAsia="Times New Roman" w:hAnsi="Times New Roman" w:cs="Times New Roman"/>
          <w:color w:val="000000"/>
          <w:sz w:val="20"/>
          <w:szCs w:val="20"/>
        </w:rPr>
        <w:t>The book, however, takes issue with the category of assertions made in expensively produced official reports and by the mainstream media. These are the same assertions made loudly and sanctimoniously by th</w:t>
      </w:r>
      <w:r>
        <w:rPr>
          <w:rFonts w:ascii="Times New Roman" w:eastAsia="Times New Roman" w:hAnsi="Times New Roman" w:cs="Times New Roman"/>
          <w:color w:val="000000"/>
          <w:sz w:val="20"/>
          <w:szCs w:val="20"/>
        </w:rPr>
        <w:t xml:space="preserve">e city's middle classes. To wit, that the living conditions of </w:t>
      </w:r>
      <w:r>
        <w:rPr>
          <w:rFonts w:ascii="Times New Roman" w:eastAsia="Times New Roman" w:hAnsi="Times New Roman" w:cs="Times New Roman"/>
          <w:color w:val="000000"/>
          <w:sz w:val="20"/>
          <w:szCs w:val="20"/>
        </w:rPr>
        <w:t>slums</w:t>
      </w:r>
      <w:r>
        <w:rPr>
          <w:rFonts w:ascii="Times New Roman" w:eastAsia="Times New Roman" w:hAnsi="Times New Roman" w:cs="Times New Roman"/>
          <w:color w:val="000000"/>
          <w:sz w:val="20"/>
          <w:szCs w:val="20"/>
        </w:rPr>
        <w:t>, that make them unsettling sights, are also the making of their inhabitants. The book unveils the ‘anxiety of proximity</w:t>
      </w:r>
      <w:r>
        <w:rPr>
          <w:rFonts w:ascii="Times New Roman" w:eastAsia="Times New Roman" w:hAnsi="Times New Roman" w:cs="Times New Roman"/>
          <w:color w:val="000000"/>
          <w:sz w:val="20"/>
          <w:szCs w:val="20"/>
        </w:rPr>
        <w:t>’</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that fundamentally informs where the </w:t>
      </w:r>
      <w:r>
        <w:rPr>
          <w:rFonts w:ascii="Times New Roman" w:eastAsia="Times New Roman" w:hAnsi="Times New Roman" w:cs="Times New Roman"/>
          <w:color w:val="000000"/>
          <w:sz w:val="20"/>
          <w:szCs w:val="20"/>
        </w:rPr>
        <w:t>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are in the city's present, but also where they will be in its past and future — geographically, politically, philosophically, socially, culturally and imaginatively.</w:t>
      </w:r>
      <w:r w:rsidR="005D7533">
        <w:rPr>
          <w:rStyle w:val="FootnoteAnchor"/>
          <w:rFonts w:ascii="Times New Roman" w:eastAsia="Times New Roman" w:hAnsi="Times New Roman" w:cs="Times New Roman"/>
          <w:color w:val="000000"/>
          <w:sz w:val="20"/>
          <w:szCs w:val="20"/>
          <w:vertAlign w:val="baseline"/>
        </w:rPr>
        <w:footnoteReference w:id="2"/>
      </w:r>
      <w:r w:rsidR="005D753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Besides the denial of structural and systemic r</w:t>
      </w:r>
      <w:r>
        <w:rPr>
          <w:rFonts w:ascii="Times New Roman" w:eastAsia="Times New Roman" w:hAnsi="Times New Roman" w:cs="Times New Roman"/>
          <w:color w:val="000000"/>
          <w:sz w:val="20"/>
          <w:szCs w:val="20"/>
        </w:rPr>
        <w:t xml:space="preserve">ights, and the othering of their residents, this signification of the </w:t>
      </w:r>
      <w:r>
        <w:rPr>
          <w:rFonts w:ascii="Times New Roman" w:eastAsia="Times New Roman" w:hAnsi="Times New Roman" w:cs="Times New Roman"/>
          <w:color w:val="000000"/>
          <w:sz w:val="20"/>
          <w:szCs w:val="20"/>
        </w:rPr>
        <w:t>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also denies them a position in the history of the city itself, and thus denies them their own histories.</w:t>
      </w:r>
    </w:p>
    <w:p w:rsidR="0053656A" w:rsidRDefault="0053656A">
      <w:pPr>
        <w:rPr>
          <w:rFonts w:ascii="Times New Roman" w:eastAsia="Times New Roman" w:hAnsi="Times New Roman" w:cs="Times New Roman"/>
          <w:color w:val="000000"/>
          <w:sz w:val="20"/>
          <w:szCs w:val="20"/>
        </w:rPr>
      </w:pPr>
    </w:p>
    <w:p w:rsidR="0053656A" w:rsidRDefault="00DB3911">
      <w:r>
        <w:rPr>
          <w:rFonts w:ascii="Times New Roman" w:eastAsia="Times New Roman" w:hAnsi="Times New Roman" w:cs="Times New Roman"/>
          <w:color w:val="000000"/>
          <w:sz w:val="20"/>
          <w:szCs w:val="20"/>
        </w:rPr>
        <w:t xml:space="preserve">By insisting on the </w:t>
      </w:r>
      <w:r>
        <w:rPr>
          <w:rFonts w:ascii="Times New Roman" w:eastAsia="Times New Roman" w:hAnsi="Times New Roman" w:cs="Times New Roman"/>
          <w:i/>
          <w:color w:val="000000"/>
          <w:sz w:val="20"/>
          <w:szCs w:val="20"/>
        </w:rPr>
        <w:t xml:space="preserve">listening, </w:t>
      </w:r>
      <w:r>
        <w:rPr>
          <w:rFonts w:ascii="Times New Roman" w:eastAsia="Times New Roman" w:hAnsi="Times New Roman" w:cs="Times New Roman"/>
          <w:color w:val="000000"/>
          <w:sz w:val="20"/>
          <w:szCs w:val="20"/>
        </w:rPr>
        <w:t xml:space="preserve">and engaging with the everyday lives in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through its soundscapes, the narratives here highlight the creative, contested and political manner in which the marginalized negotiate the multiplicities of urban living, revealing their selves and their o</w:t>
      </w:r>
      <w:r>
        <w:rPr>
          <w:rFonts w:ascii="Times New Roman" w:eastAsia="Times New Roman" w:hAnsi="Times New Roman" w:cs="Times New Roman"/>
          <w:color w:val="000000"/>
          <w:sz w:val="20"/>
          <w:szCs w:val="20"/>
        </w:rPr>
        <w:t xml:space="preserve">thers, instead of only being regarded as the other. These experiences reveal that the </w:t>
      </w:r>
      <w:r>
        <w:rPr>
          <w:rFonts w:ascii="Times New Roman" w:eastAsia="Times New Roman" w:hAnsi="Times New Roman" w:cs="Times New Roman"/>
          <w:color w:val="000000"/>
          <w:sz w:val="20"/>
          <w:szCs w:val="20"/>
        </w:rPr>
        <w:t xml:space="preserve">slums-dwellers </w:t>
      </w:r>
      <w:r>
        <w:rPr>
          <w:rFonts w:ascii="Times New Roman" w:eastAsia="Times New Roman" w:hAnsi="Times New Roman" w:cs="Times New Roman"/>
          <w:color w:val="000000"/>
          <w:sz w:val="20"/>
          <w:szCs w:val="20"/>
        </w:rPr>
        <w:t>not only exercise a strict code of conduct to engage with others within the settlement based on caste, communal, gender and moral, amongst other considerat</w:t>
      </w:r>
      <w:r>
        <w:rPr>
          <w:rFonts w:ascii="Times New Roman" w:eastAsia="Times New Roman" w:hAnsi="Times New Roman" w:cs="Times New Roman"/>
          <w:color w:val="000000"/>
          <w:sz w:val="20"/>
          <w:szCs w:val="20"/>
        </w:rPr>
        <w:t xml:space="preserve">ions. Moreover, the </w:t>
      </w:r>
      <w:r>
        <w:rPr>
          <w:rFonts w:ascii="Times New Roman" w:eastAsia="Times New Roman" w:hAnsi="Times New Roman" w:cs="Times New Roman"/>
          <w:color w:val="000000"/>
          <w:sz w:val="20"/>
          <w:szCs w:val="20"/>
        </w:rPr>
        <w:t>slum-dwellers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identify the city and its middle classes as their others, using similar vocabularies and frameworks to those used by the mainstream to other slum-dwellers. In doing so, the book inserts parallel and alternative narratives </w:t>
      </w:r>
      <w:r>
        <w:rPr>
          <w:rFonts w:ascii="Times New Roman" w:eastAsia="Times New Roman" w:hAnsi="Times New Roman" w:cs="Times New Roman"/>
          <w:color w:val="000000"/>
          <w:sz w:val="20"/>
          <w:szCs w:val="20"/>
        </w:rPr>
        <w:t>of the engagement of the urban poor with the hegemonic networks. These negotiations highlight the intersections and overlaps of lives on the margins with the existing formal structures and networks.</w:t>
      </w:r>
    </w:p>
    <w:p w:rsidR="0053656A" w:rsidRDefault="0053656A">
      <w:pPr>
        <w:spacing w:after="140"/>
        <w:rPr>
          <w:rFonts w:ascii="Times New Roman" w:eastAsia="Liberation Serif" w:hAnsi="Times New Roman" w:cs="Liberation Serif"/>
          <w:color w:val="000000"/>
          <w:sz w:val="20"/>
          <w:szCs w:val="20"/>
        </w:rPr>
      </w:pPr>
    </w:p>
    <w:p w:rsidR="0053656A" w:rsidRDefault="00DB3911">
      <w:r>
        <w:rPr>
          <w:rFonts w:ascii="Times New Roman" w:eastAsia="Times New Roman" w:hAnsi="Times New Roman" w:cs="Times New Roman"/>
          <w:color w:val="000000"/>
          <w:sz w:val="20"/>
          <w:szCs w:val="20"/>
        </w:rPr>
        <w:t xml:space="preserve">Whilst a key focus of the book is to insist on the self </w:t>
      </w:r>
      <w:r>
        <w:rPr>
          <w:rFonts w:ascii="Times New Roman" w:eastAsia="Times New Roman" w:hAnsi="Times New Roman" w:cs="Times New Roman"/>
          <w:color w:val="000000"/>
          <w:sz w:val="20"/>
          <w:szCs w:val="20"/>
        </w:rPr>
        <w:t xml:space="preserve">of the residents of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as it expresses itself in and through sonic assertions, the book critically sets the everyday negotiations of the residents of the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against the discourse of othering and violence that they encounter. The book b</w:t>
      </w:r>
      <w:r>
        <w:rPr>
          <w:rFonts w:ascii="Times New Roman" w:eastAsia="Times New Roman" w:hAnsi="Times New Roman" w:cs="Times New Roman"/>
          <w:color w:val="000000"/>
          <w:sz w:val="20"/>
          <w:szCs w:val="20"/>
        </w:rPr>
        <w:t xml:space="preserve">egins with the dual premise that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are othered spaces and that their residents encounter othering and violence at an everyday and structural level in the city. The disenfranchisement and marginalisation of the residents of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and thus their lim</w:t>
      </w:r>
      <w:r>
        <w:rPr>
          <w:rFonts w:ascii="Times New Roman" w:eastAsia="Times New Roman" w:hAnsi="Times New Roman" w:cs="Times New Roman"/>
          <w:color w:val="000000"/>
          <w:sz w:val="20"/>
          <w:szCs w:val="20"/>
        </w:rPr>
        <w:t>ited claim on the ‘right to the city’, are in fact the starting point for this book. The spectres of precarity, illegality and limitation haunt the past, present and future of slums in the city. Following Judith Butler, the book recognises that the structu</w:t>
      </w:r>
      <w:r>
        <w:rPr>
          <w:rFonts w:ascii="Times New Roman" w:eastAsia="Times New Roman" w:hAnsi="Times New Roman" w:cs="Times New Roman"/>
          <w:color w:val="000000"/>
          <w:sz w:val="20"/>
          <w:szCs w:val="20"/>
        </w:rPr>
        <w:t xml:space="preserve">ral and systemic denial of </w:t>
      </w:r>
      <w:r>
        <w:rPr>
          <w:rFonts w:ascii="Times New Roman" w:eastAsia="Times New Roman" w:hAnsi="Times New Roman" w:cs="Times New Roman"/>
          <w:color w:val="000000"/>
          <w:sz w:val="20"/>
          <w:szCs w:val="20"/>
        </w:rPr>
        <w:lastRenderedPageBreak/>
        <w:t>‘social and economic support, housing, health care, employment, rights of political expression, forms of social recognition, and conditions of political agency’</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persist because </w:t>
      </w:r>
      <w:r>
        <w:rPr>
          <w:rFonts w:ascii="Times New Roman" w:eastAsia="Times New Roman" w:hAnsi="Times New Roman" w:cs="Times New Roman"/>
          <w:i/>
          <w:color w:val="000000"/>
          <w:sz w:val="20"/>
          <w:szCs w:val="20"/>
        </w:rPr>
        <w:t xml:space="preserve">slums </w:t>
      </w:r>
      <w:r>
        <w:rPr>
          <w:rFonts w:ascii="Times New Roman" w:eastAsia="Times New Roman" w:hAnsi="Times New Roman" w:cs="Times New Roman"/>
          <w:color w:val="000000"/>
          <w:sz w:val="20"/>
          <w:szCs w:val="20"/>
        </w:rPr>
        <w:t xml:space="preserve">are considered ‘un-liveable’ and the </w:t>
      </w:r>
      <w:r>
        <w:rPr>
          <w:rFonts w:ascii="Times New Roman" w:eastAsia="Times New Roman" w:hAnsi="Times New Roman" w:cs="Times New Roman"/>
          <w:color w:val="000000"/>
          <w:sz w:val="20"/>
          <w:szCs w:val="20"/>
        </w:rPr>
        <w:t>lives of its residents ‘un-</w:t>
      </w:r>
      <w:proofErr w:type="spellStart"/>
      <w:r>
        <w:rPr>
          <w:rFonts w:ascii="Times New Roman" w:eastAsia="Times New Roman" w:hAnsi="Times New Roman" w:cs="Times New Roman"/>
          <w:color w:val="000000"/>
          <w:sz w:val="20"/>
          <w:szCs w:val="20"/>
        </w:rPr>
        <w:t>grievable</w:t>
      </w:r>
      <w:proofErr w:type="spellEnd"/>
      <w:r>
        <w:rPr>
          <w:rStyle w:val="FootnoteAnchor"/>
          <w:rFonts w:ascii="Times New Roman" w:eastAsia="Times New Roman" w:hAnsi="Times New Roman" w:cs="Times New Roman"/>
          <w:color w:val="000000"/>
          <w:sz w:val="20"/>
          <w:szCs w:val="20"/>
          <w:vertAlign w:val="baseline"/>
        </w:rPr>
        <w:footnoteReference w:id="3"/>
      </w:r>
      <w:r>
        <w:rPr>
          <w:rFonts w:ascii="Times New Roman" w:eastAsia="Times New Roman" w:hAnsi="Times New Roman" w:cs="Times New Roman"/>
          <w:color w:val="000000"/>
          <w:sz w:val="20"/>
          <w:szCs w:val="20"/>
        </w:rPr>
        <w:t xml:space="preserve">’. As much as it is the intent of the book to portray the space and every day of the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slums</w:t>
      </w:r>
      <w:r>
        <w:rPr>
          <w:rFonts w:ascii="Times New Roman" w:eastAsia="Times New Roman" w:hAnsi="Times New Roman" w:cs="Times New Roman"/>
          <w:color w:val="000000"/>
          <w:sz w:val="20"/>
          <w:szCs w:val="20"/>
        </w:rPr>
        <w:t>, its task is steadfastly to unfold the macro-political, theoretical and intellectual agenda at work around ‘the slum</w:t>
      </w:r>
      <w:r>
        <w:rPr>
          <w:rFonts w:ascii="Times New Roman" w:eastAsia="Times New Roman" w:hAnsi="Times New Roman" w:cs="Times New Roman"/>
          <w:color w:val="000000"/>
          <w:sz w:val="20"/>
          <w:szCs w:val="20"/>
        </w:rPr>
        <w:t>’ and to rehabilitate slums as, in fact, ‘liveable’ spaces where lives are ‘</w:t>
      </w:r>
      <w:proofErr w:type="spellStart"/>
      <w:r>
        <w:rPr>
          <w:rFonts w:ascii="Times New Roman" w:eastAsia="Times New Roman" w:hAnsi="Times New Roman" w:cs="Times New Roman"/>
          <w:color w:val="000000"/>
          <w:sz w:val="20"/>
          <w:szCs w:val="20"/>
        </w:rPr>
        <w:t>grievable</w:t>
      </w:r>
      <w:proofErr w:type="spellEnd"/>
      <w:r w:rsidR="005D7533">
        <w:rPr>
          <w:rFonts w:ascii="Times New Roman" w:eastAsia="Times New Roman" w:hAnsi="Times New Roman" w:cs="Times New Roman"/>
          <w:color w:val="000000"/>
          <w:sz w:val="20"/>
          <w:szCs w:val="20"/>
        </w:rPr>
        <w:t>’.</w:t>
      </w:r>
      <w:r>
        <w:rPr>
          <w:rStyle w:val="FootnoteAnchor"/>
          <w:rFonts w:ascii="Times New Roman" w:eastAsia="Times New Roman" w:hAnsi="Times New Roman" w:cs="Times New Roman"/>
          <w:color w:val="000000"/>
          <w:sz w:val="20"/>
          <w:szCs w:val="20"/>
          <w:vertAlign w:val="baseline"/>
        </w:rPr>
        <w:footnoteReference w:id="4"/>
      </w:r>
    </w:p>
    <w:p w:rsidR="0053656A" w:rsidRDefault="0053656A">
      <w:pPr>
        <w:spacing w:after="140"/>
        <w:rPr>
          <w:rFonts w:ascii="Times New Roman" w:eastAsia="Liberation Serif" w:hAnsi="Times New Roman" w:cs="Liberation Serif"/>
          <w:color w:val="000000"/>
          <w:sz w:val="20"/>
          <w:szCs w:val="20"/>
        </w:rPr>
      </w:pPr>
    </w:p>
    <w:p w:rsidR="0053656A" w:rsidRDefault="00DB3911">
      <w:r>
        <w:rPr>
          <w:rFonts w:ascii="Times New Roman" w:eastAsia="Times New Roman" w:hAnsi="Times New Roman" w:cs="Times New Roman"/>
          <w:color w:val="000000"/>
          <w:sz w:val="20"/>
          <w:szCs w:val="20"/>
        </w:rPr>
        <w:t xml:space="preserve">The book has been almost two-decades in the making. During this time, I have been </w:t>
      </w:r>
      <w:proofErr w:type="spellStart"/>
      <w:r>
        <w:rPr>
          <w:rFonts w:ascii="Times New Roman" w:eastAsia="Times New Roman" w:hAnsi="Times New Roman" w:cs="Times New Roman"/>
          <w:color w:val="000000"/>
          <w:sz w:val="20"/>
          <w:szCs w:val="20"/>
        </w:rPr>
        <w:t>immersively</w:t>
      </w:r>
      <w:proofErr w:type="spellEnd"/>
      <w:r>
        <w:rPr>
          <w:rFonts w:ascii="Times New Roman" w:eastAsia="Times New Roman" w:hAnsi="Times New Roman" w:cs="Times New Roman"/>
          <w:color w:val="000000"/>
          <w:sz w:val="20"/>
          <w:szCs w:val="20"/>
        </w:rPr>
        <w:t xml:space="preserve"> embedded in the emotional, political, social, economic and cultural lan</w:t>
      </w:r>
      <w:r>
        <w:rPr>
          <w:rFonts w:ascii="Times New Roman" w:eastAsia="Times New Roman" w:hAnsi="Times New Roman" w:cs="Times New Roman"/>
          <w:color w:val="000000"/>
          <w:sz w:val="20"/>
          <w:szCs w:val="20"/>
        </w:rPr>
        <w:t xml:space="preserve">dscapes of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At this juncture of reckoning of sorts, the book is as much about the residents as it is about its interlocutor, the ethnographer. During this time, I have spent more afternoons and evenings in the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than any other plac</w:t>
      </w:r>
      <w:r>
        <w:rPr>
          <w:rFonts w:ascii="Times New Roman" w:eastAsia="Times New Roman" w:hAnsi="Times New Roman" w:cs="Times New Roman"/>
          <w:color w:val="000000"/>
          <w:sz w:val="20"/>
          <w:szCs w:val="20"/>
        </w:rPr>
        <w:t xml:space="preserve">e in the city. The </w:t>
      </w:r>
      <w:proofErr w:type="spellStart"/>
      <w:r>
        <w:rPr>
          <w:rFonts w:ascii="Times New Roman" w:eastAsia="Times New Roman" w:hAnsi="Times New Roman" w:cs="Times New Roman"/>
          <w:color w:val="000000"/>
          <w:sz w:val="20"/>
          <w:szCs w:val="20"/>
        </w:rPr>
        <w:t>Govindpuri</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have at once been a space which made me question assumptions about self, other, being: an ongoing research engagement; the site of my doctoral thesis; but most significantly, a space whose particular and peculiar materia</w:t>
      </w:r>
      <w:r>
        <w:rPr>
          <w:rFonts w:ascii="Times New Roman" w:eastAsia="Times New Roman" w:hAnsi="Times New Roman" w:cs="Times New Roman"/>
          <w:color w:val="000000"/>
          <w:sz w:val="20"/>
          <w:szCs w:val="20"/>
        </w:rPr>
        <w:t>lity, enlivened by the lives of those who inhabit it has shaped and refined my politics and poetics. At the risk of compromising objectivity and exposing sentimentality, I have no hesitation in admitting that in the lanes, intersections, corners, roof tops</w:t>
      </w:r>
      <w:r>
        <w:rPr>
          <w:rFonts w:ascii="Times New Roman" w:eastAsia="Times New Roman" w:hAnsi="Times New Roman" w:cs="Times New Roman"/>
          <w:color w:val="000000"/>
          <w:sz w:val="20"/>
          <w:szCs w:val="20"/>
        </w:rPr>
        <w:t>, carefully organised meagre houses and amongst people living precarious lives, I feel at home, a sense of belonging and becoming. It is a matter of deliberation – a political act, if you must – for me, as an ethnographer, to not only remain inserted and i</w:t>
      </w:r>
      <w:r>
        <w:rPr>
          <w:rFonts w:ascii="Times New Roman" w:eastAsia="Times New Roman" w:hAnsi="Times New Roman" w:cs="Times New Roman"/>
          <w:color w:val="000000"/>
          <w:sz w:val="20"/>
          <w:szCs w:val="20"/>
        </w:rPr>
        <w:t xml:space="preserve">mmersed in the stories of lives from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but also not to retrospectively extend a sophistication of intent and agenda in the engagements that were sustained. But most importantly in retaining the anxiousness, the intent is to insist on the </w:t>
      </w:r>
      <w:r>
        <w:rPr>
          <w:rFonts w:ascii="Times New Roman" w:eastAsia="Times New Roman" w:hAnsi="Times New Roman" w:cs="Times New Roman"/>
          <w:i/>
          <w:color w:val="000000"/>
          <w:sz w:val="20"/>
          <w:szCs w:val="20"/>
        </w:rPr>
        <w:t>messiness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of the researcher-researched encounters, especially when this relationship is predicated within the precise mainstream-marginalised [middle-class researcher and slum residents as the researched] positionality which the book questions and attempts to </w:t>
      </w:r>
      <w:r>
        <w:rPr>
          <w:rFonts w:ascii="Times New Roman" w:eastAsia="Times New Roman" w:hAnsi="Times New Roman" w:cs="Times New Roman"/>
          <w:color w:val="000000"/>
          <w:sz w:val="20"/>
          <w:szCs w:val="20"/>
        </w:rPr>
        <w:t>reflect on, if not alternate but simultaneous negotiating possibilities within this praxis.</w:t>
      </w:r>
    </w:p>
    <w:p w:rsidR="0053656A" w:rsidRDefault="0053656A">
      <w:pPr>
        <w:spacing w:after="140"/>
        <w:rPr>
          <w:rFonts w:ascii="Times New Roman" w:eastAsia="Liberation Serif" w:hAnsi="Times New Roman" w:cs="Liberation Serif"/>
          <w:color w:val="000000"/>
          <w:sz w:val="20"/>
          <w:szCs w:val="20"/>
        </w:rPr>
      </w:pPr>
    </w:p>
    <w:p w:rsidR="0053656A" w:rsidRDefault="00DB3911">
      <w:r>
        <w:rPr>
          <w:rFonts w:ascii="Times New Roman" w:eastAsia="Times New Roman" w:hAnsi="Times New Roman" w:cs="Times New Roman"/>
          <w:color w:val="000000"/>
          <w:sz w:val="20"/>
          <w:szCs w:val="20"/>
        </w:rPr>
        <w:t>Following Foucault</w:t>
      </w:r>
      <w:r>
        <w:rPr>
          <w:rFonts w:ascii="Times New Roman" w:eastAsia="Times New Roman" w:hAnsi="Times New Roman" w:cs="Times New Roman"/>
          <w:color w:val="000000"/>
          <w:sz w:val="20"/>
          <w:szCs w:val="20"/>
        </w:rPr>
        <w:t>, I locate transgressions as the enactments of challenging the boundaries.</w:t>
      </w:r>
      <w:r w:rsidR="005D7533">
        <w:rPr>
          <w:rStyle w:val="FootnoteAnchor"/>
          <w:rFonts w:ascii="Times New Roman" w:eastAsia="Times New Roman" w:hAnsi="Times New Roman" w:cs="Times New Roman"/>
          <w:color w:val="000000"/>
          <w:sz w:val="20"/>
          <w:szCs w:val="20"/>
          <w:vertAlign w:val="baseline"/>
        </w:rPr>
        <w:footnoteReference w:id="5"/>
      </w:r>
      <w:r w:rsidR="005D753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When performed, claimed and enacted on the margins and by the margin</w:t>
      </w:r>
      <w:r>
        <w:rPr>
          <w:rFonts w:ascii="Times New Roman" w:eastAsia="Times New Roman" w:hAnsi="Times New Roman" w:cs="Times New Roman"/>
          <w:color w:val="000000"/>
          <w:sz w:val="20"/>
          <w:szCs w:val="20"/>
        </w:rPr>
        <w:t xml:space="preserve">alised the </w:t>
      </w:r>
      <w:r>
        <w:rPr>
          <w:rFonts w:ascii="Times New Roman" w:eastAsia="Times New Roman" w:hAnsi="Times New Roman" w:cs="Times New Roman"/>
          <w:i/>
          <w:color w:val="000000"/>
          <w:sz w:val="20"/>
          <w:szCs w:val="20"/>
        </w:rPr>
        <w:t xml:space="preserve">transgressive acts </w:t>
      </w:r>
      <w:r>
        <w:rPr>
          <w:rFonts w:ascii="Times New Roman" w:eastAsia="Times New Roman" w:hAnsi="Times New Roman" w:cs="Times New Roman"/>
          <w:color w:val="000000"/>
          <w:sz w:val="20"/>
          <w:szCs w:val="20"/>
        </w:rPr>
        <w:t xml:space="preserve">do not simply remain a matter of furthering one’s horizons, in more ways than one. Here, these </w:t>
      </w:r>
      <w:r>
        <w:rPr>
          <w:rFonts w:ascii="Times New Roman" w:eastAsia="Times New Roman" w:hAnsi="Times New Roman" w:cs="Times New Roman"/>
          <w:i/>
          <w:color w:val="000000"/>
          <w:sz w:val="20"/>
          <w:szCs w:val="20"/>
        </w:rPr>
        <w:t xml:space="preserve">transgressive acts </w:t>
      </w:r>
      <w:r>
        <w:rPr>
          <w:rFonts w:ascii="Times New Roman" w:eastAsia="Times New Roman" w:hAnsi="Times New Roman" w:cs="Times New Roman"/>
          <w:color w:val="000000"/>
          <w:sz w:val="20"/>
          <w:szCs w:val="20"/>
        </w:rPr>
        <w:t>assume a political and poetic currency as inherent in and to these acts is the possibility of an alternative, or</w:t>
      </w:r>
      <w:r>
        <w:rPr>
          <w:rFonts w:ascii="Times New Roman" w:eastAsia="Times New Roman" w:hAnsi="Times New Roman" w:cs="Times New Roman"/>
          <w:color w:val="000000"/>
          <w:sz w:val="20"/>
          <w:szCs w:val="20"/>
        </w:rPr>
        <w:t xml:space="preserve"> at least a simultaneity, of, with and within the normative discourses and practices. In that, underlying the perusal of the narratives and experiences from the </w:t>
      </w:r>
      <w:r>
        <w:rPr>
          <w:rFonts w:ascii="Times New Roman" w:eastAsia="Times New Roman" w:hAnsi="Times New Roman" w:cs="Times New Roman"/>
          <w:color w:val="000000"/>
          <w:sz w:val="20"/>
          <w:szCs w:val="20"/>
        </w:rPr>
        <w:t>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is taking into cognizance the complexities and the upsetting, de-stabilising and disrupti</w:t>
      </w:r>
      <w:r>
        <w:rPr>
          <w:rFonts w:ascii="Times New Roman" w:eastAsia="Times New Roman" w:hAnsi="Times New Roman" w:cs="Times New Roman"/>
          <w:color w:val="000000"/>
          <w:sz w:val="20"/>
          <w:szCs w:val="20"/>
        </w:rPr>
        <w:t xml:space="preserve">ve capacities of the </w:t>
      </w:r>
      <w:r>
        <w:rPr>
          <w:rFonts w:ascii="Times New Roman" w:eastAsia="Times New Roman" w:hAnsi="Times New Roman" w:cs="Times New Roman"/>
          <w:i/>
          <w:color w:val="000000"/>
          <w:sz w:val="20"/>
          <w:szCs w:val="20"/>
        </w:rPr>
        <w:t xml:space="preserve">transgressive acts. </w:t>
      </w: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z w:val="20"/>
          <w:szCs w:val="20"/>
        </w:rPr>
        <w:t>ere the intent is to unveil the 'text-</w:t>
      </w:r>
      <w:proofErr w:type="spellStart"/>
      <w:r>
        <w:rPr>
          <w:rFonts w:ascii="Times New Roman" w:eastAsia="Times New Roman" w:hAnsi="Times New Roman" w:cs="Times New Roman"/>
          <w:color w:val="000000"/>
          <w:sz w:val="20"/>
          <w:szCs w:val="20"/>
        </w:rPr>
        <w:t>ility</w:t>
      </w:r>
      <w:proofErr w:type="spellEnd"/>
      <w:r>
        <w:rPr>
          <w:rFonts w:ascii="Times New Roman" w:eastAsia="Times New Roman" w:hAnsi="Times New Roman" w:cs="Times New Roman"/>
          <w:color w:val="000000"/>
          <w:sz w:val="20"/>
          <w:szCs w:val="20"/>
        </w:rPr>
        <w:t xml:space="preserve">' of the texts (-those instituting the dominant narratives, others offering critique, alternatives and affirmations, and the lived realities) to attempting a suturing, </w:t>
      </w:r>
      <w:r w:rsidR="005D753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as in invisible mending</w:t>
      </w:r>
      <w:r w:rsidR="005D753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to weave the multiplicities of the reality of the 'real' and its 'myth' not in a linearly progressing narrative structure culminating in a neat resolution, but precisely to disrupt and displace the epistemological, political an</w:t>
      </w:r>
      <w:r>
        <w:rPr>
          <w:rFonts w:ascii="Times New Roman" w:eastAsia="Times New Roman" w:hAnsi="Times New Roman" w:cs="Times New Roman"/>
          <w:color w:val="000000"/>
          <w:sz w:val="20"/>
          <w:szCs w:val="20"/>
        </w:rPr>
        <w:t xml:space="preserve">d cultural practices which attempt to </w:t>
      </w:r>
      <w:r w:rsidR="005D7533">
        <w:rPr>
          <w:rFonts w:ascii="Times New Roman" w:eastAsia="Times New Roman" w:hAnsi="Times New Roman" w:cs="Times New Roman"/>
          <w:color w:val="000000"/>
          <w:sz w:val="20"/>
          <w:szCs w:val="20"/>
        </w:rPr>
        <w:t>distil</w:t>
      </w:r>
      <w:r>
        <w:rPr>
          <w:rFonts w:ascii="Times New Roman" w:eastAsia="Times New Roman" w:hAnsi="Times New Roman" w:cs="Times New Roman"/>
          <w:color w:val="000000"/>
          <w:sz w:val="20"/>
          <w:szCs w:val="20"/>
        </w:rPr>
        <w:t xml:space="preserve"> (and thus consolidate) these complexities into a perverse static singularity of a problem to be met with a definite set of solutions.</w:t>
      </w:r>
      <w:r w:rsidR="005D7533">
        <w:rPr>
          <w:rStyle w:val="FootnoteAnchor"/>
          <w:rFonts w:ascii="Times New Roman" w:eastAsia="Times New Roman" w:hAnsi="Times New Roman" w:cs="Times New Roman"/>
          <w:color w:val="000000"/>
          <w:sz w:val="20"/>
          <w:szCs w:val="20"/>
          <w:vertAlign w:val="baseline"/>
        </w:rPr>
        <w:footnoteReference w:id="6"/>
      </w:r>
    </w:p>
    <w:p w:rsidR="0053656A" w:rsidRDefault="0053656A">
      <w:pPr>
        <w:rPr>
          <w:rFonts w:eastAsia="Times New Roman" w:cs="Times New Roman"/>
          <w:color w:val="000000"/>
          <w:sz w:val="20"/>
        </w:rPr>
      </w:pPr>
    </w:p>
    <w:p w:rsidR="0053656A" w:rsidRDefault="00DB3911" w:rsidP="005D7533">
      <w:r>
        <w:rPr>
          <w:rFonts w:ascii="Times New Roman" w:eastAsia="Times New Roman" w:hAnsi="Times New Roman" w:cs="Times New Roman"/>
          <w:color w:val="000000"/>
          <w:sz w:val="20"/>
          <w:szCs w:val="20"/>
        </w:rPr>
        <w:t>In the meanderings of the essays in the book, whether this ambitious task has even barely achieved its agenda and intent remains to be seen. However in these meanderings, at first intuitively and then with more theoretical and political mandate, the intent</w:t>
      </w:r>
      <w:r>
        <w:rPr>
          <w:rFonts w:ascii="Times New Roman" w:eastAsia="Times New Roman" w:hAnsi="Times New Roman" w:cs="Times New Roman"/>
          <w:color w:val="000000"/>
          <w:sz w:val="20"/>
          <w:szCs w:val="20"/>
        </w:rPr>
        <w:t xml:space="preserve"> has been as outlined by Spivak </w:t>
      </w:r>
      <w:r w:rsidR="005D753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to make the anthropologist construct her object as a teacher for a different end, learn to learn from below, from the subaltern, rather than only study him(her)</w:t>
      </w:r>
      <w:r w:rsidR="005D753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r w:rsidR="005D753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Not to study the subaltern, but to learn</w:t>
      </w:r>
      <w:r w:rsidR="005D7533">
        <w:rPr>
          <w:rFonts w:ascii="Times New Roman" w:eastAsia="Times New Roman" w:hAnsi="Times New Roman" w:cs="Times New Roman"/>
          <w:color w:val="000000"/>
          <w:sz w:val="20"/>
          <w:szCs w:val="20"/>
        </w:rPr>
        <w:t>’.</w:t>
      </w:r>
      <w:r>
        <w:rPr>
          <w:rStyle w:val="FootnoteAnchor"/>
          <w:rFonts w:ascii="Times New Roman" w:eastAsia="Times New Roman" w:hAnsi="Times New Roman" w:cs="Times New Roman"/>
          <w:color w:val="000000"/>
          <w:sz w:val="20"/>
          <w:szCs w:val="20"/>
          <w:vertAlign w:val="baseline"/>
        </w:rPr>
        <w:footnoteReference w:id="7"/>
      </w:r>
      <w:r>
        <w:rPr>
          <w:rFonts w:ascii="Times New Roman" w:eastAsia="Times New Roman" w:hAnsi="Times New Roman" w:cs="Times New Roman"/>
          <w:color w:val="000000"/>
          <w:sz w:val="20"/>
          <w:szCs w:val="20"/>
        </w:rPr>
        <w:t xml:space="preserve"> </w:t>
      </w:r>
    </w:p>
    <w:p w:rsidR="0053656A" w:rsidRDefault="0053656A">
      <w:pPr>
        <w:rPr>
          <w:rFonts w:ascii="Times New Roman" w:eastAsia="Times New Roman" w:hAnsi="Times New Roman" w:cs="Times New Roman"/>
          <w:iCs/>
          <w:color w:val="000000"/>
          <w:sz w:val="20"/>
          <w:szCs w:val="20"/>
        </w:rPr>
      </w:pPr>
    </w:p>
    <w:p w:rsidR="0053656A" w:rsidRDefault="00DB3911">
      <w:r>
        <w:rPr>
          <w:rFonts w:ascii="Times New Roman" w:eastAsia="Times New Roman" w:hAnsi="Times New Roman" w:cs="Times New Roman"/>
          <w:color w:val="000000"/>
          <w:sz w:val="20"/>
          <w:szCs w:val="20"/>
        </w:rPr>
        <w:t xml:space="preserve">In these essays, I make the point for listening as methodological framework, political intervention and poetic expression to ‘learn to learn from below’ and expose the dense multiplicities and </w:t>
      </w:r>
      <w:proofErr w:type="spellStart"/>
      <w:r>
        <w:rPr>
          <w:rFonts w:ascii="Times New Roman" w:eastAsia="Times New Roman" w:hAnsi="Times New Roman" w:cs="Times New Roman"/>
          <w:color w:val="000000"/>
          <w:sz w:val="20"/>
          <w:szCs w:val="20"/>
        </w:rPr>
        <w:t>lifeworlds</w:t>
      </w:r>
      <w:proofErr w:type="spellEnd"/>
      <w:r>
        <w:rPr>
          <w:rFonts w:ascii="Times New Roman" w:eastAsia="Times New Roman" w:hAnsi="Times New Roman" w:cs="Times New Roman"/>
          <w:color w:val="000000"/>
          <w:sz w:val="20"/>
          <w:szCs w:val="20"/>
        </w:rPr>
        <w:t xml:space="preserve"> of the subaltern employing the grammar and vocabular</w:t>
      </w:r>
      <w:r>
        <w:rPr>
          <w:rFonts w:ascii="Times New Roman" w:eastAsia="Times New Roman" w:hAnsi="Times New Roman" w:cs="Times New Roman"/>
          <w:color w:val="000000"/>
          <w:sz w:val="20"/>
          <w:szCs w:val="20"/>
        </w:rPr>
        <w:t xml:space="preserve">ies as articulated by them, instead of rendering the experiences from below into explicable phenomenon within the hegemonic narrative. </w:t>
      </w:r>
    </w:p>
    <w:p w:rsidR="0053656A" w:rsidRDefault="0053656A">
      <w:pPr>
        <w:rPr>
          <w:rFonts w:ascii="Times New Roman" w:eastAsia="Times New Roman" w:hAnsi="Times New Roman" w:cs="Times New Roman"/>
          <w:color w:val="000000"/>
          <w:sz w:val="20"/>
          <w:szCs w:val="20"/>
        </w:rPr>
      </w:pPr>
    </w:p>
    <w:p w:rsidR="0053656A" w:rsidRDefault="00DB3911">
      <w:r>
        <w:rPr>
          <w:rFonts w:ascii="Times New Roman" w:eastAsia="Times New Roman" w:hAnsi="Times New Roman" w:cs="Times New Roman"/>
          <w:color w:val="000000"/>
          <w:sz w:val="20"/>
          <w:szCs w:val="20"/>
        </w:rPr>
        <w:t xml:space="preserve">The essay </w:t>
      </w:r>
      <w:r>
        <w:rPr>
          <w:rFonts w:ascii="Times New Roman" w:eastAsia="Times New Roman" w:hAnsi="Times New Roman" w:cs="Times New Roman"/>
          <w:i/>
          <w:iCs/>
          <w:color w:val="000000"/>
          <w:sz w:val="20"/>
          <w:szCs w:val="20"/>
        </w:rPr>
        <w:t>In Search of the Never-lost Slums</w:t>
      </w:r>
      <w:r>
        <w:rPr>
          <w:rFonts w:ascii="Times New Roman" w:eastAsia="Times New Roman" w:hAnsi="Times New Roman" w:cs="Times New Roman"/>
          <w:color w:val="000000"/>
          <w:sz w:val="20"/>
          <w:szCs w:val="20"/>
        </w:rPr>
        <w:t xml:space="preserve"> explores the potential of the transgressive working of the hyphen to actual</w:t>
      </w:r>
      <w:r>
        <w:rPr>
          <w:rFonts w:ascii="Times New Roman" w:eastAsia="Times New Roman" w:hAnsi="Times New Roman" w:cs="Times New Roman"/>
          <w:color w:val="000000"/>
          <w:sz w:val="20"/>
          <w:szCs w:val="20"/>
        </w:rPr>
        <w:t xml:space="preserve">ize the project of ‘learn to learn from below. At the risk of exposing the limitations of my own research practice and praxis, which should not be an embarrassment but an acknowledgement of the learning from below, I discuss at </w:t>
      </w:r>
      <w:r>
        <w:rPr>
          <w:rFonts w:ascii="Times New Roman" w:eastAsia="Times New Roman" w:hAnsi="Times New Roman" w:cs="Times New Roman"/>
          <w:color w:val="000000"/>
          <w:sz w:val="20"/>
          <w:szCs w:val="20"/>
        </w:rPr>
        <w:lastRenderedPageBreak/>
        <w:t>length the anxiety of undert</w:t>
      </w:r>
      <w:r>
        <w:rPr>
          <w:rFonts w:ascii="Times New Roman" w:eastAsia="Times New Roman" w:hAnsi="Times New Roman" w:cs="Times New Roman"/>
          <w:color w:val="000000"/>
          <w:sz w:val="20"/>
          <w:szCs w:val="20"/>
        </w:rPr>
        <w:t xml:space="preserve">aking research in the slums, outside of my middle-class comfort zones of convenient theories and frameworks. The essay intends to rupture the revered position of the anthropologist and the ethnographer as a neutral, apolitical observer. In the essay, </w:t>
      </w:r>
      <w:proofErr w:type="gramStart"/>
      <w:r>
        <w:rPr>
          <w:rFonts w:ascii="Times New Roman" w:eastAsia="Times New Roman" w:hAnsi="Times New Roman" w:cs="Times New Roman"/>
          <w:i/>
          <w:iCs/>
          <w:color w:val="000000"/>
          <w:sz w:val="20"/>
          <w:szCs w:val="20"/>
        </w:rPr>
        <w:t>Liste</w:t>
      </w:r>
      <w:r>
        <w:rPr>
          <w:rFonts w:ascii="Times New Roman" w:eastAsia="Times New Roman" w:hAnsi="Times New Roman" w:cs="Times New Roman"/>
          <w:i/>
          <w:iCs/>
          <w:color w:val="000000"/>
          <w:sz w:val="20"/>
          <w:szCs w:val="20"/>
        </w:rPr>
        <w:t>ning</w:t>
      </w:r>
      <w:proofErr w:type="gramEnd"/>
      <w:r>
        <w:rPr>
          <w:rFonts w:ascii="Times New Roman" w:eastAsia="Times New Roman" w:hAnsi="Times New Roman" w:cs="Times New Roman"/>
          <w:i/>
          <w:iCs/>
          <w:color w:val="000000"/>
          <w:sz w:val="20"/>
          <w:szCs w:val="20"/>
        </w:rPr>
        <w:t>: An Ethnographic Exploration</w:t>
      </w:r>
      <w:r>
        <w:rPr>
          <w:rFonts w:ascii="Times New Roman" w:eastAsia="Times New Roman" w:hAnsi="Times New Roman" w:cs="Times New Roman"/>
          <w:color w:val="000000"/>
          <w:sz w:val="20"/>
          <w:szCs w:val="20"/>
        </w:rPr>
        <w:t>, I propose listening as a methodological framework to first and foremost ‘learning’ from below but also to insist on listening as a critical imperative in acknowledging the ‘self’ of the others, here the residents of the s</w:t>
      </w:r>
      <w:r>
        <w:rPr>
          <w:rFonts w:ascii="Times New Roman" w:eastAsia="Times New Roman" w:hAnsi="Times New Roman" w:cs="Times New Roman"/>
          <w:color w:val="000000"/>
          <w:sz w:val="20"/>
          <w:szCs w:val="20"/>
        </w:rPr>
        <w:t xml:space="preserve">lums. I thus listen into the listening of the self from within the interiority of the slums. </w:t>
      </w:r>
    </w:p>
    <w:p w:rsidR="0053656A" w:rsidRDefault="0053656A">
      <w:pPr>
        <w:rPr>
          <w:rFonts w:ascii="Times New Roman" w:eastAsia="Times New Roman" w:hAnsi="Times New Roman" w:cs="Times New Roman"/>
          <w:color w:val="000000"/>
          <w:sz w:val="20"/>
          <w:szCs w:val="20"/>
        </w:rPr>
      </w:pPr>
    </w:p>
    <w:p w:rsidR="0053656A" w:rsidRDefault="00DB3911">
      <w:r>
        <w:rPr>
          <w:rFonts w:ascii="Times New Roman" w:eastAsia="Times New Roman" w:hAnsi="Times New Roman" w:cs="Times New Roman"/>
          <w:color w:val="000000"/>
          <w:sz w:val="20"/>
          <w:szCs w:val="20"/>
        </w:rPr>
        <w:t xml:space="preserve">The essays </w:t>
      </w:r>
      <w:r>
        <w:rPr>
          <w:rFonts w:ascii="Times New Roman" w:eastAsia="Times New Roman" w:hAnsi="Times New Roman" w:cs="Times New Roman"/>
          <w:i/>
          <w:iCs/>
          <w:color w:val="000000"/>
          <w:sz w:val="20"/>
          <w:szCs w:val="20"/>
        </w:rPr>
        <w:t>An Obscene Calling</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iCs/>
          <w:color w:val="000000"/>
          <w:sz w:val="20"/>
          <w:szCs w:val="20"/>
        </w:rPr>
        <w:t>The Subaltern as a Political Voyeur</w:t>
      </w:r>
      <w:r>
        <w:rPr>
          <w:rFonts w:ascii="Times New Roman" w:eastAsia="Times New Roman" w:hAnsi="Times New Roman" w:cs="Times New Roman"/>
          <w:color w:val="000000"/>
          <w:sz w:val="20"/>
          <w:szCs w:val="20"/>
        </w:rPr>
        <w:t xml:space="preserve"> put to task listening as a methodological framework. In the former, the anxiety, perils, tu</w:t>
      </w:r>
      <w:r>
        <w:rPr>
          <w:rFonts w:ascii="Times New Roman" w:eastAsia="Times New Roman" w:hAnsi="Times New Roman" w:cs="Times New Roman"/>
          <w:color w:val="000000"/>
          <w:sz w:val="20"/>
          <w:szCs w:val="20"/>
        </w:rPr>
        <w:t xml:space="preserve">multuous terrains of the experience, experiencing and expressions of love and loving through the narratives of Baby and </w:t>
      </w:r>
      <w:proofErr w:type="spellStart"/>
      <w:r>
        <w:rPr>
          <w:rFonts w:ascii="Times New Roman" w:eastAsia="Times New Roman" w:hAnsi="Times New Roman" w:cs="Times New Roman"/>
          <w:color w:val="000000"/>
          <w:sz w:val="20"/>
          <w:szCs w:val="20"/>
        </w:rPr>
        <w:t>Bitiya</w:t>
      </w:r>
      <w:proofErr w:type="spellEnd"/>
      <w:r>
        <w:rPr>
          <w:rFonts w:ascii="Times New Roman" w:eastAsia="Times New Roman" w:hAnsi="Times New Roman" w:cs="Times New Roman"/>
          <w:color w:val="000000"/>
          <w:sz w:val="20"/>
          <w:szCs w:val="20"/>
        </w:rPr>
        <w:t>. Inscribed on their selves – bodily, emotionally, spatially and socially – is the double whammy of othering as woman and as resid</w:t>
      </w:r>
      <w:r>
        <w:rPr>
          <w:rFonts w:ascii="Times New Roman" w:eastAsia="Times New Roman" w:hAnsi="Times New Roman" w:cs="Times New Roman"/>
          <w:color w:val="000000"/>
          <w:sz w:val="20"/>
          <w:szCs w:val="20"/>
        </w:rPr>
        <w:t xml:space="preserve">ents of the slums. These inscriptions, I argue, for the subaltern, those on the margins have the consequences of their emotionality and thus the selves remaining unacknowledged. In </w:t>
      </w:r>
      <w:proofErr w:type="gramStart"/>
      <w:r>
        <w:rPr>
          <w:rFonts w:ascii="Times New Roman" w:eastAsia="Times New Roman" w:hAnsi="Times New Roman" w:cs="Times New Roman"/>
          <w:i/>
          <w:iCs/>
          <w:color w:val="000000"/>
          <w:sz w:val="20"/>
          <w:szCs w:val="20"/>
        </w:rPr>
        <w:t>The</w:t>
      </w:r>
      <w:proofErr w:type="gramEnd"/>
      <w:r>
        <w:rPr>
          <w:rFonts w:ascii="Times New Roman" w:eastAsia="Times New Roman" w:hAnsi="Times New Roman" w:cs="Times New Roman"/>
          <w:i/>
          <w:iCs/>
          <w:color w:val="000000"/>
          <w:sz w:val="20"/>
          <w:szCs w:val="20"/>
        </w:rPr>
        <w:t xml:space="preserve"> Subaltern as Political Voyeur</w:t>
      </w:r>
      <w:r>
        <w:rPr>
          <w:rFonts w:ascii="Times New Roman" w:eastAsia="Times New Roman" w:hAnsi="Times New Roman" w:cs="Times New Roman"/>
          <w:color w:val="000000"/>
          <w:sz w:val="20"/>
          <w:szCs w:val="20"/>
        </w:rPr>
        <w:t xml:space="preserve"> I present the listening into the political </w:t>
      </w:r>
      <w:proofErr w:type="spellStart"/>
      <w:r>
        <w:rPr>
          <w:rFonts w:ascii="Times New Roman" w:eastAsia="Times New Roman" w:hAnsi="Times New Roman" w:cs="Times New Roman"/>
          <w:color w:val="000000"/>
          <w:sz w:val="20"/>
          <w:szCs w:val="20"/>
        </w:rPr>
        <w:t>lifeworlds</w:t>
      </w:r>
      <w:proofErr w:type="spellEnd"/>
      <w:r>
        <w:rPr>
          <w:rFonts w:ascii="Times New Roman" w:eastAsia="Times New Roman" w:hAnsi="Times New Roman" w:cs="Times New Roman"/>
          <w:color w:val="000000"/>
          <w:sz w:val="20"/>
          <w:szCs w:val="20"/>
        </w:rPr>
        <w:t xml:space="preserve"> of the residents of the slums. This essay is dedicated to the memories and learning from Saroj, who passed away a few years back. The conversation with Tom Rice is an attempt to further the disciplinar</w:t>
      </w:r>
      <w:r>
        <w:rPr>
          <w:rFonts w:ascii="Times New Roman" w:eastAsia="Times New Roman" w:hAnsi="Times New Roman" w:cs="Times New Roman"/>
          <w:color w:val="000000"/>
          <w:sz w:val="20"/>
          <w:szCs w:val="20"/>
        </w:rPr>
        <w:t xml:space="preserve">y boundaries and practice of listening as a research framework and the potential of soundscapes to engage with </w:t>
      </w:r>
      <w:proofErr w:type="spellStart"/>
      <w:r>
        <w:rPr>
          <w:rFonts w:ascii="Times New Roman" w:eastAsia="Times New Roman" w:hAnsi="Times New Roman" w:cs="Times New Roman"/>
          <w:color w:val="000000"/>
          <w:sz w:val="20"/>
          <w:szCs w:val="20"/>
        </w:rPr>
        <w:t>lifeworlds</w:t>
      </w:r>
      <w:proofErr w:type="spellEnd"/>
      <w:r>
        <w:rPr>
          <w:rFonts w:ascii="Times New Roman" w:eastAsia="Times New Roman" w:hAnsi="Times New Roman" w:cs="Times New Roman"/>
          <w:color w:val="000000"/>
          <w:sz w:val="20"/>
          <w:szCs w:val="20"/>
        </w:rPr>
        <w:t xml:space="preserve"> particularly of with those on the margins and whose ‘self’ remains unacknowledged within the hegemonic modalities of knowledge product</w:t>
      </w:r>
      <w:r>
        <w:rPr>
          <w:rFonts w:ascii="Times New Roman" w:eastAsia="Times New Roman" w:hAnsi="Times New Roman" w:cs="Times New Roman"/>
          <w:color w:val="000000"/>
          <w:sz w:val="20"/>
          <w:szCs w:val="20"/>
        </w:rPr>
        <w:t xml:space="preserve">ion. </w:t>
      </w:r>
    </w:p>
    <w:p w:rsidR="0053656A" w:rsidRDefault="0053656A">
      <w:pPr>
        <w:rPr>
          <w:rFonts w:ascii="Times New Roman" w:eastAsia="Times New Roman" w:hAnsi="Times New Roman" w:cs="Times New Roman"/>
          <w:color w:val="000000"/>
          <w:sz w:val="20"/>
          <w:szCs w:val="20"/>
        </w:rPr>
      </w:pPr>
    </w:p>
    <w:p w:rsidR="0053656A" w:rsidRDefault="00DB3911">
      <w:r>
        <w:rPr>
          <w:rFonts w:ascii="Times New Roman" w:eastAsia="Times New Roman" w:hAnsi="Times New Roman" w:cs="Times New Roman"/>
          <w:color w:val="000000"/>
          <w:sz w:val="20"/>
          <w:szCs w:val="20"/>
        </w:rPr>
        <w:t>Listening as a methodology necessitates, first and foremost, the muting of the hegemonic self. As a political intervention, it demands the ontological praxis for the o</w:t>
      </w:r>
      <w:r>
        <w:rPr>
          <w:rFonts w:ascii="Times New Roman" w:eastAsia="Times New Roman" w:hAnsi="Times New Roman" w:cs="Times New Roman"/>
          <w:i/>
          <w:color w:val="000000"/>
          <w:sz w:val="20"/>
          <w:szCs w:val="20"/>
        </w:rPr>
        <w:t xml:space="preserve">thers </w:t>
      </w:r>
      <w:r>
        <w:rPr>
          <w:rFonts w:ascii="Times New Roman" w:eastAsia="Times New Roman" w:hAnsi="Times New Roman" w:cs="Times New Roman"/>
          <w:color w:val="000000"/>
          <w:sz w:val="20"/>
          <w:szCs w:val="20"/>
        </w:rPr>
        <w:t>to listen into their s</w:t>
      </w:r>
      <w:r>
        <w:rPr>
          <w:rFonts w:ascii="Times New Roman" w:eastAsia="Times New Roman" w:hAnsi="Times New Roman" w:cs="Times New Roman"/>
          <w:i/>
          <w:color w:val="000000"/>
          <w:sz w:val="20"/>
          <w:szCs w:val="20"/>
        </w:rPr>
        <w:t xml:space="preserve">elf, </w:t>
      </w:r>
      <w:r>
        <w:rPr>
          <w:rFonts w:ascii="Times New Roman" w:eastAsia="Times New Roman" w:hAnsi="Times New Roman" w:cs="Times New Roman"/>
          <w:color w:val="000000"/>
          <w:sz w:val="20"/>
          <w:szCs w:val="20"/>
        </w:rPr>
        <w:t xml:space="preserve">and that this </w:t>
      </w:r>
      <w:r>
        <w:rPr>
          <w:rFonts w:ascii="Times New Roman" w:eastAsia="Times New Roman" w:hAnsi="Times New Roman" w:cs="Times New Roman"/>
          <w:i/>
          <w:color w:val="000000"/>
          <w:sz w:val="20"/>
          <w:szCs w:val="20"/>
        </w:rPr>
        <w:t>listening</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accrues the validity and </w:t>
      </w:r>
      <w:r>
        <w:rPr>
          <w:rFonts w:ascii="Times New Roman" w:eastAsia="Times New Roman" w:hAnsi="Times New Roman" w:cs="Times New Roman"/>
          <w:color w:val="000000"/>
          <w:sz w:val="20"/>
          <w:szCs w:val="20"/>
        </w:rPr>
        <w:t>veracity of and as robust knowledge-systems within which when the o</w:t>
      </w:r>
      <w:r>
        <w:rPr>
          <w:rFonts w:ascii="Times New Roman" w:eastAsia="Times New Roman" w:hAnsi="Times New Roman" w:cs="Times New Roman"/>
          <w:i/>
          <w:color w:val="000000"/>
          <w:sz w:val="20"/>
          <w:szCs w:val="20"/>
        </w:rPr>
        <w:t xml:space="preserve">ther </w:t>
      </w:r>
      <w:r>
        <w:rPr>
          <w:rFonts w:ascii="Times New Roman" w:eastAsia="Times New Roman" w:hAnsi="Times New Roman" w:cs="Times New Roman"/>
          <w:color w:val="000000"/>
          <w:sz w:val="20"/>
          <w:szCs w:val="20"/>
        </w:rPr>
        <w:t xml:space="preserve">speaks, it is not reckoned to be in tongues. The denial of the </w:t>
      </w:r>
      <w:r>
        <w:rPr>
          <w:rFonts w:ascii="Times New Roman" w:eastAsia="Times New Roman" w:hAnsi="Times New Roman" w:cs="Times New Roman"/>
          <w:i/>
          <w:color w:val="000000"/>
          <w:sz w:val="20"/>
          <w:szCs w:val="20"/>
        </w:rPr>
        <w:t xml:space="preserve">listening(s) </w:t>
      </w:r>
      <w:r>
        <w:rPr>
          <w:rFonts w:ascii="Times New Roman" w:eastAsia="Times New Roman" w:hAnsi="Times New Roman" w:cs="Times New Roman"/>
          <w:color w:val="000000"/>
          <w:sz w:val="20"/>
          <w:szCs w:val="20"/>
        </w:rPr>
        <w:t xml:space="preserve">onto/into themselves, the hegemonic self intends to ‘neutralize listening within himself, so that he cannot </w:t>
      </w:r>
      <w:r>
        <w:rPr>
          <w:rFonts w:ascii="Times New Roman" w:eastAsia="Times New Roman" w:hAnsi="Times New Roman" w:cs="Times New Roman"/>
          <w:color w:val="000000"/>
          <w:sz w:val="20"/>
          <w:szCs w:val="20"/>
        </w:rPr>
        <w:t xml:space="preserve">philosophize’ having thus denied the others most fundamental claims to the structure of the self, the hegemonic self then extends its willing ears - insists that it is </w:t>
      </w:r>
      <w:r>
        <w:rPr>
          <w:rFonts w:ascii="Times New Roman" w:eastAsia="Times New Roman" w:hAnsi="Times New Roman" w:cs="Times New Roman"/>
          <w:i/>
          <w:iCs/>
          <w:color w:val="000000"/>
          <w:sz w:val="20"/>
          <w:szCs w:val="20"/>
        </w:rPr>
        <w:t>all ears</w:t>
      </w:r>
      <w:r>
        <w:rPr>
          <w:rFonts w:ascii="Times New Roman" w:eastAsia="Times New Roman" w:hAnsi="Times New Roman" w:cs="Times New Roman"/>
          <w:color w:val="000000"/>
          <w:sz w:val="20"/>
          <w:szCs w:val="20"/>
        </w:rPr>
        <w:t xml:space="preserve"> which in fact ‘belongs to a register of philanthropic oversensitivity, where co</w:t>
      </w:r>
      <w:r>
        <w:rPr>
          <w:rFonts w:ascii="Times New Roman" w:eastAsia="Times New Roman" w:hAnsi="Times New Roman" w:cs="Times New Roman"/>
          <w:color w:val="000000"/>
          <w:sz w:val="20"/>
          <w:szCs w:val="20"/>
        </w:rPr>
        <w:t xml:space="preserve">ndescension resounds alongside good intentions; thus it often has a pious ring to it’. </w:t>
      </w:r>
    </w:p>
    <w:p w:rsidR="0053656A" w:rsidRDefault="0053656A">
      <w:pPr>
        <w:rPr>
          <w:rFonts w:ascii="Times New Roman" w:eastAsia="Times New Roman" w:hAnsi="Times New Roman" w:cs="Times New Roman"/>
          <w:color w:val="000000"/>
          <w:sz w:val="20"/>
          <w:szCs w:val="20"/>
        </w:rPr>
      </w:pPr>
    </w:p>
    <w:p w:rsidR="0053656A" w:rsidRDefault="00DB3911">
      <w:r>
        <w:rPr>
          <w:rFonts w:ascii="Times New Roman" w:eastAsia="Times New Roman" w:hAnsi="Times New Roman" w:cs="Times New Roman"/>
          <w:color w:val="000000"/>
          <w:sz w:val="20"/>
          <w:szCs w:val="20"/>
        </w:rPr>
        <w:t xml:space="preserve">In insisting on the </w:t>
      </w:r>
      <w:r>
        <w:rPr>
          <w:rFonts w:ascii="Times New Roman" w:eastAsia="Times New Roman" w:hAnsi="Times New Roman" w:cs="Times New Roman"/>
          <w:i/>
          <w:color w:val="000000"/>
          <w:sz w:val="20"/>
          <w:szCs w:val="20"/>
        </w:rPr>
        <w:t xml:space="preserve">listening(s) </w:t>
      </w:r>
      <w:r>
        <w:rPr>
          <w:rFonts w:ascii="Times New Roman" w:eastAsia="Times New Roman" w:hAnsi="Times New Roman" w:cs="Times New Roman"/>
          <w:color w:val="000000"/>
          <w:sz w:val="20"/>
          <w:szCs w:val="20"/>
        </w:rPr>
        <w:t xml:space="preserve">by the </w:t>
      </w:r>
      <w:r w:rsidRPr="005D7533">
        <w:rPr>
          <w:rFonts w:ascii="Times New Roman" w:eastAsia="Times New Roman" w:hAnsi="Times New Roman" w:cs="Times New Roman"/>
          <w:color w:val="000000"/>
          <w:sz w:val="20"/>
          <w:szCs w:val="20"/>
        </w:rPr>
        <w:t>o</w:t>
      </w:r>
      <w:r w:rsidRPr="005D7533">
        <w:rPr>
          <w:rFonts w:ascii="Times New Roman" w:eastAsia="Times New Roman" w:hAnsi="Times New Roman" w:cs="Times New Roman"/>
          <w:color w:val="000000"/>
          <w:sz w:val="20"/>
          <w:szCs w:val="20"/>
        </w:rPr>
        <w:t>thers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of their other, the essays in the book attempt to engage in the politics and praxis of </w:t>
      </w:r>
      <w:r>
        <w:rPr>
          <w:rFonts w:ascii="Times New Roman" w:eastAsia="Times New Roman" w:hAnsi="Times New Roman" w:cs="Times New Roman"/>
          <w:i/>
          <w:color w:val="000000"/>
          <w:sz w:val="20"/>
          <w:szCs w:val="20"/>
        </w:rPr>
        <w:t xml:space="preserve">othering </w:t>
      </w:r>
      <w:r>
        <w:rPr>
          <w:rFonts w:ascii="Times New Roman" w:eastAsia="Times New Roman" w:hAnsi="Times New Roman" w:cs="Times New Roman"/>
          <w:color w:val="000000"/>
          <w:sz w:val="20"/>
          <w:szCs w:val="20"/>
        </w:rPr>
        <w:t>as practiced by the identified others. It is in the processes and practices of o</w:t>
      </w:r>
      <w:r>
        <w:rPr>
          <w:rFonts w:ascii="Times New Roman" w:eastAsia="Times New Roman" w:hAnsi="Times New Roman" w:cs="Times New Roman"/>
          <w:i/>
          <w:color w:val="000000"/>
          <w:sz w:val="20"/>
          <w:szCs w:val="20"/>
        </w:rPr>
        <w:t xml:space="preserve">thering </w:t>
      </w:r>
      <w:r>
        <w:rPr>
          <w:rFonts w:ascii="Times New Roman" w:eastAsia="Times New Roman" w:hAnsi="Times New Roman" w:cs="Times New Roman"/>
          <w:color w:val="000000"/>
          <w:sz w:val="20"/>
          <w:szCs w:val="20"/>
        </w:rPr>
        <w:t>that the self of the other is to be recognised. In the othering, as is e</w:t>
      </w:r>
      <w:r>
        <w:rPr>
          <w:rFonts w:ascii="Times New Roman" w:eastAsia="Times New Roman" w:hAnsi="Times New Roman" w:cs="Times New Roman"/>
          <w:color w:val="000000"/>
          <w:sz w:val="20"/>
          <w:szCs w:val="20"/>
        </w:rPr>
        <w:t xml:space="preserve">videnced by the manner in which the hegemonic self encapsulates the complexity of the others into a singularity solely premised on the former’s reflexive and referential </w:t>
      </w:r>
      <w:r>
        <w:rPr>
          <w:rFonts w:ascii="Times New Roman" w:eastAsia="Times New Roman" w:hAnsi="Times New Roman" w:cs="Times New Roman"/>
          <w:i/>
          <w:color w:val="000000"/>
          <w:sz w:val="20"/>
          <w:szCs w:val="20"/>
        </w:rPr>
        <w:t xml:space="preserve">listening </w:t>
      </w:r>
      <w:r>
        <w:rPr>
          <w:rFonts w:ascii="Times New Roman" w:eastAsia="Times New Roman" w:hAnsi="Times New Roman" w:cs="Times New Roman"/>
          <w:color w:val="000000"/>
          <w:sz w:val="20"/>
          <w:szCs w:val="20"/>
        </w:rPr>
        <w:t>of the latter, the others’ landscapes of reflexive and referential of making</w:t>
      </w:r>
      <w:r>
        <w:rPr>
          <w:rFonts w:ascii="Times New Roman" w:eastAsia="Times New Roman" w:hAnsi="Times New Roman" w:cs="Times New Roman"/>
          <w:color w:val="000000"/>
          <w:sz w:val="20"/>
          <w:szCs w:val="20"/>
        </w:rPr>
        <w:t xml:space="preserve"> meaning of the self are to be unveiled. </w:t>
      </w:r>
    </w:p>
    <w:p w:rsidR="0053656A" w:rsidRDefault="0053656A">
      <w:pPr>
        <w:rPr>
          <w:rFonts w:ascii="Times New Roman" w:eastAsia="Times New Roman" w:hAnsi="Times New Roman" w:cs="Times New Roman"/>
          <w:color w:val="000000"/>
          <w:sz w:val="20"/>
          <w:szCs w:val="20"/>
        </w:rPr>
      </w:pPr>
    </w:p>
    <w:p w:rsidR="0053656A" w:rsidRDefault="00DB3911">
      <w:r>
        <w:rPr>
          <w:rFonts w:ascii="Times New Roman" w:eastAsia="Times New Roman" w:hAnsi="Times New Roman" w:cs="Times New Roman"/>
          <w:color w:val="000000"/>
          <w:sz w:val="20"/>
          <w:szCs w:val="20"/>
        </w:rPr>
        <w:t xml:space="preserve">The book ends with a few provocations towards this mandate. In a displaced dialogue with Jodi Dean and Geert </w:t>
      </w:r>
      <w:proofErr w:type="spellStart"/>
      <w:r>
        <w:rPr>
          <w:rFonts w:ascii="Times New Roman" w:eastAsia="Times New Roman" w:hAnsi="Times New Roman" w:cs="Times New Roman"/>
          <w:color w:val="000000"/>
          <w:sz w:val="20"/>
          <w:szCs w:val="20"/>
        </w:rPr>
        <w:t>Lovink</w:t>
      </w:r>
      <w:proofErr w:type="spellEnd"/>
      <w:r>
        <w:rPr>
          <w:rFonts w:ascii="Times New Roman" w:eastAsia="Times New Roman" w:hAnsi="Times New Roman" w:cs="Times New Roman"/>
          <w:color w:val="000000"/>
          <w:sz w:val="20"/>
          <w:szCs w:val="20"/>
        </w:rPr>
        <w:t>, I discuss the possibilities of technologically mediated possibilities of ‘equalizing the encount</w:t>
      </w:r>
      <w:r>
        <w:rPr>
          <w:rFonts w:ascii="Times New Roman" w:eastAsia="Times New Roman" w:hAnsi="Times New Roman" w:cs="Times New Roman"/>
          <w:color w:val="000000"/>
          <w:sz w:val="20"/>
          <w:szCs w:val="20"/>
        </w:rPr>
        <w:t xml:space="preserve">er with the others’ in </w:t>
      </w:r>
      <w:r>
        <w:rPr>
          <w:rFonts w:ascii="Times New Roman" w:eastAsia="Times New Roman" w:hAnsi="Times New Roman" w:cs="Times New Roman"/>
          <w:i/>
          <w:iCs/>
          <w:color w:val="000000"/>
          <w:sz w:val="20"/>
          <w:szCs w:val="20"/>
        </w:rPr>
        <w:t>Sonic Selfies.</w:t>
      </w:r>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iCs/>
          <w:color w:val="000000"/>
          <w:sz w:val="20"/>
          <w:szCs w:val="20"/>
        </w:rPr>
        <w:t>I Wail, Thus I am</w:t>
      </w:r>
      <w:r>
        <w:rPr>
          <w:rFonts w:ascii="Times New Roman" w:eastAsia="Times New Roman" w:hAnsi="Times New Roman" w:cs="Times New Roman"/>
          <w:color w:val="000000"/>
          <w:sz w:val="20"/>
          <w:szCs w:val="20"/>
        </w:rPr>
        <w:t xml:space="preserve">, the disruption to the hetero-normative, hegemonic narratives, however temporarily, the sonic assertion of wailing women </w:t>
      </w:r>
      <w:proofErr w:type="gramStart"/>
      <w:r>
        <w:rPr>
          <w:rFonts w:ascii="Times New Roman" w:eastAsia="Times New Roman" w:hAnsi="Times New Roman" w:cs="Times New Roman"/>
          <w:color w:val="000000"/>
          <w:sz w:val="20"/>
          <w:szCs w:val="20"/>
        </w:rPr>
        <w:t>create</w:t>
      </w:r>
      <w:proofErr w:type="gramEnd"/>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iCs/>
          <w:color w:val="000000"/>
          <w:sz w:val="20"/>
          <w:szCs w:val="20"/>
        </w:rPr>
        <w:t xml:space="preserve">Revisiting The Housing Questions </w:t>
      </w:r>
      <w:r>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i/>
          <w:iCs/>
          <w:color w:val="000000"/>
          <w:sz w:val="20"/>
          <w:szCs w:val="20"/>
        </w:rPr>
        <w:t xml:space="preserve">To Who Do You Beautifully Belong, </w:t>
      </w:r>
      <w:r>
        <w:rPr>
          <w:rFonts w:ascii="Times New Roman" w:eastAsia="Times New Roman" w:hAnsi="Times New Roman" w:cs="Times New Roman"/>
          <w:color w:val="000000"/>
          <w:sz w:val="20"/>
          <w:szCs w:val="20"/>
        </w:rPr>
        <w:t>I locate the denial of the self and silencing of the</w:t>
      </w:r>
      <w:r>
        <w:rPr>
          <w:rFonts w:ascii="Times New Roman" w:eastAsia="Times New Roman" w:hAnsi="Times New Roman" w:cs="Times New Roman"/>
          <w:color w:val="000000"/>
          <w:sz w:val="20"/>
          <w:szCs w:val="20"/>
        </w:rPr>
        <w:t xml:space="preserve"> slum-dweller in the hegemonic narratives and imaginations as being both strategic and an impediment to actualize the project of the ‘right to the city’. </w:t>
      </w:r>
      <w:r>
        <w:rPr>
          <w:rFonts w:ascii="Times New Roman" w:eastAsia="Times New Roman" w:hAnsi="Times New Roman" w:cs="Times New Roman"/>
          <w:i/>
          <w:iCs/>
          <w:color w:val="000000"/>
          <w:sz w:val="20"/>
          <w:szCs w:val="20"/>
        </w:rPr>
        <w:t xml:space="preserve">The Shriek </w:t>
      </w:r>
      <w:r>
        <w:rPr>
          <w:rFonts w:ascii="Times New Roman" w:eastAsia="Times New Roman" w:hAnsi="Times New Roman" w:cs="Times New Roman"/>
          <w:color w:val="000000"/>
          <w:sz w:val="20"/>
          <w:szCs w:val="20"/>
        </w:rPr>
        <w:t>is a poetic interlude awaiting the presences of the identified others to be listened into.</w:t>
      </w:r>
      <w:r>
        <w:rPr>
          <w:rFonts w:ascii="Times New Roman" w:eastAsia="Times New Roman" w:hAnsi="Times New Roman" w:cs="Times New Roman"/>
          <w:color w:val="000000"/>
          <w:sz w:val="20"/>
          <w:szCs w:val="20"/>
        </w:rPr>
        <w:t xml:space="preserve"> </w:t>
      </w:r>
    </w:p>
    <w:p w:rsidR="0053656A" w:rsidRDefault="0053656A">
      <w:pPr>
        <w:rPr>
          <w:rFonts w:ascii="Times New Roman" w:eastAsia="Liberation Serif" w:hAnsi="Times New Roman" w:cs="Liberation Serif"/>
          <w:color w:val="000000"/>
          <w:sz w:val="20"/>
          <w:szCs w:val="20"/>
        </w:rPr>
      </w:pPr>
    </w:p>
    <w:p w:rsidR="0053656A" w:rsidRDefault="00DB3911">
      <w:proofErr w:type="gramStart"/>
      <w:r>
        <w:rPr>
          <w:rFonts w:ascii="Times New Roman" w:eastAsia="Times New Roman" w:hAnsi="Times New Roman" w:cs="Times New Roman"/>
          <w:color w:val="000000"/>
          <w:sz w:val="20"/>
          <w:szCs w:val="20"/>
        </w:rPr>
        <w:t>Thus</w:t>
      </w:r>
      <w:proofErr w:type="gramEnd"/>
      <w:r>
        <w:rPr>
          <w:rFonts w:ascii="Times New Roman" w:eastAsia="Times New Roman" w:hAnsi="Times New Roman" w:cs="Times New Roman"/>
          <w:color w:val="000000"/>
          <w:sz w:val="20"/>
          <w:szCs w:val="20"/>
        </w:rPr>
        <w:t xml:space="preserve"> the essays in the book, recognize and insist that that </w:t>
      </w:r>
      <w:r>
        <w:rPr>
          <w:rFonts w:ascii="Times New Roman" w:eastAsia="Times New Roman" w:hAnsi="Times New Roman" w:cs="Times New Roman"/>
          <w:i/>
          <w:color w:val="000000"/>
          <w:sz w:val="20"/>
          <w:szCs w:val="20"/>
        </w:rPr>
        <w:t xml:space="preserve">slums </w:t>
      </w:r>
      <w:r>
        <w:rPr>
          <w:rFonts w:ascii="Times New Roman" w:eastAsia="Times New Roman" w:hAnsi="Times New Roman" w:cs="Times New Roman"/>
          <w:color w:val="000000"/>
          <w:sz w:val="20"/>
          <w:szCs w:val="20"/>
        </w:rPr>
        <w:t xml:space="preserve">are not anathema to the city, whether one speaks of the city’s history or its present or future. Rather, that the </w:t>
      </w:r>
      <w:r>
        <w:rPr>
          <w:rFonts w:ascii="Times New Roman" w:eastAsia="Times New Roman" w:hAnsi="Times New Roman" w:cs="Times New Roman"/>
          <w:i/>
          <w:color w:val="000000"/>
          <w:sz w:val="20"/>
          <w:szCs w:val="20"/>
        </w:rPr>
        <w:t>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as civic and social spaces are in fact a by-product of the </w:t>
      </w:r>
      <w:r>
        <w:rPr>
          <w:rFonts w:ascii="Times New Roman" w:eastAsia="Times New Roman" w:hAnsi="Times New Roman" w:cs="Times New Roman"/>
          <w:color w:val="000000"/>
          <w:sz w:val="20"/>
          <w:szCs w:val="20"/>
        </w:rPr>
        <w:t>violent, inequitable and exploitative processes of urbanisation. Through these essays the intent then is to act in whatever limited way to encourage the ethics of cohabitation across spaces, communities and ideas between spaces as the slums and its middle-</w:t>
      </w:r>
      <w:r>
        <w:rPr>
          <w:rFonts w:ascii="Times New Roman" w:eastAsia="Times New Roman" w:hAnsi="Times New Roman" w:cs="Times New Roman"/>
          <w:color w:val="000000"/>
          <w:sz w:val="20"/>
          <w:szCs w:val="20"/>
        </w:rPr>
        <w:t>class neighbours. And lastly, to provide a response to the everyday othering of the slum-dwellers by ‘listening</w:t>
      </w:r>
      <w:r>
        <w:rPr>
          <w:rFonts w:ascii="Times New Roman" w:eastAsia="Liberation Serif" w:hAnsi="Times New Roman" w:cs="Liberation Serif"/>
          <w:color w:val="000000"/>
          <w:sz w:val="20"/>
          <w:szCs w:val="20"/>
          <w:u w:val="single"/>
        </w:rPr>
        <w:t xml:space="preserve"> </w:t>
      </w:r>
      <w:r>
        <w:rPr>
          <w:rFonts w:ascii="Times New Roman" w:eastAsia="Times New Roman" w:hAnsi="Times New Roman" w:cs="Times New Roman"/>
          <w:color w:val="000000"/>
          <w:sz w:val="20"/>
          <w:szCs w:val="20"/>
        </w:rPr>
        <w:t>to, and recording, the details of the story the other might tell, letting that story become part of an undeniable archive, the enduring trace of</w:t>
      </w:r>
      <w:r>
        <w:rPr>
          <w:rFonts w:ascii="Times New Roman" w:eastAsia="Times New Roman" w:hAnsi="Times New Roman" w:cs="Times New Roman"/>
          <w:color w:val="000000"/>
          <w:sz w:val="20"/>
          <w:szCs w:val="20"/>
        </w:rPr>
        <w:t xml:space="preserve"> loss that compels the ongoing obligations to mourn</w:t>
      </w:r>
      <w:r w:rsidR="005D7533">
        <w:rPr>
          <w:rFonts w:ascii="Times New Roman" w:eastAsia="Times New Roman" w:hAnsi="Times New Roman" w:cs="Times New Roman"/>
          <w:color w:val="000000"/>
          <w:sz w:val="20"/>
          <w:szCs w:val="20"/>
        </w:rPr>
        <w:t>’.</w:t>
      </w:r>
      <w:r>
        <w:rPr>
          <w:rStyle w:val="FootnoteAnchor"/>
          <w:rFonts w:ascii="Times New Roman" w:eastAsia="Times New Roman" w:hAnsi="Times New Roman" w:cs="Times New Roman"/>
          <w:color w:val="000000"/>
          <w:sz w:val="20"/>
          <w:szCs w:val="20"/>
          <w:vertAlign w:val="baseline"/>
        </w:rPr>
        <w:footnoteReference w:id="8"/>
      </w:r>
      <w:bookmarkStart w:id="0" w:name="_GoBack"/>
      <w:bookmarkEnd w:id="0"/>
      <w:r>
        <w:rPr>
          <w:rFonts w:ascii="Times New Roman" w:eastAsia="Times New Roman" w:hAnsi="Times New Roman" w:cs="Times New Roman"/>
          <w:color w:val="000000"/>
          <w:sz w:val="20"/>
          <w:szCs w:val="20"/>
        </w:rPr>
        <w:t xml:space="preserve">  </w:t>
      </w:r>
    </w:p>
    <w:p w:rsidR="0053656A" w:rsidRDefault="0053656A">
      <w:pPr>
        <w:spacing w:after="140"/>
        <w:rPr>
          <w:rFonts w:ascii="Times New Roman" w:eastAsia="Liberation Serif" w:hAnsi="Times New Roman" w:cs="Liberation Serif"/>
          <w:color w:val="000000"/>
          <w:sz w:val="20"/>
          <w:szCs w:val="20"/>
        </w:rPr>
      </w:pPr>
    </w:p>
    <w:p w:rsidR="0053656A" w:rsidRDefault="00DB3911">
      <w:r>
        <w:rPr>
          <w:rFonts w:ascii="Times New Roman" w:eastAsia="Times New Roman" w:hAnsi="Times New Roman" w:cs="Times New Roman"/>
          <w:color w:val="000000"/>
          <w:sz w:val="20"/>
          <w:szCs w:val="20"/>
        </w:rPr>
        <w:t xml:space="preserve">And </w:t>
      </w:r>
      <w:proofErr w:type="gramStart"/>
      <w:r>
        <w:rPr>
          <w:rFonts w:ascii="Times New Roman" w:eastAsia="Times New Roman" w:hAnsi="Times New Roman" w:cs="Times New Roman"/>
          <w:color w:val="000000"/>
          <w:sz w:val="20"/>
          <w:szCs w:val="20"/>
        </w:rPr>
        <w:t>thus</w:t>
      </w:r>
      <w:proofErr w:type="gramEnd"/>
      <w:r>
        <w:rPr>
          <w:rFonts w:ascii="Times New Roman" w:eastAsia="Times New Roman" w:hAnsi="Times New Roman" w:cs="Times New Roman"/>
          <w:color w:val="000000"/>
          <w:sz w:val="20"/>
          <w:szCs w:val="20"/>
        </w:rPr>
        <w:t xml:space="preserve"> the sounds of the ethnographic lives, of the </w:t>
      </w:r>
      <w:r>
        <w:rPr>
          <w:rFonts w:ascii="Times New Roman" w:eastAsia="Times New Roman" w:hAnsi="Times New Roman" w:cs="Times New Roman"/>
          <w:i/>
          <w:color w:val="000000"/>
          <w:sz w:val="20"/>
          <w:szCs w:val="20"/>
        </w:rPr>
        <w:t xml:space="preserve">Others </w:t>
      </w:r>
      <w:r>
        <w:rPr>
          <w:rFonts w:ascii="Times New Roman" w:eastAsia="Times New Roman" w:hAnsi="Times New Roman" w:cs="Times New Roman"/>
          <w:color w:val="000000"/>
          <w:sz w:val="20"/>
          <w:szCs w:val="20"/>
        </w:rPr>
        <w:t xml:space="preserve">I engaged with and the </w:t>
      </w:r>
      <w:r>
        <w:rPr>
          <w:rFonts w:ascii="Times New Roman" w:eastAsia="Times New Roman" w:hAnsi="Times New Roman" w:cs="Times New Roman"/>
          <w:i/>
          <w:color w:val="000000"/>
          <w:sz w:val="20"/>
          <w:szCs w:val="20"/>
        </w:rPr>
        <w:t xml:space="preserve">Self </w:t>
      </w:r>
      <w:r>
        <w:rPr>
          <w:rFonts w:ascii="Times New Roman" w:eastAsia="Times New Roman" w:hAnsi="Times New Roman" w:cs="Times New Roman"/>
          <w:color w:val="000000"/>
          <w:sz w:val="20"/>
          <w:szCs w:val="20"/>
        </w:rPr>
        <w:t xml:space="preserve">as their interlocutor slowly start humming. </w:t>
      </w:r>
    </w:p>
    <w:p w:rsidR="0053656A" w:rsidRDefault="0053656A">
      <w:pPr>
        <w:rPr>
          <w:rFonts w:ascii="Times New Roman" w:eastAsia="Times New Roman" w:hAnsi="Times New Roman" w:cs="Times New Roman"/>
          <w:color w:val="000000"/>
          <w:sz w:val="20"/>
          <w:szCs w:val="20"/>
        </w:rPr>
      </w:pPr>
    </w:p>
    <w:p w:rsidR="0053656A" w:rsidRDefault="00DB3911">
      <w:r>
        <w:rPr>
          <w:rFonts w:ascii="Times New Roman" w:eastAsia="Times New Roman" w:hAnsi="Times New Roman" w:cs="Times New Roman"/>
          <w:color w:val="000000"/>
          <w:sz w:val="20"/>
          <w:szCs w:val="20"/>
        </w:rPr>
        <w:t xml:space="preserve">From where you are, listen with me. </w:t>
      </w:r>
    </w:p>
    <w:sectPr w:rsidR="0053656A">
      <w:headerReference w:type="default" r:id="rId6"/>
      <w:pgSz w:w="11906" w:h="16838"/>
      <w:pgMar w:top="1601"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911" w:rsidRDefault="00DB3911">
      <w:r>
        <w:separator/>
      </w:r>
    </w:p>
  </w:endnote>
  <w:endnote w:type="continuationSeparator" w:id="0">
    <w:p w:rsidR="00DB3911" w:rsidRDefault="00DB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Hebrew Scholar">
    <w:panose1 w:val="00000000000000000000"/>
    <w:charset w:val="B1"/>
    <w:family w:val="auto"/>
    <w:pitch w:val="variable"/>
    <w:sig w:usb0="80000843" w:usb1="4000000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911" w:rsidRDefault="00DB3911"/>
  </w:footnote>
  <w:footnote w:type="continuationSeparator" w:id="0">
    <w:p w:rsidR="00DB3911" w:rsidRDefault="00DB3911">
      <w:r>
        <w:continuationSeparator/>
      </w:r>
    </w:p>
  </w:footnote>
  <w:footnote w:id="1">
    <w:p w:rsidR="0053656A" w:rsidRDefault="00DB3911">
      <w:pPr>
        <w:widowControl w:val="0"/>
        <w:spacing w:after="240"/>
      </w:pPr>
      <w:r>
        <w:rPr>
          <w:rStyle w:val="FootnoteCharacters"/>
        </w:rPr>
        <w:footnoteRef/>
      </w:r>
      <w:r w:rsidR="005D7533">
        <w:rPr>
          <w:rStyle w:val="FootnoteCharacters"/>
        </w:rPr>
        <w:t xml:space="preserve"> </w:t>
      </w:r>
      <w:r>
        <w:rPr>
          <w:rFonts w:ascii="Times New Roman" w:eastAsia="Calibri" w:hAnsi="Times New Roman" w:cs="Calibri"/>
          <w:sz w:val="16"/>
          <w:szCs w:val="16"/>
        </w:rPr>
        <w:t>The</w:t>
      </w:r>
      <w:r>
        <w:rPr>
          <w:rFonts w:ascii="Times New Roman" w:eastAsia="Arial Hebrew Scholar" w:hAnsi="Times New Roman" w:cs="Arial Hebrew Scholar"/>
          <w:sz w:val="16"/>
          <w:szCs w:val="16"/>
        </w:rPr>
        <w:t xml:space="preserve"> </w:t>
      </w:r>
      <w:r>
        <w:rPr>
          <w:rFonts w:ascii="Times New Roman" w:eastAsia="Calibri" w:hAnsi="Times New Roman" w:cs="Calibri"/>
          <w:i/>
          <w:sz w:val="16"/>
          <w:szCs w:val="16"/>
        </w:rPr>
        <w:t>Slums</w:t>
      </w:r>
      <w:r>
        <w:rPr>
          <w:rFonts w:ascii="Times New Roman" w:eastAsia="Arial Hebrew Scholar" w:hAnsi="Times New Roman" w:cs="Arial Hebrew Scholar"/>
          <w:i/>
          <w:sz w:val="16"/>
          <w:szCs w:val="16"/>
        </w:rPr>
        <w:t xml:space="preserve"> </w:t>
      </w:r>
      <w:r>
        <w:rPr>
          <w:rFonts w:ascii="Times New Roman" w:eastAsia="Calibri" w:hAnsi="Times New Roman" w:cs="Calibri"/>
          <w:i/>
          <w:sz w:val="16"/>
          <w:szCs w:val="16"/>
        </w:rPr>
        <w:t>Areas</w:t>
      </w:r>
      <w:r>
        <w:rPr>
          <w:rFonts w:ascii="Times New Roman" w:eastAsia="Arial Hebrew Scholar" w:hAnsi="Times New Roman" w:cs="Arial Hebrew Scholar"/>
          <w:i/>
          <w:sz w:val="16"/>
          <w:szCs w:val="16"/>
        </w:rPr>
        <w:t xml:space="preserve"> (</w:t>
      </w:r>
      <w:r>
        <w:rPr>
          <w:rFonts w:ascii="Times New Roman" w:eastAsia="Calibri" w:hAnsi="Times New Roman" w:cs="Calibri"/>
          <w:i/>
          <w:sz w:val="16"/>
          <w:szCs w:val="16"/>
        </w:rPr>
        <w:t>Improvement</w:t>
      </w:r>
      <w:r>
        <w:rPr>
          <w:rFonts w:ascii="Times New Roman" w:eastAsia="Arial Hebrew Scholar" w:hAnsi="Times New Roman" w:cs="Arial Hebrew Scholar"/>
          <w:i/>
          <w:sz w:val="16"/>
          <w:szCs w:val="16"/>
        </w:rPr>
        <w:t xml:space="preserve"> </w:t>
      </w:r>
      <w:r>
        <w:rPr>
          <w:rFonts w:ascii="Times New Roman" w:eastAsia="Calibri" w:hAnsi="Times New Roman" w:cs="Calibri"/>
          <w:i/>
          <w:sz w:val="16"/>
          <w:szCs w:val="16"/>
        </w:rPr>
        <w:t>and</w:t>
      </w:r>
      <w:r>
        <w:rPr>
          <w:rFonts w:ascii="Times New Roman" w:eastAsia="Arial Hebrew Scholar" w:hAnsi="Times New Roman" w:cs="Arial Hebrew Scholar"/>
          <w:i/>
          <w:sz w:val="16"/>
          <w:szCs w:val="16"/>
        </w:rPr>
        <w:t xml:space="preserve"> </w:t>
      </w:r>
      <w:r>
        <w:rPr>
          <w:rFonts w:ascii="Times New Roman" w:eastAsia="Calibri" w:hAnsi="Times New Roman" w:cs="Calibri"/>
          <w:i/>
          <w:sz w:val="16"/>
          <w:szCs w:val="16"/>
        </w:rPr>
        <w:t>Clearance</w:t>
      </w:r>
      <w:r>
        <w:rPr>
          <w:rFonts w:ascii="Times New Roman" w:eastAsia="Arial Hebrew Scholar" w:hAnsi="Times New Roman" w:cs="Arial Hebrew Scholar"/>
          <w:i/>
          <w:sz w:val="16"/>
          <w:szCs w:val="16"/>
        </w:rPr>
        <w:t xml:space="preserve">) </w:t>
      </w:r>
      <w:r>
        <w:rPr>
          <w:rFonts w:ascii="Times New Roman" w:eastAsia="Calibri" w:hAnsi="Times New Roman" w:cs="Calibri"/>
          <w:i/>
          <w:sz w:val="16"/>
          <w:szCs w:val="16"/>
        </w:rPr>
        <w:t>Act</w:t>
      </w:r>
      <w:r>
        <w:rPr>
          <w:rFonts w:ascii="Times New Roman" w:eastAsia="Arial Hebrew Scholar" w:hAnsi="Times New Roman" w:cs="Arial Hebrew Scholar"/>
          <w:i/>
          <w:sz w:val="16"/>
          <w:szCs w:val="16"/>
        </w:rPr>
        <w:t xml:space="preserve"> </w:t>
      </w:r>
      <w:r>
        <w:rPr>
          <w:rFonts w:ascii="Times New Roman" w:eastAsia="Arial Hebrew Scholar" w:hAnsi="Times New Roman" w:cs="Arial Hebrew Scholar"/>
          <w:sz w:val="16"/>
          <w:szCs w:val="16"/>
        </w:rPr>
        <w:t xml:space="preserve">(1956) </w:t>
      </w:r>
      <w:r>
        <w:rPr>
          <w:rFonts w:ascii="Times New Roman" w:eastAsia="Calibri" w:hAnsi="Times New Roman" w:cs="Calibri"/>
          <w:sz w:val="16"/>
          <w:szCs w:val="16"/>
        </w:rPr>
        <w:t>declares</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area</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as</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slum</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when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the</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buildings</w:t>
      </w:r>
      <w:r>
        <w:rPr>
          <w:rFonts w:ascii="Times New Roman" w:eastAsia="Arial Hebrew Scholar" w:hAnsi="Times New Roman" w:cs="Arial Hebrew Scholar"/>
          <w:sz w:val="16"/>
          <w:szCs w:val="16"/>
        </w:rPr>
        <w:t>: (</w:t>
      </w:r>
      <w:r>
        <w:rPr>
          <w:rFonts w:ascii="Times New Roman" w:eastAsia="Calibri" w:hAnsi="Times New Roman" w:cs="Calibri"/>
          <w:sz w:val="16"/>
          <w:szCs w:val="16"/>
        </w:rPr>
        <w:t>a</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are</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in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any</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respect</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unfit</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for</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human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habitation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or</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b</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are</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by</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reason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of</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dilapidation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overcrowding</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faulty</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arrangement</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and</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design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of</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such</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buildings</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narrowness</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or</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faulty</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arrangement</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of</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streets</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lack</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of</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ventilation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light</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or</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sanitation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facilities</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or</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any</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combination</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of</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these</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factors</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are</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detrimental</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to</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safety</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health</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or</w:t>
      </w:r>
      <w:r>
        <w:rPr>
          <w:rFonts w:ascii="Times New Roman" w:eastAsia="Arial Hebrew Scholar" w:hAnsi="Times New Roman" w:cs="Arial Hebrew Scholar"/>
          <w:sz w:val="16"/>
          <w:szCs w:val="16"/>
        </w:rPr>
        <w:t xml:space="preserve"> </w:t>
      </w:r>
      <w:r>
        <w:rPr>
          <w:rFonts w:ascii="Times New Roman" w:eastAsia="Calibri" w:hAnsi="Times New Roman" w:cs="Calibri"/>
          <w:sz w:val="16"/>
          <w:szCs w:val="16"/>
        </w:rPr>
        <w:t>morals</w:t>
      </w:r>
      <w:r>
        <w:rPr>
          <w:rFonts w:ascii="Times New Roman" w:eastAsia="Arial Hebrew Scholar" w:hAnsi="Times New Roman" w:cs="Arial Hebrew Scholar"/>
          <w:sz w:val="16"/>
          <w:szCs w:val="16"/>
        </w:rPr>
        <w:t xml:space="preserve">. </w:t>
      </w:r>
    </w:p>
  </w:footnote>
  <w:footnote w:id="2">
    <w:p w:rsidR="005D7533" w:rsidRDefault="005D7533" w:rsidP="005D7533">
      <w:r>
        <w:rPr>
          <w:rStyle w:val="FootnoteCharacters"/>
        </w:rPr>
        <w:footnoteRef/>
      </w:r>
      <w:r>
        <w:rPr>
          <w:rStyle w:val="FootnoteCharacters"/>
        </w:rPr>
        <w:t xml:space="preserve"> </w:t>
      </w:r>
      <w:proofErr w:type="spellStart"/>
      <w:r>
        <w:rPr>
          <w:rFonts w:ascii="Times New Roman" w:eastAsia="Times New Roman" w:hAnsi="Times New Roman" w:cs="Times New Roman"/>
          <w:color w:val="000000"/>
          <w:sz w:val="16"/>
          <w:szCs w:val="16"/>
        </w:rPr>
        <w:t>Slavoj</w:t>
      </w:r>
      <w:proofErr w:type="spellEnd"/>
      <w:r>
        <w:rPr>
          <w:rFonts w:ascii="Times New Roman" w:eastAsia="Times New Roman" w:hAnsi="Times New Roman" w:cs="Times New Roman"/>
          <w:color w:val="000000"/>
          <w:sz w:val="16"/>
          <w:szCs w:val="16"/>
        </w:rPr>
        <w:t xml:space="preserve"> </w:t>
      </w:r>
      <w:proofErr w:type="spellStart"/>
      <w:r>
        <w:rPr>
          <w:rFonts w:ascii="Times New Roman" w:eastAsia="Times New Roman" w:hAnsi="Times New Roman" w:cs="Times New Roman"/>
          <w:color w:val="000000"/>
          <w:sz w:val="16"/>
          <w:szCs w:val="16"/>
        </w:rPr>
        <w:t>Žižek</w:t>
      </w:r>
      <w:proofErr w:type="spellEnd"/>
      <w:r>
        <w:rPr>
          <w:rFonts w:ascii="Times New Roman" w:eastAsia="Times New Roman" w:hAnsi="Times New Roman" w:cs="Times New Roman"/>
          <w:color w:val="000000"/>
          <w:sz w:val="16"/>
          <w:szCs w:val="16"/>
        </w:rPr>
        <w:t>, ‘</w:t>
      </w:r>
      <w:r>
        <w:rPr>
          <w:rStyle w:val="StrongEmphasis"/>
          <w:rFonts w:ascii="Times New Roman" w:eastAsia="Times New Roman" w:hAnsi="Times New Roman" w:cs="Times New Roman"/>
          <w:b w:val="0"/>
          <w:bCs w:val="0"/>
          <w:color w:val="000000"/>
          <w:sz w:val="16"/>
          <w:szCs w:val="16"/>
        </w:rPr>
        <w:t xml:space="preserve">Human Rights and its Discontents: The Logic of the Stalinist Show Trials’, </w:t>
      </w:r>
      <w:r>
        <w:rPr>
          <w:rFonts w:ascii="Times New Roman" w:eastAsia="Times New Roman" w:hAnsi="Times New Roman" w:cs="Times New Roman"/>
          <w:i/>
          <w:color w:val="000000"/>
          <w:sz w:val="16"/>
          <w:szCs w:val="16"/>
        </w:rPr>
        <w:t>Olin Auditorium, Bard College,</w:t>
      </w:r>
      <w:r>
        <w:rPr>
          <w:rFonts w:ascii="Times New Roman" w:eastAsia="Times New Roman" w:hAnsi="Times New Roman" w:cs="Times New Roman"/>
          <w:color w:val="000000"/>
          <w:sz w:val="16"/>
          <w:szCs w:val="16"/>
        </w:rPr>
        <w:t xml:space="preserve"> 16 </w:t>
      </w:r>
      <w:proofErr w:type="gramStart"/>
      <w:r>
        <w:rPr>
          <w:rFonts w:ascii="Times New Roman" w:eastAsia="Times New Roman" w:hAnsi="Times New Roman" w:cs="Times New Roman"/>
          <w:color w:val="000000"/>
          <w:sz w:val="16"/>
          <w:szCs w:val="16"/>
        </w:rPr>
        <w:t>November,</w:t>
      </w:r>
      <w:proofErr w:type="gramEnd"/>
      <w:r>
        <w:rPr>
          <w:rFonts w:ascii="Times New Roman" w:eastAsia="Times New Roman" w:hAnsi="Times New Roman" w:cs="Times New Roman"/>
          <w:color w:val="000000"/>
          <w:sz w:val="16"/>
          <w:szCs w:val="16"/>
        </w:rPr>
        <w:t xml:space="preserve"> 1999.</w:t>
      </w:r>
    </w:p>
  </w:footnote>
  <w:footnote w:id="3">
    <w:p w:rsidR="0053656A" w:rsidRDefault="00DB3911">
      <w:r>
        <w:rPr>
          <w:rStyle w:val="FootnoteCharacters"/>
        </w:rPr>
        <w:footnoteRef/>
      </w:r>
      <w:r w:rsidR="005D7533">
        <w:rPr>
          <w:rStyle w:val="FootnoteCharacters"/>
        </w:rPr>
        <w:t xml:space="preserve"> </w:t>
      </w:r>
      <w:r>
        <w:rPr>
          <w:rFonts w:ascii="Times New Roman" w:eastAsia="Times New Roman" w:hAnsi="Times New Roman" w:cs="Times New Roman"/>
          <w:color w:val="000000"/>
          <w:sz w:val="16"/>
          <w:szCs w:val="16"/>
        </w:rPr>
        <w:t xml:space="preserve">Judith Butler, </w:t>
      </w:r>
      <w:r>
        <w:rPr>
          <w:rFonts w:eastAsia="Liberation Serif" w:cs="Liberation Serif"/>
          <w:i/>
          <w:color w:val="000000"/>
          <w:sz w:val="16"/>
          <w:szCs w:val="16"/>
          <w:shd w:val="clear" w:color="auto" w:fill="FFFFFF"/>
        </w:rPr>
        <w:t>Notes</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Towards</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a</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Performative</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Theory</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of</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 xml:space="preserve">Assembly, </w:t>
      </w:r>
      <w:r>
        <w:rPr>
          <w:rFonts w:eastAsia="Liberation Serif" w:cs="Liberation Serif"/>
          <w:color w:val="000000"/>
          <w:sz w:val="16"/>
          <w:szCs w:val="16"/>
          <w:shd w:val="clear" w:color="auto" w:fill="FFFFFF"/>
        </w:rPr>
        <w:t xml:space="preserve">Cambridge, MA: Harvard </w:t>
      </w:r>
      <w:r>
        <w:rPr>
          <w:rFonts w:eastAsia="Liberation Serif" w:cs="Liberation Serif"/>
          <w:color w:val="000000"/>
          <w:sz w:val="16"/>
          <w:szCs w:val="16"/>
          <w:shd w:val="clear" w:color="auto" w:fill="FFFFFF"/>
        </w:rPr>
        <w:t>University Press, 2015</w:t>
      </w:r>
      <w:r>
        <w:rPr>
          <w:rFonts w:eastAsia="Liberation Serif" w:cs="Liberation Serif"/>
          <w:i/>
          <w:color w:val="000000"/>
          <w:sz w:val="16"/>
          <w:szCs w:val="16"/>
          <w:shd w:val="clear" w:color="auto" w:fill="FFFFFF"/>
        </w:rPr>
        <w:t>, pp-</w:t>
      </w:r>
      <w:r>
        <w:rPr>
          <w:rFonts w:ascii="Arial Hebrew Scholar" w:eastAsia="Arial Hebrew Scholar" w:hAnsi="Arial Hebrew Scholar" w:cs="Arial Hebrew Scholar"/>
          <w:color w:val="000000"/>
          <w:sz w:val="16"/>
          <w:szCs w:val="16"/>
        </w:rPr>
        <w:t>198.</w:t>
      </w:r>
    </w:p>
  </w:footnote>
  <w:footnote w:id="4">
    <w:p w:rsidR="0053656A" w:rsidRDefault="00DB3911">
      <w:pPr>
        <w:pStyle w:val="LO-normal"/>
      </w:pPr>
      <w:r>
        <w:rPr>
          <w:rStyle w:val="FootnoteCharacters"/>
        </w:rPr>
        <w:footnoteRef/>
      </w:r>
      <w:r w:rsidR="005D7533">
        <w:rPr>
          <w:rStyle w:val="FootnoteCharacters"/>
        </w:rPr>
        <w:t xml:space="preserve"> </w:t>
      </w:r>
      <w:r>
        <w:rPr>
          <w:rFonts w:eastAsia="Liberation Serif" w:cs="Liberation Serif"/>
          <w:color w:val="000000"/>
          <w:sz w:val="16"/>
          <w:szCs w:val="16"/>
        </w:rPr>
        <w:t xml:space="preserve">Butler further elaborates that within specific constructions </w:t>
      </w:r>
      <w:r>
        <w:rPr>
          <w:rFonts w:ascii="Arial Hebrew Scholar" w:eastAsia="Arial Hebrew Scholar" w:hAnsi="Arial Hebrew Scholar" w:cs="Arial Hebrew Scholar"/>
          <w:color w:val="000000"/>
          <w:sz w:val="16"/>
          <w:szCs w:val="16"/>
        </w:rPr>
        <w:t>“</w:t>
      </w:r>
      <w:r>
        <w:rPr>
          <w:rFonts w:eastAsia="Liberation Serif" w:cs="Liberation Serif"/>
          <w:color w:val="000000"/>
          <w:sz w:val="16"/>
          <w:szCs w:val="16"/>
        </w:rPr>
        <w:t>life</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is</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established</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as</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tenuous</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precarious</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and</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in</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that</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sense</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not</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worthy</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to</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be</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protected</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from</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injury</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or</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loss</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and</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so</w:t>
      </w:r>
      <w:r>
        <w:rPr>
          <w:rFonts w:ascii="Arial Hebrew Scholar" w:eastAsia="Arial Hebrew Scholar" w:hAnsi="Arial Hebrew Scholar" w:cs="Arial Hebrew Scholar"/>
          <w:color w:val="000000"/>
          <w:sz w:val="16"/>
          <w:szCs w:val="16"/>
        </w:rPr>
        <w:t xml:space="preserve"> </w:t>
      </w:r>
      <w:r>
        <w:rPr>
          <w:rFonts w:eastAsia="Liberation Serif" w:cs="Liberation Serif"/>
          <w:color w:val="000000"/>
          <w:sz w:val="16"/>
          <w:szCs w:val="16"/>
        </w:rPr>
        <w:t>not</w:t>
      </w:r>
      <w:r>
        <w:rPr>
          <w:rFonts w:ascii="Arial Hebrew Scholar" w:eastAsia="Arial Hebrew Scholar" w:hAnsi="Arial Hebrew Scholar" w:cs="Arial Hebrew Scholar"/>
          <w:color w:val="000000"/>
          <w:sz w:val="16"/>
          <w:szCs w:val="16"/>
        </w:rPr>
        <w:t xml:space="preserve"> </w:t>
      </w:r>
      <w:proofErr w:type="spellStart"/>
      <w:r>
        <w:rPr>
          <w:rFonts w:eastAsia="Liberation Serif" w:cs="Liberation Serif"/>
          <w:color w:val="000000"/>
          <w:sz w:val="16"/>
          <w:szCs w:val="16"/>
        </w:rPr>
        <w:t>grievable</w:t>
      </w:r>
      <w:proofErr w:type="spellEnd"/>
      <w:r>
        <w:rPr>
          <w:rFonts w:ascii="Arial Hebrew Scholar" w:eastAsia="Arial Hebrew Scholar" w:hAnsi="Arial Hebrew Scholar" w:cs="Arial Hebrew Scholar"/>
          <w:color w:val="000000"/>
          <w:sz w:val="16"/>
          <w:szCs w:val="16"/>
        </w:rPr>
        <w:t xml:space="preserve">” (198) </w:t>
      </w:r>
      <w:r>
        <w:rPr>
          <w:rFonts w:eastAsia="Liberation Serif" w:cs="Liberation Serif"/>
          <w:color w:val="000000"/>
          <w:sz w:val="16"/>
          <w:szCs w:val="16"/>
        </w:rPr>
        <w:t xml:space="preserve">and raises questions of biopolitical import as, “Whose lives matter? Whose lives do not matter as lives, are not recognizable as living, or count only ambiguously as alive?” (196). </w:t>
      </w:r>
    </w:p>
  </w:footnote>
  <w:footnote w:id="5">
    <w:p w:rsidR="005D7533" w:rsidRDefault="005D7533" w:rsidP="005D7533">
      <w:r>
        <w:rPr>
          <w:rStyle w:val="FootnoteCharacters"/>
        </w:rPr>
        <w:footnoteRef/>
      </w:r>
      <w:r>
        <w:rPr>
          <w:rStyle w:val="FootnoteCharacters"/>
        </w:rPr>
        <w:t xml:space="preserve"> </w:t>
      </w:r>
      <w:r>
        <w:rPr>
          <w:rFonts w:ascii="Times New Roman" w:eastAsia="Times New Roman" w:hAnsi="Times New Roman" w:cs="Times New Roman"/>
          <w:color w:val="000000"/>
          <w:sz w:val="16"/>
          <w:szCs w:val="16"/>
        </w:rPr>
        <w:t xml:space="preserve">Michael Foucault, ‘A Preface to Transgression’, trans. Donald Bouchard and Sherry Simon, in Donald Bouchard (ed.)  </w:t>
      </w:r>
      <w:r>
        <w:rPr>
          <w:rFonts w:ascii="Times New Roman" w:eastAsia="Times New Roman" w:hAnsi="Times New Roman" w:cs="Times New Roman"/>
          <w:i/>
          <w:iCs/>
          <w:color w:val="000000"/>
          <w:sz w:val="16"/>
          <w:szCs w:val="16"/>
        </w:rPr>
        <w:t xml:space="preserve">Language, Counter-Memory, Practice: Selected Essays and Interviews, </w:t>
      </w:r>
      <w:r>
        <w:rPr>
          <w:rFonts w:ascii="Times New Roman" w:eastAsia="Times New Roman" w:hAnsi="Times New Roman" w:cs="Times New Roman"/>
          <w:color w:val="000000"/>
          <w:sz w:val="16"/>
          <w:szCs w:val="16"/>
        </w:rPr>
        <w:t>Ithaca, NY: Cornell UP I977.</w:t>
      </w:r>
    </w:p>
  </w:footnote>
  <w:footnote w:id="6">
    <w:p w:rsidR="005D7533" w:rsidRDefault="005D7533" w:rsidP="005D7533">
      <w:r>
        <w:rPr>
          <w:rStyle w:val="FootnoteCharacters"/>
        </w:rPr>
        <w:footnoteRef/>
      </w:r>
      <w:r>
        <w:rPr>
          <w:rStyle w:val="FootnoteCharacters"/>
        </w:rPr>
        <w:t xml:space="preserve"> </w:t>
      </w:r>
      <w:r>
        <w:rPr>
          <w:rFonts w:ascii="Times New Roman" w:eastAsia="Liberation Serif" w:hAnsi="Times New Roman" w:cs="Liberation Serif"/>
          <w:color w:val="000000"/>
          <w:sz w:val="16"/>
          <w:szCs w:val="16"/>
          <w:shd w:val="clear" w:color="auto" w:fill="FFFFFF"/>
        </w:rPr>
        <w:t xml:space="preserve">Gayatri </w:t>
      </w:r>
      <w:proofErr w:type="spellStart"/>
      <w:r>
        <w:rPr>
          <w:rFonts w:ascii="Times New Roman" w:eastAsia="Liberation Serif" w:hAnsi="Times New Roman" w:cs="Liberation Serif"/>
          <w:color w:val="000000"/>
          <w:sz w:val="16"/>
          <w:szCs w:val="16"/>
          <w:shd w:val="clear" w:color="auto" w:fill="FFFFFF"/>
        </w:rPr>
        <w:t>Chakravorty</w:t>
      </w:r>
      <w:proofErr w:type="spellEnd"/>
      <w:r>
        <w:rPr>
          <w:rFonts w:ascii="Times New Roman" w:eastAsia="Liberation Serif" w:hAnsi="Times New Roman" w:cs="Liberation Serif"/>
          <w:color w:val="000000"/>
          <w:sz w:val="16"/>
          <w:szCs w:val="16"/>
          <w:shd w:val="clear" w:color="auto" w:fill="FFFFFF"/>
        </w:rPr>
        <w:t xml:space="preserve"> Spivak, ‘Scattered speculations on the subaltern and the popular’, </w:t>
      </w:r>
      <w:r>
        <w:rPr>
          <w:rFonts w:ascii="Times New Roman" w:eastAsia="Liberation Serif" w:hAnsi="Times New Roman" w:cs="Liberation Serif"/>
          <w:i/>
          <w:color w:val="000000"/>
          <w:sz w:val="16"/>
          <w:szCs w:val="16"/>
          <w:shd w:val="clear" w:color="auto" w:fill="FFFFFF"/>
        </w:rPr>
        <w:t>Postcolonial studies</w:t>
      </w:r>
      <w:r>
        <w:rPr>
          <w:rFonts w:ascii="Times New Roman" w:eastAsia="Liberation Serif" w:hAnsi="Times New Roman" w:cs="Liberation Serif"/>
          <w:color w:val="000000"/>
          <w:sz w:val="16"/>
          <w:szCs w:val="16"/>
          <w:shd w:val="clear" w:color="auto" w:fill="FFFFFF"/>
        </w:rPr>
        <w:t xml:space="preserve"> 8.4 (2005):483</w:t>
      </w:r>
    </w:p>
  </w:footnote>
  <w:footnote w:id="7">
    <w:p w:rsidR="0053656A" w:rsidRDefault="00DB3911">
      <w:r>
        <w:rPr>
          <w:rStyle w:val="FootnoteCharacters"/>
        </w:rPr>
        <w:footnoteRef/>
      </w:r>
      <w:r w:rsidR="005D7533">
        <w:rPr>
          <w:rStyle w:val="FootnoteCharacters"/>
        </w:rPr>
        <w:t xml:space="preserve"> </w:t>
      </w:r>
      <w:r>
        <w:rPr>
          <w:rFonts w:ascii="Times New Roman" w:eastAsia="Liberation Serif" w:hAnsi="Times New Roman" w:cs="Liberation Serif"/>
          <w:color w:val="000000"/>
          <w:sz w:val="16"/>
          <w:szCs w:val="16"/>
          <w:shd w:val="clear" w:color="auto" w:fill="FFFFFF"/>
        </w:rPr>
        <w:t xml:space="preserve">Gayatri </w:t>
      </w:r>
      <w:proofErr w:type="spellStart"/>
      <w:r>
        <w:rPr>
          <w:rFonts w:ascii="Times New Roman" w:eastAsia="Liberation Serif" w:hAnsi="Times New Roman" w:cs="Liberation Serif"/>
          <w:color w:val="000000"/>
          <w:sz w:val="16"/>
          <w:szCs w:val="16"/>
          <w:shd w:val="clear" w:color="auto" w:fill="FFFFFF"/>
        </w:rPr>
        <w:t>Chakravorty</w:t>
      </w:r>
      <w:proofErr w:type="spellEnd"/>
      <w:r>
        <w:rPr>
          <w:rFonts w:ascii="Times New Roman" w:eastAsia="Liberation Serif" w:hAnsi="Times New Roman" w:cs="Liberation Serif"/>
          <w:color w:val="000000"/>
          <w:sz w:val="16"/>
          <w:szCs w:val="16"/>
          <w:shd w:val="clear" w:color="auto" w:fill="FFFFFF"/>
        </w:rPr>
        <w:t xml:space="preserve"> Spivak, ‘Scattered speculations on the subaltern and the popular’, </w:t>
      </w:r>
      <w:r>
        <w:rPr>
          <w:rFonts w:ascii="Times New Roman" w:eastAsia="Liberation Serif" w:hAnsi="Times New Roman" w:cs="Liberation Serif"/>
          <w:i/>
          <w:color w:val="000000"/>
          <w:sz w:val="16"/>
          <w:szCs w:val="16"/>
          <w:shd w:val="clear" w:color="auto" w:fill="FFFFFF"/>
        </w:rPr>
        <w:t xml:space="preserve">Postcolonial studies. </w:t>
      </w:r>
    </w:p>
  </w:footnote>
  <w:footnote w:id="8">
    <w:p w:rsidR="0053656A" w:rsidRDefault="00DB3911">
      <w:r>
        <w:rPr>
          <w:rStyle w:val="FootnoteCharacters"/>
        </w:rPr>
        <w:footnoteRef/>
      </w:r>
      <w:r w:rsidR="005D7533">
        <w:rPr>
          <w:rStyle w:val="FootnoteCharacters"/>
        </w:rPr>
        <w:t xml:space="preserve"> </w:t>
      </w:r>
      <w:r>
        <w:rPr>
          <w:rFonts w:ascii="Times New Roman" w:eastAsia="Times New Roman" w:hAnsi="Times New Roman" w:cs="Times New Roman"/>
          <w:color w:val="000000"/>
          <w:sz w:val="16"/>
          <w:szCs w:val="16"/>
        </w:rPr>
        <w:t xml:space="preserve">Judith Butler, </w:t>
      </w:r>
      <w:r>
        <w:rPr>
          <w:rFonts w:eastAsia="Liberation Serif" w:cs="Liberation Serif"/>
          <w:i/>
          <w:color w:val="000000"/>
          <w:sz w:val="16"/>
          <w:szCs w:val="16"/>
          <w:shd w:val="clear" w:color="auto" w:fill="FFFFFF"/>
        </w:rPr>
        <w:t>Note</w:t>
      </w:r>
      <w:r>
        <w:rPr>
          <w:rFonts w:eastAsia="Liberation Serif" w:cs="Liberation Serif"/>
          <w:i/>
          <w:color w:val="000000"/>
          <w:sz w:val="16"/>
          <w:szCs w:val="16"/>
          <w:shd w:val="clear" w:color="auto" w:fill="FFFFFF"/>
        </w:rPr>
        <w:t>s</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Towards</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a</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Performative</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Theory</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of</w:t>
      </w:r>
      <w:r>
        <w:rPr>
          <w:rFonts w:ascii="Arial Hebrew Scholar" w:eastAsia="Arial Hebrew Scholar" w:hAnsi="Arial Hebrew Scholar" w:cs="Arial Hebrew Scholar"/>
          <w:i/>
          <w:color w:val="000000"/>
          <w:sz w:val="16"/>
          <w:szCs w:val="16"/>
          <w:shd w:val="clear" w:color="auto" w:fill="FFFFFF"/>
        </w:rPr>
        <w:t xml:space="preserve"> </w:t>
      </w:r>
      <w:r>
        <w:rPr>
          <w:rFonts w:eastAsia="Liberation Serif" w:cs="Liberation Serif"/>
          <w:i/>
          <w:color w:val="000000"/>
          <w:sz w:val="16"/>
          <w:szCs w:val="16"/>
          <w:shd w:val="clear" w:color="auto" w:fill="FFFFFF"/>
        </w:rPr>
        <w:t xml:space="preserve">Assembly, </w:t>
      </w:r>
      <w:r>
        <w:rPr>
          <w:rFonts w:eastAsia="Liberation Serif" w:cs="Liberation Serif"/>
          <w:color w:val="000000"/>
          <w:sz w:val="16"/>
          <w:szCs w:val="16"/>
          <w:shd w:val="clear" w:color="auto" w:fill="FFFFFF"/>
        </w:rPr>
        <w:t xml:space="preserve">Cambridge, MA: Harvard University Press, 2015, pp 202.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56A" w:rsidRDefault="00DB3911">
    <w:pPr>
      <w:pStyle w:val="Header"/>
    </w:pPr>
    <w:r>
      <w:rPr>
        <w:rFonts w:ascii="Times New Roman" w:hAnsi="Times New Roman"/>
        <w:sz w:val="16"/>
        <w:szCs w:val="16"/>
      </w:rPr>
      <w:fldChar w:fldCharType="begin"/>
    </w:r>
    <w:r>
      <w:rPr>
        <w:rFonts w:ascii="Times New Roman" w:hAnsi="Times New Roman"/>
        <w:sz w:val="16"/>
        <w:szCs w:val="16"/>
      </w:rPr>
      <w:instrText>PAGE</w:instrText>
    </w:r>
    <w:r>
      <w:rPr>
        <w:rFonts w:ascii="Times New Roman" w:hAnsi="Times New Roman"/>
        <w:sz w:val="16"/>
        <w:szCs w:val="16"/>
      </w:rPr>
      <w:fldChar w:fldCharType="separate"/>
    </w:r>
    <w:r>
      <w:rPr>
        <w:rFonts w:ascii="Times New Roman" w:hAnsi="Times New Roman"/>
        <w:sz w:val="16"/>
        <w:szCs w:val="16"/>
      </w:rPr>
      <w:t>3</w:t>
    </w:r>
    <w:r>
      <w:rPr>
        <w:rFonts w:ascii="Times New Roman" w:hAnsi="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56A"/>
    <w:rsid w:val="0053656A"/>
    <w:rsid w:val="005D7533"/>
    <w:rsid w:val="00DB39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17954F"/>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5D7533"/>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StrongEmphasis">
    <w:name w:val="Strong Emphasis"/>
    <w:qFormat/>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pPr>
      <w:suppressLineNumbers/>
      <w:tabs>
        <w:tab w:val="center" w:pos="4819"/>
        <w:tab w:val="right" w:pos="9638"/>
      </w:tabs>
    </w:pPr>
  </w:style>
  <w:style w:type="paragraph" w:styleId="FootnoteText">
    <w:name w:val="footnote text"/>
    <w:basedOn w:val="Normal"/>
    <w:pPr>
      <w:suppressLineNumbers/>
      <w:ind w:left="339" w:hanging="339"/>
    </w:pPr>
    <w:rPr>
      <w:sz w:val="20"/>
      <w:szCs w:val="20"/>
    </w:rPr>
  </w:style>
  <w:style w:type="paragraph" w:customStyle="1" w:styleId="LO-normal">
    <w:name w:val="LO-normal"/>
    <w:qFormat/>
  </w:style>
  <w:style w:type="character" w:customStyle="1" w:styleId="Heading1Char">
    <w:name w:val="Heading 1 Char"/>
    <w:basedOn w:val="DefaultParagraphFont"/>
    <w:link w:val="Heading1"/>
    <w:uiPriority w:val="9"/>
    <w:rsid w:val="005D7533"/>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3</Pages>
  <Words>2300</Words>
  <Characters>13116</Characters>
  <Application>Microsoft Office Word</Application>
  <DocSecurity>0</DocSecurity>
  <Lines>109</Lines>
  <Paragraphs>30</Paragraphs>
  <ScaleCrop>false</ScaleCrop>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13</cp:revision>
  <dcterms:created xsi:type="dcterms:W3CDTF">2020-03-26T17:33:00Z</dcterms:created>
  <dcterms:modified xsi:type="dcterms:W3CDTF">2020-04-06T10:31:00Z</dcterms:modified>
  <dc:language>en-GB</dc:language>
</cp:coreProperties>
</file>