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36D" w:rsidRDefault="009A4564" w:rsidP="009A4564">
      <w:pPr>
        <w:pStyle w:val="Heading1"/>
      </w:pPr>
      <w:r>
        <w:t xml:space="preserve">8. </w:t>
      </w:r>
      <w:r w:rsidR="00D76A44">
        <w:t xml:space="preserve">Revisiting </w:t>
      </w:r>
      <w:r>
        <w:t>t</w:t>
      </w:r>
      <w:r w:rsidR="00D76A44">
        <w:t xml:space="preserve">he Housing Question </w:t>
      </w:r>
    </w:p>
    <w:p w:rsidR="0063036D" w:rsidRDefault="0063036D">
      <w:pPr>
        <w:rPr>
          <w:rFonts w:ascii="Times New Roman" w:eastAsia="Times New Roman" w:hAnsi="Times New Roman" w:cs="Times New Roman"/>
          <w:sz w:val="20"/>
          <w:szCs w:val="20"/>
        </w:rPr>
      </w:pPr>
    </w:p>
    <w:p w:rsidR="0063036D" w:rsidRDefault="00D76A44" w:rsidP="009A4564">
      <w:pPr>
        <w:pStyle w:val="Quote"/>
      </w:pPr>
      <w:r>
        <w:t xml:space="preserve">The breeding places of disease, the infamous holes and cellars in which the capitalist mode of production confines our workers night after night, are not abolished; they are merely shifted elsewhere! The same </w:t>
      </w:r>
      <w:r>
        <w:t>economic necessity that produced them in the first place, produces them in the next plac</w:t>
      </w:r>
      <w:r w:rsidR="009A4564">
        <w:t>e.</w:t>
      </w:r>
      <w:r>
        <w:rPr>
          <w:rStyle w:val="FootnoteAnchor"/>
          <w:rFonts w:ascii="Times New Roman" w:eastAsia="Times New Roman" w:hAnsi="Times New Roman" w:cs="Times New Roman"/>
          <w:sz w:val="20"/>
          <w:szCs w:val="20"/>
        </w:rPr>
        <w:t xml:space="preserve"> </w:t>
      </w:r>
      <w:r w:rsidR="009A4564">
        <w:t xml:space="preserve"> - </w:t>
      </w:r>
      <w:r>
        <w:t xml:space="preserve">F. Engels in The Housing Question, 1872. </w:t>
      </w:r>
    </w:p>
    <w:p w:rsidR="0063036D" w:rsidRDefault="0063036D" w:rsidP="009A4564">
      <w:pPr>
        <w:pStyle w:val="Quote"/>
      </w:pPr>
    </w:p>
    <w:p w:rsidR="0063036D" w:rsidRDefault="00D76A44" w:rsidP="009A4564">
      <w:pPr>
        <w:pStyle w:val="Quote"/>
      </w:pPr>
      <w:r>
        <w:t>I was told about contractual jobs at BSES to take meter readings, and I was assured a position by the cousin sister wh</w:t>
      </w:r>
      <w:r>
        <w:t xml:space="preserve">o also works. I thought, I am going for an interview, I should dress up, and I did! I got matching suit and nail polish, and washed my hair, and put on makeup. However, when the official saw me looking so stunning and realised where I was from, he said in </w:t>
      </w:r>
      <w:r>
        <w:t xml:space="preserve">front of everyone, you are from the Jhuggi </w:t>
      </w:r>
      <w:proofErr w:type="spellStart"/>
      <w:r>
        <w:t>Jhopdi</w:t>
      </w:r>
      <w:proofErr w:type="spellEnd"/>
      <w:r>
        <w:t xml:space="preserve"> colony and want a job, you think you will be selected if you are looking so ‘hi-fi’.</w:t>
      </w:r>
      <w:r w:rsidR="009A4564">
        <w:t xml:space="preserve"> </w:t>
      </w:r>
      <w:r>
        <w:t xml:space="preserve">I felt very humiliated. </w:t>
      </w:r>
      <w:r w:rsidR="009A4564">
        <w:t xml:space="preserve">- </w:t>
      </w:r>
      <w:r>
        <w:t xml:space="preserve">Bharti, long-time resident of the </w:t>
      </w:r>
      <w:proofErr w:type="spellStart"/>
      <w:r>
        <w:t>Ghevra</w:t>
      </w:r>
      <w:proofErr w:type="spellEnd"/>
      <w:r>
        <w:t xml:space="preserve"> JJ Resettlement Colony </w:t>
      </w:r>
    </w:p>
    <w:p w:rsidR="0063036D" w:rsidRDefault="0063036D" w:rsidP="009A4564">
      <w:pPr>
        <w:pStyle w:val="Quote"/>
      </w:pPr>
    </w:p>
    <w:p w:rsidR="0063036D" w:rsidRDefault="00D76A44" w:rsidP="009A4564">
      <w:pPr>
        <w:pStyle w:val="Quote"/>
      </w:pPr>
      <w:r>
        <w:t>We like living here, we have ma</w:t>
      </w:r>
      <w:r>
        <w:t xml:space="preserve">de this settlement what it is, this is our home. It has been for the last 30 </w:t>
      </w:r>
      <w:proofErr w:type="gramStart"/>
      <w:r>
        <w:t>years,</w:t>
      </w:r>
      <w:proofErr w:type="gramEnd"/>
      <w:r>
        <w:t xml:space="preserve"> we all have been part of turning this [spreading her hands around to suggest the settlement at large] into what it is now. We are proud of living here, just don’t call us t</w:t>
      </w:r>
      <w:r>
        <w:t>he bloody jhuggi-</w:t>
      </w:r>
      <w:proofErr w:type="spellStart"/>
      <w:r>
        <w:t>walahs</w:t>
      </w:r>
      <w:proofErr w:type="spellEnd"/>
      <w:r>
        <w:t xml:space="preserve">, slum-dwellers. </w:t>
      </w:r>
      <w:r w:rsidR="009A4564">
        <w:t xml:space="preserve">- </w:t>
      </w:r>
      <w:r>
        <w:t xml:space="preserve">Praveen Bhaaji, long-time resident of </w:t>
      </w:r>
      <w:proofErr w:type="spellStart"/>
      <w:r>
        <w:t>Navjeevan</w:t>
      </w:r>
      <w:proofErr w:type="spellEnd"/>
      <w:r>
        <w:t xml:space="preserve"> Camp, </w:t>
      </w:r>
      <w:proofErr w:type="spellStart"/>
      <w:r>
        <w:t>Govindpuri</w:t>
      </w:r>
      <w:proofErr w:type="spellEnd"/>
      <w:r>
        <w:t xml:space="preserve">. </w:t>
      </w:r>
    </w:p>
    <w:p w:rsidR="0063036D" w:rsidRDefault="0063036D" w:rsidP="009A4564">
      <w:pPr>
        <w:pStyle w:val="Quote"/>
      </w:pPr>
    </w:p>
    <w:p w:rsidR="0063036D" w:rsidRDefault="00D76A44" w:rsidP="009A4564">
      <w:pPr>
        <w:pStyle w:val="Quote"/>
      </w:pPr>
      <w:r>
        <w:t>I often wonder, these apartment-people keep saying move us, they complain about us, call us dirty and drunks, and treat us so badly...but if we are</w:t>
      </w:r>
      <w:r>
        <w:t xml:space="preserve"> not there, who is going to wash their dishes, take care of their babies, do all the bloody menial work for them…</w:t>
      </w:r>
      <w:r w:rsidR="009A4564">
        <w:t xml:space="preserve"> - </w:t>
      </w:r>
      <w:proofErr w:type="spellStart"/>
      <w:r>
        <w:t>Nagma</w:t>
      </w:r>
      <w:proofErr w:type="spellEnd"/>
      <w:r>
        <w:t xml:space="preserve">, long-time resident of </w:t>
      </w:r>
      <w:proofErr w:type="spellStart"/>
      <w:r>
        <w:t>Navjeevan</w:t>
      </w:r>
      <w:proofErr w:type="spellEnd"/>
      <w:r>
        <w:t xml:space="preserve"> Camp, </w:t>
      </w:r>
      <w:proofErr w:type="spellStart"/>
      <w:r>
        <w:t>Govindpuri</w:t>
      </w:r>
      <w:proofErr w:type="spellEnd"/>
      <w:r>
        <w:t xml:space="preserve">. </w:t>
      </w:r>
    </w:p>
    <w:p w:rsidR="0063036D" w:rsidRDefault="0063036D" w:rsidP="009A4564">
      <w:pPr>
        <w:pStyle w:val="Quote"/>
      </w:pPr>
    </w:p>
    <w:p w:rsidR="0063036D" w:rsidRDefault="00D76A44" w:rsidP="009A4564">
      <w:pPr>
        <w:pStyle w:val="Quote"/>
      </w:pPr>
      <w:r>
        <w:t xml:space="preserve">We do not want to have a city with slums </w:t>
      </w:r>
      <w:r w:rsidR="009A4564">
        <w:t>[</w:t>
      </w:r>
      <w:r>
        <w:t>…</w:t>
      </w:r>
      <w:r w:rsidR="009A4564">
        <w:t>]</w:t>
      </w:r>
      <w:r>
        <w:t xml:space="preserve"> We</w:t>
      </w:r>
      <w:r w:rsidR="009A4564">
        <w:t>’</w:t>
      </w:r>
      <w:r>
        <w:t xml:space="preserve">re working toward this goal, which </w:t>
      </w:r>
      <w:r>
        <w:t>is something that has to be achieved both on humanitarian grounds and in terms of beautification of the city. First, slum-dwellers have no place in a modern city and must often be moved so that new infrastructure can be built; second, destroying slums is a</w:t>
      </w:r>
      <w:r>
        <w:t xml:space="preserve"> humane act</w:t>
      </w:r>
      <w:r w:rsidR="009A4564">
        <w:t>.</w:t>
      </w:r>
      <w:r>
        <w:t xml:space="preserve"> </w:t>
      </w:r>
      <w:r w:rsidR="009A4564">
        <w:t xml:space="preserve">- </w:t>
      </w:r>
      <w:r>
        <w:t>Sheila Dixit, former Chief Minister of Delhi, 2002.</w:t>
      </w:r>
      <w:r w:rsidR="009A4564">
        <w:rPr>
          <w:rStyle w:val="FootnoteAnchor"/>
          <w:rFonts w:ascii="Times New Roman" w:eastAsia="Times New Roman" w:hAnsi="Times New Roman" w:cs="Times New Roman"/>
          <w:sz w:val="20"/>
          <w:szCs w:val="20"/>
        </w:rPr>
        <w:footnoteReference w:id="1"/>
      </w:r>
    </w:p>
    <w:p w:rsidR="0063036D" w:rsidRDefault="00D76A44">
      <w:pPr>
        <w:spacing w:before="240" w:after="240"/>
      </w:pPr>
      <w:r>
        <w:rPr>
          <w:rFonts w:ascii="Times New Roman" w:eastAsia="Times New Roman" w:hAnsi="Times New Roman" w:cs="Times New Roman"/>
          <w:sz w:val="20"/>
          <w:szCs w:val="20"/>
        </w:rPr>
        <w:t xml:space="preserve">Reading these evocations in conjunction, it becomes evident that there is an obvious need for new concepts, methodologies and frameworks to capture the complexities of the newer forms of </w:t>
      </w:r>
      <w:r>
        <w:rPr>
          <w:rFonts w:ascii="Times New Roman" w:eastAsia="Times New Roman" w:hAnsi="Times New Roman" w:cs="Times New Roman"/>
          <w:sz w:val="20"/>
          <w:szCs w:val="20"/>
        </w:rPr>
        <w:t>selves, inscriptions of marginalisation and its disenfranchising impact the newer forms of urbanites are producing. The Housing Question in the cities raised by Engels in 1872, at the turn of the century, is still as relevant and urgent, if not more, to en</w:t>
      </w:r>
      <w:r>
        <w:rPr>
          <w:rFonts w:ascii="Times New Roman" w:eastAsia="Times New Roman" w:hAnsi="Times New Roman" w:cs="Times New Roman"/>
          <w:sz w:val="20"/>
          <w:szCs w:val="20"/>
        </w:rPr>
        <w:t xml:space="preserve">sure that both the idea of the city and the </w:t>
      </w:r>
      <w:r>
        <w:rPr>
          <w:rFonts w:ascii="Times New Roman" w:eastAsia="Times New Roman" w:hAnsi="Times New Roman" w:cs="Times New Roman"/>
          <w:sz w:val="20"/>
          <w:szCs w:val="20"/>
        </w:rPr>
        <w:lastRenderedPageBreak/>
        <w:t xml:space="preserve">reality of its experience continue to be sites of transformative resilience and perhaps even propel towards the actualisation of the ‘right to the city’, as called out by </w:t>
      </w:r>
      <w:r w:rsidR="009A4564">
        <w:rPr>
          <w:rFonts w:ascii="Times New Roman" w:eastAsia="Times New Roman" w:hAnsi="Times New Roman" w:cs="Times New Roman"/>
          <w:sz w:val="20"/>
          <w:szCs w:val="20"/>
        </w:rPr>
        <w:t>Lefebvre</w:t>
      </w:r>
      <w:r>
        <w:rPr>
          <w:rFonts w:ascii="Times New Roman" w:eastAsia="Times New Roman" w:hAnsi="Times New Roman" w:cs="Times New Roman"/>
          <w:sz w:val="20"/>
          <w:szCs w:val="20"/>
        </w:rPr>
        <w:t>, at the cornerstone of which i</w:t>
      </w:r>
      <w:r>
        <w:rPr>
          <w:rFonts w:ascii="Times New Roman" w:eastAsia="Times New Roman" w:hAnsi="Times New Roman" w:cs="Times New Roman"/>
          <w:sz w:val="20"/>
          <w:szCs w:val="20"/>
        </w:rPr>
        <w:t>s a highly-evolved sense of participatory and emancipated sense of ‘self’ of the urban citizens, including the urban margins.</w:t>
      </w:r>
    </w:p>
    <w:p w:rsidR="0063036D" w:rsidRDefault="00D76A44">
      <w:pPr>
        <w:spacing w:before="240" w:after="240"/>
      </w:pPr>
      <w:r>
        <w:rPr>
          <w:rFonts w:ascii="Times New Roman" w:eastAsia="Times New Roman" w:hAnsi="Times New Roman" w:cs="Times New Roman"/>
          <w:sz w:val="20"/>
          <w:szCs w:val="20"/>
        </w:rPr>
        <w:t>In The Housing Question, Engels further insists that the significant improvement in the working-class tenements in the 19th centur</w:t>
      </w:r>
      <w:r>
        <w:rPr>
          <w:rFonts w:ascii="Times New Roman" w:eastAsia="Times New Roman" w:hAnsi="Times New Roman" w:cs="Times New Roman"/>
          <w:sz w:val="20"/>
          <w:szCs w:val="20"/>
        </w:rPr>
        <w:t xml:space="preserve">y industrial towns was not on account of making living conditions for this class better, but in fact to allow them just adequate sustenance levels so as to assure their continued contribution to the exploitative processes: </w:t>
      </w:r>
    </w:p>
    <w:p w:rsidR="0063036D" w:rsidRDefault="00D76A44" w:rsidP="009A4564">
      <w:pPr>
        <w:pStyle w:val="Quote"/>
      </w:pPr>
      <w:r>
        <w:t>Capitalist rule cannot allow its</w:t>
      </w:r>
      <w:r>
        <w:t>elf the pleasure of creating epidemic diseases among the working class with impunity; the consequences fall back on it and the angel of death rages in its ranks as ruthlessly as in the ranks of the workers</w:t>
      </w:r>
      <w:r w:rsidR="009A4564">
        <w:t xml:space="preserve"> […] </w:t>
      </w:r>
      <w:r>
        <w:t>As soon as this fact had been scientifically est</w:t>
      </w:r>
      <w:r>
        <w:t>ablished the philanthropic bourgeois began to compete with one another in noble efforts on behalf of the health of their worker</w:t>
      </w:r>
      <w:r>
        <w:t>s</w:t>
      </w:r>
      <w:r w:rsidR="009A4564">
        <w:t>.</w:t>
      </w:r>
      <w:r>
        <w:rPr>
          <w:rStyle w:val="FootnoteAnchor"/>
          <w:rFonts w:ascii="Times New Roman" w:eastAsia="Times New Roman" w:hAnsi="Times New Roman" w:cs="Times New Roman"/>
          <w:i w:val="0"/>
          <w:iCs w:val="0"/>
          <w:sz w:val="20"/>
          <w:szCs w:val="20"/>
        </w:rPr>
        <w:footnoteReference w:id="2"/>
      </w:r>
      <w:r>
        <w:t xml:space="preserve"> </w:t>
      </w:r>
    </w:p>
    <w:p w:rsidR="0063036D" w:rsidRDefault="00D76A44">
      <w:pPr>
        <w:spacing w:before="240" w:after="240"/>
      </w:pPr>
      <w:r>
        <w:rPr>
          <w:rFonts w:ascii="Times New Roman" w:eastAsia="Times New Roman" w:hAnsi="Times New Roman" w:cs="Times New Roman"/>
          <w:sz w:val="20"/>
          <w:szCs w:val="20"/>
        </w:rPr>
        <w:t>Sheila Dixit, who reigned Delhi’s ‘Clean Delhi, Green Delhi’ campaign to put the city on the world map as a ‘world-class city’, particularly towards hosting the Commonwealth Games, 2010, was Delhi’s Chief Minister between 1998-2013. It was during her tenur</w:t>
      </w:r>
      <w:r>
        <w:rPr>
          <w:rFonts w:ascii="Times New Roman" w:eastAsia="Times New Roman" w:hAnsi="Times New Roman" w:cs="Times New Roman"/>
          <w:sz w:val="20"/>
          <w:szCs w:val="20"/>
        </w:rPr>
        <w:t xml:space="preserve">e that the city witnessed the highest number of slum demolitions in the city particularly towards the cleaning drive. Her justification of these demolitions on ‘humanitarian’ grounds resounds with the </w:t>
      </w:r>
      <w:r>
        <w:rPr>
          <w:rFonts w:ascii="Times New Roman" w:eastAsia="Times New Roman" w:hAnsi="Times New Roman" w:cs="Times New Roman"/>
          <w:i/>
          <w:sz w:val="20"/>
          <w:szCs w:val="20"/>
        </w:rPr>
        <w:t xml:space="preserve">‘philanthropic bourgeois’ </w:t>
      </w:r>
      <w:r>
        <w:rPr>
          <w:rFonts w:ascii="Times New Roman" w:eastAsia="Times New Roman" w:hAnsi="Times New Roman" w:cs="Times New Roman"/>
          <w:sz w:val="20"/>
          <w:szCs w:val="20"/>
        </w:rPr>
        <w:t xml:space="preserve">attempts that Engels insists </w:t>
      </w:r>
      <w:r>
        <w:rPr>
          <w:rFonts w:ascii="Times New Roman" w:eastAsia="Times New Roman" w:hAnsi="Times New Roman" w:cs="Times New Roman"/>
          <w:sz w:val="20"/>
          <w:szCs w:val="20"/>
        </w:rPr>
        <w:t xml:space="preserve">on; furthermore, the grander agenda of the ‘beautification of the city’ which justified these demolitions are in alignment of the tendencies highlighted by Engels in 1871 instead of being an aberration. The ‘politics of aesthetics’, </w:t>
      </w:r>
      <w:proofErr w:type="spellStart"/>
      <w:r>
        <w:rPr>
          <w:rFonts w:ascii="Times New Roman" w:eastAsia="Times New Roman" w:hAnsi="Times New Roman" w:cs="Times New Roman"/>
          <w:sz w:val="20"/>
          <w:szCs w:val="20"/>
        </w:rPr>
        <w:t>invisibilizing</w:t>
      </w:r>
      <w:proofErr w:type="spellEnd"/>
      <w:r>
        <w:rPr>
          <w:rFonts w:ascii="Times New Roman" w:eastAsia="Times New Roman" w:hAnsi="Times New Roman" w:cs="Times New Roman"/>
          <w:sz w:val="20"/>
          <w:szCs w:val="20"/>
        </w:rPr>
        <w:t xml:space="preserve"> the unde</w:t>
      </w:r>
      <w:r>
        <w:rPr>
          <w:rFonts w:ascii="Times New Roman" w:eastAsia="Times New Roman" w:hAnsi="Times New Roman" w:cs="Times New Roman"/>
          <w:sz w:val="20"/>
          <w:szCs w:val="20"/>
        </w:rPr>
        <w:t xml:space="preserve">sired bodies and spaces and the disciplining agendas that were subsequently instituted were not a particularity of the Indian neo-liberal urban spaces, post 1991 when the Indian economy was opened, but in fact characteristic of the very mode of production </w:t>
      </w:r>
      <w:r>
        <w:rPr>
          <w:rFonts w:ascii="Times New Roman" w:eastAsia="Times New Roman" w:hAnsi="Times New Roman" w:cs="Times New Roman"/>
          <w:sz w:val="20"/>
          <w:szCs w:val="20"/>
        </w:rPr>
        <w:t xml:space="preserve">of capitalism. </w:t>
      </w:r>
      <w:r>
        <w:rPr>
          <w:rFonts w:ascii="Times New Roman" w:eastAsia="Times New Roman" w:hAnsi="Times New Roman" w:cs="Times New Roman"/>
          <w:sz w:val="20"/>
          <w:szCs w:val="20"/>
        </w:rPr>
        <w:tab/>
      </w:r>
    </w:p>
    <w:p w:rsidR="0063036D" w:rsidRDefault="00D76A44">
      <w:pPr>
        <w:spacing w:before="240" w:after="240"/>
      </w:pPr>
      <w:r>
        <w:rPr>
          <w:rFonts w:ascii="Times New Roman" w:eastAsia="Times New Roman" w:hAnsi="Times New Roman" w:cs="Times New Roman"/>
          <w:sz w:val="20"/>
          <w:szCs w:val="20"/>
        </w:rPr>
        <w:t xml:space="preserve">The body of the slum dweller, or any identified urban marginal group, in the city is considered to inhabit illegal spaces. </w:t>
      </w:r>
      <w:r>
        <w:rPr>
          <w:rFonts w:ascii="Times New Roman" w:eastAsia="Times New Roman" w:hAnsi="Times New Roman" w:cs="Times New Roman"/>
          <w:sz w:val="20"/>
          <w:szCs w:val="20"/>
        </w:rPr>
        <w:t>The notions of a ‘sacrilege centre’ inscribes on the bodies of and from the ‘vulgar margins’. These, in turn, system</w:t>
      </w:r>
      <w:r>
        <w:rPr>
          <w:rFonts w:ascii="Times New Roman" w:eastAsia="Times New Roman" w:hAnsi="Times New Roman" w:cs="Times New Roman"/>
          <w:sz w:val="20"/>
          <w:szCs w:val="20"/>
        </w:rPr>
        <w:t xml:space="preserve">atically produces an anxiety about the ‘peripheral bodies’ in the urban imaginations thus impacting and effecting the entries of these bodies in otherwise reckoned democratic and open spaces. </w:t>
      </w:r>
      <w:r>
        <w:rPr>
          <w:rFonts w:ascii="Times New Roman" w:eastAsia="Times New Roman" w:hAnsi="Times New Roman" w:cs="Times New Roman"/>
          <w:sz w:val="20"/>
          <w:szCs w:val="20"/>
        </w:rPr>
        <w:t>By employing overt, subtle, and insidious strategies, the imagin</w:t>
      </w:r>
      <w:r>
        <w:rPr>
          <w:rFonts w:ascii="Times New Roman" w:eastAsia="Times New Roman" w:hAnsi="Times New Roman" w:cs="Times New Roman"/>
          <w:sz w:val="20"/>
          <w:szCs w:val="20"/>
        </w:rPr>
        <w:t>ed ‘peripheral bodies’ is subjected to civilizing and disciplining agendas. This violence [on these bodies]</w:t>
      </w:r>
      <w:r>
        <w:rPr>
          <w:rFonts w:ascii="Times New Roman" w:eastAsia="Times New Roman" w:hAnsi="Times New Roman" w:cs="Times New Roman"/>
          <w:i/>
          <w:iCs/>
          <w:sz w:val="20"/>
          <w:szCs w:val="20"/>
        </w:rPr>
        <w:t xml:space="preserve"> </w:t>
      </w:r>
      <w:r>
        <w:rPr>
          <w:rFonts w:ascii="Times New Roman" w:eastAsia="Times New Roman" w:hAnsi="Times New Roman" w:cs="Times New Roman"/>
          <w:sz w:val="20"/>
          <w:szCs w:val="20"/>
        </w:rPr>
        <w:t xml:space="preserve">at an everyday level not only limits their agency to negotiate with the urban systems, but also lend to perpetuating and sustaining </w:t>
      </w:r>
      <w:r>
        <w:rPr>
          <w:rFonts w:ascii="Times New Roman" w:eastAsia="Times New Roman" w:hAnsi="Times New Roman" w:cs="Times New Roman"/>
          <w:i/>
          <w:iCs/>
          <w:sz w:val="20"/>
          <w:szCs w:val="20"/>
        </w:rPr>
        <w:t xml:space="preserve">similar </w:t>
      </w:r>
      <w:r>
        <w:rPr>
          <w:rFonts w:ascii="Times New Roman" w:eastAsia="Times New Roman" w:hAnsi="Times New Roman" w:cs="Times New Roman"/>
          <w:sz w:val="20"/>
          <w:szCs w:val="20"/>
        </w:rPr>
        <w:t>body pol</w:t>
      </w:r>
      <w:r>
        <w:rPr>
          <w:rFonts w:ascii="Times New Roman" w:eastAsia="Times New Roman" w:hAnsi="Times New Roman" w:cs="Times New Roman"/>
          <w:sz w:val="20"/>
          <w:szCs w:val="20"/>
        </w:rPr>
        <w:t xml:space="preserve">itic of control and surveillance within their own contexts. And </w:t>
      </w:r>
      <w:proofErr w:type="gramStart"/>
      <w:r>
        <w:rPr>
          <w:rFonts w:ascii="Times New Roman" w:eastAsia="Times New Roman" w:hAnsi="Times New Roman" w:cs="Times New Roman"/>
          <w:sz w:val="20"/>
          <w:szCs w:val="20"/>
        </w:rPr>
        <w:t>thus</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i/>
          <w:iCs/>
          <w:sz w:val="20"/>
          <w:szCs w:val="20"/>
        </w:rPr>
        <w:t>spatial agency</w:t>
      </w:r>
      <w:r>
        <w:rPr>
          <w:rFonts w:ascii="Times New Roman" w:eastAsia="Times New Roman" w:hAnsi="Times New Roman" w:cs="Times New Roman"/>
          <w:sz w:val="20"/>
          <w:szCs w:val="20"/>
        </w:rPr>
        <w:t xml:space="preserve"> as a basic right towards equitable urban futures to calibrate </w:t>
      </w:r>
      <w:r>
        <w:rPr>
          <w:rFonts w:ascii="Times New Roman" w:eastAsia="Times New Roman" w:hAnsi="Times New Roman" w:cs="Times New Roman"/>
          <w:i/>
          <w:iCs/>
          <w:sz w:val="20"/>
          <w:szCs w:val="20"/>
        </w:rPr>
        <w:t xml:space="preserve">space in the city remains un-actualized </w:t>
      </w:r>
      <w:r>
        <w:rPr>
          <w:rFonts w:ascii="Times New Roman" w:eastAsia="Times New Roman" w:hAnsi="Times New Roman" w:cs="Times New Roman"/>
          <w:sz w:val="20"/>
          <w:szCs w:val="20"/>
        </w:rPr>
        <w:t xml:space="preserve">when </w:t>
      </w:r>
      <w:r>
        <w:rPr>
          <w:rFonts w:ascii="Times New Roman" w:eastAsia="Times New Roman" w:hAnsi="Times New Roman" w:cs="Times New Roman"/>
          <w:i/>
          <w:iCs/>
          <w:sz w:val="20"/>
          <w:szCs w:val="20"/>
        </w:rPr>
        <w:t>space of the body</w:t>
      </w:r>
      <w:r>
        <w:rPr>
          <w:rFonts w:ascii="Times New Roman" w:eastAsia="Times New Roman" w:hAnsi="Times New Roman" w:cs="Times New Roman"/>
          <w:sz w:val="20"/>
          <w:szCs w:val="20"/>
        </w:rPr>
        <w:t xml:space="preserve"> – as a fundamental assertion of one’s identity </w:t>
      </w:r>
      <w:r>
        <w:rPr>
          <w:rFonts w:ascii="Times New Roman" w:eastAsia="Times New Roman" w:hAnsi="Times New Roman" w:cs="Times New Roman"/>
          <w:sz w:val="20"/>
          <w:szCs w:val="20"/>
        </w:rPr>
        <w:t xml:space="preserve">in the city – itself becomes ‘heterotopias of deviation’. </w:t>
      </w:r>
    </w:p>
    <w:p w:rsidR="0063036D" w:rsidRDefault="00D76A44">
      <w:pPr>
        <w:spacing w:before="240" w:after="240"/>
      </w:pPr>
      <w:r>
        <w:rPr>
          <w:rFonts w:ascii="Times New Roman" w:eastAsia="Times New Roman" w:hAnsi="Times New Roman" w:cs="Times New Roman"/>
          <w:sz w:val="20"/>
          <w:szCs w:val="20"/>
        </w:rPr>
        <w:t xml:space="preserve">And here, the testimonies of Bharti, Praveen Bhaaji and </w:t>
      </w:r>
      <w:proofErr w:type="spellStart"/>
      <w:r>
        <w:rPr>
          <w:rFonts w:ascii="Times New Roman" w:eastAsia="Times New Roman" w:hAnsi="Times New Roman" w:cs="Times New Roman"/>
          <w:sz w:val="20"/>
          <w:szCs w:val="20"/>
        </w:rPr>
        <w:t>Nagma</w:t>
      </w:r>
      <w:proofErr w:type="spellEnd"/>
      <w:r>
        <w:rPr>
          <w:rFonts w:ascii="Times New Roman" w:eastAsia="Times New Roman" w:hAnsi="Times New Roman" w:cs="Times New Roman"/>
          <w:sz w:val="20"/>
          <w:szCs w:val="20"/>
        </w:rPr>
        <w:t xml:space="preserve">, and similar accounts, which inform my position, further complicates the methodological approaches and interventions in addressing the </w:t>
      </w:r>
      <w:r>
        <w:rPr>
          <w:rFonts w:ascii="Times New Roman" w:eastAsia="Times New Roman" w:hAnsi="Times New Roman" w:cs="Times New Roman"/>
          <w:sz w:val="20"/>
          <w:szCs w:val="20"/>
        </w:rPr>
        <w:t>housing concerns for the urban margins. The predicament of those on the urban margins - the slum dwellers, the residents of the resettlement colonies, the migrants, the homeless - is caught in the cul-de-sac of their bodies’ labour desired for the task tha</w:t>
      </w:r>
      <w:r>
        <w:rPr>
          <w:rFonts w:ascii="Times New Roman" w:eastAsia="Times New Roman" w:hAnsi="Times New Roman" w:cs="Times New Roman"/>
          <w:sz w:val="20"/>
          <w:szCs w:val="20"/>
        </w:rPr>
        <w:t xml:space="preserve">t goes into the ‘beautification of the city’, and in fact in running the meticulous, exploitative machinery of the city, however the presence of these bodies evokes disgust. </w:t>
      </w:r>
      <w:r>
        <w:rPr>
          <w:rFonts w:ascii="Times New Roman" w:eastAsia="Times New Roman" w:hAnsi="Times New Roman" w:cs="Times New Roman"/>
          <w:sz w:val="20"/>
          <w:szCs w:val="20"/>
        </w:rPr>
        <w:t>Thus: the space of the body of those on the urban margins and the body of the spac</w:t>
      </w:r>
      <w:r>
        <w:rPr>
          <w:rFonts w:ascii="Times New Roman" w:eastAsia="Times New Roman" w:hAnsi="Times New Roman" w:cs="Times New Roman"/>
          <w:sz w:val="20"/>
          <w:szCs w:val="20"/>
        </w:rPr>
        <w:t xml:space="preserve">e (by the way of the sight of the slums, the homeless squatters and similar spaces) both are haunted by the spectre </w:t>
      </w:r>
      <w:r>
        <w:rPr>
          <w:rFonts w:ascii="Times New Roman" w:eastAsia="Times New Roman" w:hAnsi="Times New Roman" w:cs="Times New Roman"/>
          <w:sz w:val="20"/>
          <w:szCs w:val="20"/>
        </w:rPr>
        <w:t>of precarity, vulnerability and illegality. Without taking into cognizance the lived experience and realities of the urban poor, the methodo</w:t>
      </w:r>
      <w:r>
        <w:rPr>
          <w:rFonts w:ascii="Times New Roman" w:eastAsia="Times New Roman" w:hAnsi="Times New Roman" w:cs="Times New Roman"/>
          <w:sz w:val="20"/>
          <w:szCs w:val="20"/>
        </w:rPr>
        <w:t xml:space="preserve">logies and approaches informing the housing policies and plans for the same will continually and cyclically endure the fate of Engel’s prediction of being </w:t>
      </w:r>
      <w:r>
        <w:rPr>
          <w:rFonts w:ascii="Times New Roman" w:eastAsia="Times New Roman" w:hAnsi="Times New Roman" w:cs="Times New Roman"/>
          <w:sz w:val="20"/>
          <w:szCs w:val="20"/>
        </w:rPr>
        <w:t>‘merely shifted elsewhere’</w:t>
      </w:r>
      <w:r>
        <w:rPr>
          <w:rFonts w:ascii="Times New Roman" w:eastAsia="Times New Roman" w:hAnsi="Times New Roman" w:cs="Times New Roman"/>
          <w:sz w:val="20"/>
          <w:szCs w:val="20"/>
        </w:rPr>
        <w:t>. Bharti’s testimony from a resettlement colony is but an affirmation of th</w:t>
      </w:r>
      <w:r>
        <w:rPr>
          <w:rFonts w:ascii="Times New Roman" w:eastAsia="Times New Roman" w:hAnsi="Times New Roman" w:cs="Times New Roman"/>
          <w:sz w:val="20"/>
          <w:szCs w:val="20"/>
        </w:rPr>
        <w:t xml:space="preserve">is finding fruition. </w:t>
      </w:r>
    </w:p>
    <w:p w:rsidR="0063036D" w:rsidRDefault="00D76A44">
      <w:r>
        <w:rPr>
          <w:rFonts w:ascii="Times New Roman" w:eastAsia="Times New Roman" w:hAnsi="Times New Roman" w:cs="Times New Roman"/>
          <w:sz w:val="20"/>
          <w:szCs w:val="20"/>
        </w:rPr>
        <w:t>Housing is not merely a matter of infrastructural concern. Particularly for the urban poor who are amongst the most marginalised and precarious constituent groups in the cities, the ease, access and availability of adequate housing is</w:t>
      </w:r>
      <w:r>
        <w:rPr>
          <w:rFonts w:ascii="Times New Roman" w:eastAsia="Times New Roman" w:hAnsi="Times New Roman" w:cs="Times New Roman"/>
          <w:sz w:val="20"/>
          <w:szCs w:val="20"/>
        </w:rPr>
        <w:t xml:space="preserve"> determinant in not only shaping their present but also securing their future and long-term aspirations. The existing approach is limited by the very </w:t>
      </w:r>
      <w:r>
        <w:rPr>
          <w:rFonts w:ascii="Times New Roman" w:eastAsia="Times New Roman" w:hAnsi="Times New Roman" w:cs="Times New Roman"/>
          <w:i/>
          <w:sz w:val="20"/>
          <w:szCs w:val="20"/>
        </w:rPr>
        <w:t xml:space="preserve">limited </w:t>
      </w:r>
      <w:r>
        <w:rPr>
          <w:rFonts w:ascii="Times New Roman" w:eastAsia="Times New Roman" w:hAnsi="Times New Roman" w:cs="Times New Roman"/>
          <w:sz w:val="20"/>
          <w:szCs w:val="20"/>
        </w:rPr>
        <w:t>manner in which it engages with the ‘real housing conditions’ for the</w:t>
      </w:r>
      <w:r>
        <w:rPr>
          <w:rFonts w:ascii="Times New Roman" w:eastAsia="Times New Roman" w:hAnsi="Times New Roman" w:cs="Times New Roman"/>
          <w:sz w:val="20"/>
          <w:szCs w:val="20"/>
        </w:rPr>
        <w:t xml:space="preserve"> in the cities. The future r</w:t>
      </w:r>
      <w:r>
        <w:rPr>
          <w:rFonts w:ascii="Times New Roman" w:eastAsia="Times New Roman" w:hAnsi="Times New Roman" w:cs="Times New Roman"/>
          <w:sz w:val="20"/>
          <w:szCs w:val="20"/>
        </w:rPr>
        <w:t xml:space="preserve">esearch design and focus needs to consider the capacities existing and needed to ensure sustainable, </w:t>
      </w:r>
      <w:proofErr w:type="spellStart"/>
      <w:r>
        <w:rPr>
          <w:rFonts w:ascii="Times New Roman" w:eastAsia="Times New Roman" w:hAnsi="Times New Roman" w:cs="Times New Roman"/>
          <w:sz w:val="20"/>
          <w:szCs w:val="20"/>
        </w:rPr>
        <w:t>livable</w:t>
      </w:r>
      <w:proofErr w:type="spellEnd"/>
      <w:r>
        <w:rPr>
          <w:rFonts w:ascii="Times New Roman" w:eastAsia="Times New Roman" w:hAnsi="Times New Roman" w:cs="Times New Roman"/>
          <w:sz w:val="20"/>
          <w:szCs w:val="20"/>
        </w:rPr>
        <w:t xml:space="preserve"> futures (with focus on housing demands/needs/conditions) in the city among the urban poor.  And the manner in which housing issues impact not only </w:t>
      </w:r>
      <w:r>
        <w:rPr>
          <w:rFonts w:ascii="Times New Roman" w:eastAsia="Times New Roman" w:hAnsi="Times New Roman" w:cs="Times New Roman"/>
          <w:sz w:val="20"/>
          <w:szCs w:val="20"/>
        </w:rPr>
        <w:t xml:space="preserve">the present but also actualisation of future aspirations for the informal sector in the workers. One of the </w:t>
      </w:r>
      <w:proofErr w:type="gramStart"/>
      <w:r>
        <w:rPr>
          <w:rFonts w:ascii="Times New Roman" w:eastAsia="Times New Roman" w:hAnsi="Times New Roman" w:cs="Times New Roman"/>
          <w:sz w:val="20"/>
          <w:szCs w:val="20"/>
        </w:rPr>
        <w:t>key</w:t>
      </w:r>
      <w:r w:rsidR="009A456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ways</w:t>
      </w:r>
      <w:proofErr w:type="gramEnd"/>
      <w:r>
        <w:rPr>
          <w:rFonts w:ascii="Times New Roman" w:eastAsia="Times New Roman" w:hAnsi="Times New Roman" w:cs="Times New Roman"/>
          <w:sz w:val="20"/>
          <w:szCs w:val="20"/>
        </w:rPr>
        <w:t xml:space="preserve"> in which these research can contribute to policy discussions is by generating data sets, insights and understandings to </w:t>
      </w:r>
      <w:r>
        <w:rPr>
          <w:rFonts w:ascii="Times New Roman" w:eastAsia="Times New Roman" w:hAnsi="Times New Roman" w:cs="Times New Roman"/>
          <w:sz w:val="20"/>
          <w:szCs w:val="20"/>
        </w:rPr>
        <w:lastRenderedPageBreak/>
        <w:t>inform and define p</w:t>
      </w:r>
      <w:r>
        <w:rPr>
          <w:rFonts w:ascii="Times New Roman" w:eastAsia="Times New Roman" w:hAnsi="Times New Roman" w:cs="Times New Roman"/>
          <w:sz w:val="20"/>
          <w:szCs w:val="20"/>
        </w:rPr>
        <w:t>arameters for what ‘</w:t>
      </w:r>
      <w:proofErr w:type="spellStart"/>
      <w:r>
        <w:rPr>
          <w:rFonts w:ascii="Times New Roman" w:eastAsia="Times New Roman" w:hAnsi="Times New Roman" w:cs="Times New Roman"/>
          <w:sz w:val="20"/>
          <w:szCs w:val="20"/>
        </w:rPr>
        <w:t>livable</w:t>
      </w:r>
      <w:proofErr w:type="spellEnd"/>
      <w:r>
        <w:rPr>
          <w:rFonts w:ascii="Times New Roman" w:eastAsia="Times New Roman" w:hAnsi="Times New Roman" w:cs="Times New Roman"/>
          <w:sz w:val="20"/>
          <w:szCs w:val="20"/>
        </w:rPr>
        <w:t xml:space="preserve"> and inclusive’ cities for this constituent section of the population in the city means. A </w:t>
      </w:r>
      <w:proofErr w:type="gramStart"/>
      <w:r>
        <w:rPr>
          <w:rFonts w:ascii="Times New Roman" w:eastAsia="Times New Roman" w:hAnsi="Times New Roman" w:cs="Times New Roman"/>
          <w:sz w:val="20"/>
          <w:szCs w:val="20"/>
        </w:rPr>
        <w:t>key lacunae</w:t>
      </w:r>
      <w:proofErr w:type="gramEnd"/>
      <w:r>
        <w:rPr>
          <w:rFonts w:ascii="Times New Roman" w:eastAsia="Times New Roman" w:hAnsi="Times New Roman" w:cs="Times New Roman"/>
          <w:sz w:val="20"/>
          <w:szCs w:val="20"/>
        </w:rPr>
        <w:t xml:space="preserve"> in understanding the ‘</w:t>
      </w:r>
      <w:proofErr w:type="spellStart"/>
      <w:r>
        <w:rPr>
          <w:rFonts w:ascii="Times New Roman" w:eastAsia="Times New Roman" w:hAnsi="Times New Roman" w:cs="Times New Roman"/>
          <w:sz w:val="20"/>
          <w:szCs w:val="20"/>
        </w:rPr>
        <w:t>livability</w:t>
      </w:r>
      <w:proofErr w:type="spellEnd"/>
      <w:r>
        <w:rPr>
          <w:rFonts w:ascii="Times New Roman" w:eastAsia="Times New Roman" w:hAnsi="Times New Roman" w:cs="Times New Roman"/>
          <w:sz w:val="20"/>
          <w:szCs w:val="20"/>
        </w:rPr>
        <w:t>’ for the urban poor is the lack of, or very limited, insights available to capture the overal</w:t>
      </w:r>
      <w:r>
        <w:rPr>
          <w:rFonts w:ascii="Times New Roman" w:eastAsia="Times New Roman" w:hAnsi="Times New Roman" w:cs="Times New Roman"/>
          <w:sz w:val="20"/>
          <w:szCs w:val="20"/>
        </w:rPr>
        <w:t>l ‘</w:t>
      </w:r>
      <w:r w:rsidR="009A4564">
        <w:rPr>
          <w:rFonts w:ascii="Times New Roman" w:eastAsia="Times New Roman" w:hAnsi="Times New Roman" w:cs="Times New Roman"/>
          <w:sz w:val="20"/>
          <w:szCs w:val="20"/>
        </w:rPr>
        <w:t>well-being</w:t>
      </w:r>
      <w:r>
        <w:rPr>
          <w:rFonts w:ascii="Times New Roman" w:eastAsia="Times New Roman" w:hAnsi="Times New Roman" w:cs="Times New Roman"/>
          <w:sz w:val="20"/>
          <w:szCs w:val="20"/>
        </w:rPr>
        <w:t xml:space="preserve">’ - social, cultural, psychological - encountered by the urban poor as articulated by themselves. </w:t>
      </w:r>
    </w:p>
    <w:p w:rsidR="0063036D" w:rsidRDefault="00D76A44">
      <w:pPr>
        <w:spacing w:before="240" w:after="240"/>
      </w:pPr>
      <w:r>
        <w:rPr>
          <w:rFonts w:ascii="Times New Roman" w:eastAsia="Times New Roman" w:hAnsi="Times New Roman" w:cs="Times New Roman"/>
          <w:sz w:val="20"/>
          <w:szCs w:val="20"/>
        </w:rPr>
        <w:t>The lived experiences of the urban poor, more often than not, fail to find way into policy framing and considerations. The fault line lies not so much in the ‘intentions’ but the methodological and conceptual approaches which inform these studies. In my do</w:t>
      </w:r>
      <w:r>
        <w:rPr>
          <w:rFonts w:ascii="Times New Roman" w:eastAsia="Times New Roman" w:hAnsi="Times New Roman" w:cs="Times New Roman"/>
          <w:sz w:val="20"/>
          <w:szCs w:val="20"/>
        </w:rPr>
        <w:t xml:space="preserve">ctoral thesis, drawing on a five-year long ethnographic research in the </w:t>
      </w:r>
      <w:proofErr w:type="spellStart"/>
      <w:r>
        <w:rPr>
          <w:rFonts w:ascii="Times New Roman" w:eastAsia="Times New Roman" w:hAnsi="Times New Roman" w:cs="Times New Roman"/>
          <w:sz w:val="20"/>
          <w:szCs w:val="20"/>
        </w:rPr>
        <w:t>Govindpuri</w:t>
      </w:r>
      <w:proofErr w:type="spellEnd"/>
      <w:r>
        <w:rPr>
          <w:rFonts w:ascii="Times New Roman" w:eastAsia="Times New Roman" w:hAnsi="Times New Roman" w:cs="Times New Roman"/>
          <w:sz w:val="20"/>
          <w:szCs w:val="20"/>
        </w:rPr>
        <w:t xml:space="preserve"> slums, I proposed </w:t>
      </w:r>
      <w:r>
        <w:rPr>
          <w:rFonts w:ascii="Times New Roman" w:eastAsia="Times New Roman" w:hAnsi="Times New Roman" w:cs="Times New Roman"/>
          <w:i/>
          <w:sz w:val="20"/>
          <w:szCs w:val="20"/>
        </w:rPr>
        <w:t xml:space="preserve">listening </w:t>
      </w:r>
      <w:r>
        <w:rPr>
          <w:rFonts w:ascii="Times New Roman" w:eastAsia="Times New Roman" w:hAnsi="Times New Roman" w:cs="Times New Roman"/>
          <w:sz w:val="20"/>
          <w:szCs w:val="20"/>
        </w:rPr>
        <w:t>as a methodological intervention to engage with the everyday negotiations of its residents. It recounts the experiences and encounters of the slu</w:t>
      </w:r>
      <w:r>
        <w:rPr>
          <w:rFonts w:ascii="Times New Roman" w:eastAsia="Times New Roman" w:hAnsi="Times New Roman" w:cs="Times New Roman"/>
          <w:sz w:val="20"/>
          <w:szCs w:val="20"/>
        </w:rPr>
        <w:t xml:space="preserve">m-dwellers in relation to the space they inhabit. The fulcrum to engage with these narratives was the practice of </w:t>
      </w:r>
      <w:r>
        <w:rPr>
          <w:rFonts w:ascii="Times New Roman" w:eastAsia="Times New Roman" w:hAnsi="Times New Roman" w:cs="Times New Roman"/>
          <w:i/>
          <w:sz w:val="20"/>
          <w:szCs w:val="20"/>
        </w:rPr>
        <w:t>listening</w:t>
      </w:r>
      <w:r>
        <w:rPr>
          <w:rFonts w:ascii="Times New Roman" w:eastAsia="Times New Roman" w:hAnsi="Times New Roman" w:cs="Times New Roman"/>
          <w:sz w:val="20"/>
          <w:szCs w:val="20"/>
        </w:rPr>
        <w:t xml:space="preserve">, privileging what, how, when and why the slum-dwellers listen in and into. The matter of agreeing upon </w:t>
      </w:r>
      <w:r>
        <w:rPr>
          <w:rFonts w:ascii="Times New Roman" w:eastAsia="Times New Roman" w:hAnsi="Times New Roman" w:cs="Times New Roman"/>
          <w:i/>
          <w:sz w:val="20"/>
          <w:szCs w:val="20"/>
        </w:rPr>
        <w:t>listening(s)</w:t>
      </w:r>
      <w:r>
        <w:rPr>
          <w:rFonts w:ascii="Times New Roman" w:eastAsia="Times New Roman" w:hAnsi="Times New Roman" w:cs="Times New Roman"/>
          <w:sz w:val="20"/>
          <w:szCs w:val="20"/>
        </w:rPr>
        <w:t xml:space="preserve"> as a </w:t>
      </w:r>
      <w:proofErr w:type="spellStart"/>
      <w:r>
        <w:rPr>
          <w:rFonts w:ascii="Times New Roman" w:eastAsia="Times New Roman" w:hAnsi="Times New Roman" w:cs="Times New Roman"/>
          <w:sz w:val="20"/>
          <w:szCs w:val="20"/>
        </w:rPr>
        <w:t>trope</w:t>
      </w:r>
      <w:proofErr w:type="spellEnd"/>
      <w:r>
        <w:rPr>
          <w:rFonts w:ascii="Times New Roman" w:eastAsia="Times New Roman" w:hAnsi="Times New Roman" w:cs="Times New Roman"/>
          <w:sz w:val="20"/>
          <w:szCs w:val="20"/>
        </w:rPr>
        <w:t xml:space="preserve"> of en</w:t>
      </w:r>
      <w:r>
        <w:rPr>
          <w:rFonts w:ascii="Times New Roman" w:eastAsia="Times New Roman" w:hAnsi="Times New Roman" w:cs="Times New Roman"/>
          <w:sz w:val="20"/>
          <w:szCs w:val="20"/>
        </w:rPr>
        <w:t>gagement with the slum-dwellers about their everyday was not intentional and strategic; instead whilst 'hanging around' the slums the intent, urgency and anxiety amongst the residents to articulate their sense of selves employing their own referential voca</w:t>
      </w:r>
      <w:r>
        <w:rPr>
          <w:rFonts w:ascii="Times New Roman" w:eastAsia="Times New Roman" w:hAnsi="Times New Roman" w:cs="Times New Roman"/>
          <w:sz w:val="20"/>
          <w:szCs w:val="20"/>
        </w:rPr>
        <w:t xml:space="preserve">bulary was realised in their listening practices. </w:t>
      </w:r>
    </w:p>
    <w:p w:rsidR="0063036D" w:rsidRDefault="00D76A44">
      <w:pPr>
        <w:spacing w:before="240" w:after="240"/>
      </w:pPr>
      <w:r>
        <w:rPr>
          <w:rFonts w:ascii="Times New Roman" w:eastAsia="Times New Roman" w:hAnsi="Times New Roman" w:cs="Times New Roman"/>
          <w:sz w:val="20"/>
          <w:szCs w:val="20"/>
        </w:rPr>
        <w:t xml:space="preserve">In my doctoral thesis, drawing on a five-year long ethnographic research in the </w:t>
      </w:r>
      <w:proofErr w:type="spellStart"/>
      <w:r>
        <w:rPr>
          <w:rFonts w:ascii="Times New Roman" w:eastAsia="Times New Roman" w:hAnsi="Times New Roman" w:cs="Times New Roman"/>
          <w:sz w:val="20"/>
          <w:szCs w:val="20"/>
        </w:rPr>
        <w:t>Govindpuri</w:t>
      </w:r>
      <w:proofErr w:type="spellEnd"/>
      <w:r>
        <w:rPr>
          <w:rFonts w:ascii="Times New Roman" w:eastAsia="Times New Roman" w:hAnsi="Times New Roman" w:cs="Times New Roman"/>
          <w:sz w:val="20"/>
          <w:szCs w:val="20"/>
        </w:rPr>
        <w:t xml:space="preserve"> slums, I proposed </w:t>
      </w:r>
      <w:r>
        <w:rPr>
          <w:rFonts w:ascii="Times New Roman" w:eastAsia="Times New Roman" w:hAnsi="Times New Roman" w:cs="Times New Roman"/>
          <w:i/>
          <w:sz w:val="20"/>
          <w:szCs w:val="20"/>
        </w:rPr>
        <w:t xml:space="preserve">listening </w:t>
      </w:r>
      <w:r>
        <w:rPr>
          <w:rFonts w:ascii="Times New Roman" w:eastAsia="Times New Roman" w:hAnsi="Times New Roman" w:cs="Times New Roman"/>
          <w:sz w:val="20"/>
          <w:szCs w:val="20"/>
        </w:rPr>
        <w:t>as a methodological intervention to engage with the everyday negotiations of its resid</w:t>
      </w:r>
      <w:r>
        <w:rPr>
          <w:rFonts w:ascii="Times New Roman" w:eastAsia="Times New Roman" w:hAnsi="Times New Roman" w:cs="Times New Roman"/>
          <w:sz w:val="20"/>
          <w:szCs w:val="20"/>
        </w:rPr>
        <w:t xml:space="preserve">ents. It recounts the experiences and encounters of the slum-dwellers in relation to the space they inhabit. The fulcrum to engage with these narratives was the practice of </w:t>
      </w:r>
      <w:r>
        <w:rPr>
          <w:rFonts w:ascii="Times New Roman" w:eastAsia="Times New Roman" w:hAnsi="Times New Roman" w:cs="Times New Roman"/>
          <w:i/>
          <w:sz w:val="20"/>
          <w:szCs w:val="20"/>
        </w:rPr>
        <w:t>listening</w:t>
      </w:r>
      <w:r>
        <w:rPr>
          <w:rFonts w:ascii="Times New Roman" w:eastAsia="Times New Roman" w:hAnsi="Times New Roman" w:cs="Times New Roman"/>
          <w:sz w:val="20"/>
          <w:szCs w:val="20"/>
        </w:rPr>
        <w:t>, privileging what, how, when and why the slum-dwellers listen in and into</w:t>
      </w:r>
      <w:r>
        <w:rPr>
          <w:rFonts w:ascii="Times New Roman" w:eastAsia="Times New Roman" w:hAnsi="Times New Roman" w:cs="Times New Roman"/>
          <w:sz w:val="20"/>
          <w:szCs w:val="20"/>
        </w:rPr>
        <w:t xml:space="preserve">. The matter of agreeing upon </w:t>
      </w:r>
      <w:r>
        <w:rPr>
          <w:rFonts w:ascii="Times New Roman" w:eastAsia="Times New Roman" w:hAnsi="Times New Roman" w:cs="Times New Roman"/>
          <w:i/>
          <w:sz w:val="20"/>
          <w:szCs w:val="20"/>
        </w:rPr>
        <w:t>listening(s)</w:t>
      </w:r>
      <w:r>
        <w:rPr>
          <w:rFonts w:ascii="Times New Roman" w:eastAsia="Times New Roman" w:hAnsi="Times New Roman" w:cs="Times New Roman"/>
          <w:sz w:val="20"/>
          <w:szCs w:val="20"/>
        </w:rPr>
        <w:t xml:space="preserve"> as a </w:t>
      </w:r>
      <w:proofErr w:type="spellStart"/>
      <w:r>
        <w:rPr>
          <w:rFonts w:ascii="Times New Roman" w:eastAsia="Times New Roman" w:hAnsi="Times New Roman" w:cs="Times New Roman"/>
          <w:sz w:val="20"/>
          <w:szCs w:val="20"/>
        </w:rPr>
        <w:t>trope</w:t>
      </w:r>
      <w:proofErr w:type="spellEnd"/>
      <w:r>
        <w:rPr>
          <w:rFonts w:ascii="Times New Roman" w:eastAsia="Times New Roman" w:hAnsi="Times New Roman" w:cs="Times New Roman"/>
          <w:sz w:val="20"/>
          <w:szCs w:val="20"/>
        </w:rPr>
        <w:t xml:space="preserve"> of engagement with the slum-dwellers about their everyday was not intentional and strategic; instead whilst 'hanging around' the slums the intent, urgency and anxiety amongst the residents to articulate their sense of selves employing their own</w:t>
      </w:r>
      <w:r>
        <w:rPr>
          <w:rFonts w:ascii="Times New Roman" w:eastAsia="Times New Roman" w:hAnsi="Times New Roman" w:cs="Times New Roman"/>
          <w:sz w:val="20"/>
          <w:szCs w:val="20"/>
        </w:rPr>
        <w:t xml:space="preserve"> referential vocabulary was realised in their listening practices. </w:t>
      </w:r>
    </w:p>
    <w:p w:rsidR="0063036D" w:rsidRDefault="00D76A44">
      <w:pPr>
        <w:widowControl w:val="0"/>
      </w:pPr>
      <w:r>
        <w:rPr>
          <w:rFonts w:ascii="Times New Roman" w:eastAsia="Times New Roman" w:hAnsi="Times New Roman" w:cs="Times New Roman"/>
          <w:sz w:val="20"/>
          <w:szCs w:val="20"/>
        </w:rPr>
        <w:t xml:space="preserve">In that sense: in my research I was not only keen on what the residents of the slums were </w:t>
      </w:r>
      <w:r>
        <w:rPr>
          <w:rFonts w:ascii="Times New Roman" w:eastAsia="Times New Roman" w:hAnsi="Times New Roman" w:cs="Times New Roman"/>
          <w:i/>
          <w:sz w:val="20"/>
          <w:szCs w:val="20"/>
        </w:rPr>
        <w:t xml:space="preserve">listening into, </w:t>
      </w:r>
      <w:r>
        <w:rPr>
          <w:rFonts w:ascii="Times New Roman" w:eastAsia="Times New Roman" w:hAnsi="Times New Roman" w:cs="Times New Roman"/>
          <w:sz w:val="20"/>
          <w:szCs w:val="20"/>
        </w:rPr>
        <w:t>but also – both as a methodological and political position – to privilege the ‘ear</w:t>
      </w:r>
      <w:r>
        <w:rPr>
          <w:rFonts w:ascii="Times New Roman" w:eastAsia="Times New Roman" w:hAnsi="Times New Roman" w:cs="Times New Roman"/>
          <w:sz w:val="20"/>
          <w:szCs w:val="20"/>
        </w:rPr>
        <w:t xml:space="preserve">s’ of the slum-dwellers. </w:t>
      </w:r>
    </w:p>
    <w:p w:rsidR="0063036D" w:rsidRDefault="0063036D">
      <w:pPr>
        <w:widowControl w:val="0"/>
        <w:rPr>
          <w:rFonts w:ascii="Times New Roman" w:eastAsia="Times New Roman" w:hAnsi="Times New Roman" w:cs="Times New Roman"/>
          <w:sz w:val="20"/>
          <w:szCs w:val="20"/>
        </w:rPr>
      </w:pPr>
    </w:p>
    <w:p w:rsidR="0063036D" w:rsidRDefault="00D76A44">
      <w:pPr>
        <w:widowControl w:val="0"/>
      </w:pPr>
      <w:r>
        <w:rPr>
          <w:rFonts w:ascii="Times New Roman" w:eastAsia="Times New Roman" w:hAnsi="Times New Roman" w:cs="Times New Roman"/>
          <w:sz w:val="20"/>
          <w:szCs w:val="20"/>
        </w:rPr>
        <w:t xml:space="preserve">These </w:t>
      </w:r>
      <w:r>
        <w:rPr>
          <w:rFonts w:ascii="Times New Roman" w:eastAsia="Times New Roman" w:hAnsi="Times New Roman" w:cs="Times New Roman"/>
          <w:i/>
          <w:sz w:val="20"/>
          <w:szCs w:val="20"/>
        </w:rPr>
        <w:t xml:space="preserve">listening(s) </w:t>
      </w:r>
      <w:r>
        <w:rPr>
          <w:rFonts w:ascii="Times New Roman" w:eastAsia="Times New Roman" w:hAnsi="Times New Roman" w:cs="Times New Roman"/>
          <w:sz w:val="20"/>
          <w:szCs w:val="20"/>
        </w:rPr>
        <w:t>of the slum-dwellers into their everyday practices also allowed insights into the wider social, cultural, spatial, emotional, sensorial and political cosmos of the slum. The importance is exaggerated as these i</w:t>
      </w:r>
      <w:r>
        <w:rPr>
          <w:rFonts w:ascii="Times New Roman" w:eastAsia="Times New Roman" w:hAnsi="Times New Roman" w:cs="Times New Roman"/>
          <w:sz w:val="20"/>
          <w:szCs w:val="20"/>
        </w:rPr>
        <w:t xml:space="preserve">nsights about the slum-dwellers rarely find their way into the official </w:t>
      </w:r>
      <w:proofErr w:type="spellStart"/>
      <w:r>
        <w:rPr>
          <w:rFonts w:ascii="Times New Roman" w:eastAsia="Times New Roman" w:hAnsi="Times New Roman" w:cs="Times New Roman"/>
          <w:i/>
          <w:sz w:val="20"/>
          <w:szCs w:val="20"/>
        </w:rPr>
        <w:t>sarkari</w:t>
      </w:r>
      <w:proofErr w:type="spellEnd"/>
      <w:r>
        <w:rPr>
          <w:rFonts w:ascii="Times New Roman" w:eastAsia="Times New Roman" w:hAnsi="Times New Roman" w:cs="Times New Roman"/>
          <w:i/>
          <w:sz w:val="20"/>
          <w:szCs w:val="20"/>
        </w:rPr>
        <w:t xml:space="preserve"> or </w:t>
      </w:r>
      <w:r>
        <w:rPr>
          <w:rFonts w:ascii="Times New Roman" w:eastAsia="Times New Roman" w:hAnsi="Times New Roman" w:cs="Times New Roman"/>
          <w:sz w:val="20"/>
          <w:szCs w:val="20"/>
        </w:rPr>
        <w:t xml:space="preserve">bureaucratic records. The </w:t>
      </w:r>
      <w:r>
        <w:rPr>
          <w:rFonts w:ascii="Times New Roman" w:eastAsia="Times New Roman" w:hAnsi="Times New Roman" w:cs="Times New Roman"/>
          <w:i/>
          <w:sz w:val="20"/>
          <w:szCs w:val="20"/>
        </w:rPr>
        <w:t>listening(s)</w:t>
      </w:r>
      <w:r>
        <w:rPr>
          <w:rFonts w:ascii="Times New Roman" w:eastAsia="Times New Roman" w:hAnsi="Times New Roman" w:cs="Times New Roman"/>
          <w:sz w:val="20"/>
          <w:szCs w:val="20"/>
        </w:rPr>
        <w:t xml:space="preserve"> of the slum-dwellers then not only complements the readings of the official records but also complicates them. It does so by inserting</w:t>
      </w:r>
      <w:r>
        <w:rPr>
          <w:rFonts w:ascii="Times New Roman" w:eastAsia="Times New Roman" w:hAnsi="Times New Roman" w:cs="Times New Roman"/>
          <w:sz w:val="20"/>
          <w:szCs w:val="20"/>
        </w:rPr>
        <w:t xml:space="preserve"> and amplifying the </w:t>
      </w:r>
      <w:r>
        <w:rPr>
          <w:rFonts w:ascii="Times New Roman" w:eastAsia="Times New Roman" w:hAnsi="Times New Roman" w:cs="Times New Roman"/>
          <w:i/>
          <w:sz w:val="20"/>
          <w:szCs w:val="20"/>
        </w:rPr>
        <w:t>voice</w:t>
      </w:r>
      <w:r>
        <w:rPr>
          <w:rFonts w:ascii="Times New Roman" w:eastAsia="Times New Roman" w:hAnsi="Times New Roman" w:cs="Times New Roman"/>
          <w:sz w:val="20"/>
          <w:szCs w:val="20"/>
        </w:rPr>
        <w:t xml:space="preserve"> of the marginalized, disenfranchised poor by considering and recognizing their position in the city, its broader urban planning policies and socio-cultural fabrics, as actualized, appropriated and critiqued by them. Insisting on t</w:t>
      </w:r>
      <w:r>
        <w:rPr>
          <w:rFonts w:ascii="Times New Roman" w:eastAsia="Times New Roman" w:hAnsi="Times New Roman" w:cs="Times New Roman"/>
          <w:sz w:val="20"/>
          <w:szCs w:val="20"/>
        </w:rPr>
        <w:t xml:space="preserve">hese </w:t>
      </w:r>
      <w:r>
        <w:rPr>
          <w:rFonts w:ascii="Times New Roman" w:eastAsia="Times New Roman" w:hAnsi="Times New Roman" w:cs="Times New Roman"/>
          <w:i/>
          <w:sz w:val="20"/>
          <w:szCs w:val="20"/>
        </w:rPr>
        <w:t xml:space="preserve">listening(s) </w:t>
      </w:r>
      <w:r>
        <w:rPr>
          <w:rFonts w:ascii="Times New Roman" w:eastAsia="Times New Roman" w:hAnsi="Times New Roman" w:cs="Times New Roman"/>
          <w:sz w:val="20"/>
          <w:szCs w:val="20"/>
        </w:rPr>
        <w:t xml:space="preserve">also lends to a broader political mandate by extending a self-reflexive agency to the slum-dwellers, allowing them a platform to comment on what they make of </w:t>
      </w:r>
      <w:r>
        <w:rPr>
          <w:rFonts w:ascii="Times New Roman" w:eastAsia="Times New Roman" w:hAnsi="Times New Roman" w:cs="Times New Roman"/>
          <w:i/>
          <w:sz w:val="20"/>
          <w:szCs w:val="20"/>
        </w:rPr>
        <w:t xml:space="preserve">what </w:t>
      </w:r>
      <w:r>
        <w:rPr>
          <w:rFonts w:ascii="Times New Roman" w:eastAsia="Times New Roman" w:hAnsi="Times New Roman" w:cs="Times New Roman"/>
          <w:sz w:val="20"/>
          <w:szCs w:val="20"/>
        </w:rPr>
        <w:t>(by which I mean policies, popular middle-class imaginations, public discou</w:t>
      </w:r>
      <w:r>
        <w:rPr>
          <w:rFonts w:ascii="Times New Roman" w:eastAsia="Times New Roman" w:hAnsi="Times New Roman" w:cs="Times New Roman"/>
          <w:sz w:val="20"/>
          <w:szCs w:val="20"/>
        </w:rPr>
        <w:t xml:space="preserve">rse) is done to them. In short, whilst we know enough about what is done to the urban poor, these </w:t>
      </w:r>
      <w:r>
        <w:rPr>
          <w:rFonts w:ascii="Times New Roman" w:eastAsia="Times New Roman" w:hAnsi="Times New Roman" w:cs="Times New Roman"/>
          <w:i/>
          <w:sz w:val="20"/>
          <w:szCs w:val="20"/>
        </w:rPr>
        <w:t xml:space="preserve">listening(s) </w:t>
      </w:r>
      <w:r>
        <w:rPr>
          <w:rFonts w:ascii="Times New Roman" w:eastAsia="Times New Roman" w:hAnsi="Times New Roman" w:cs="Times New Roman"/>
          <w:b/>
          <w:sz w:val="20"/>
          <w:szCs w:val="20"/>
        </w:rPr>
        <w:t>in fact</w:t>
      </w:r>
      <w:r>
        <w:rPr>
          <w:rFonts w:ascii="Times New Roman" w:eastAsia="Times New Roman" w:hAnsi="Times New Roman" w:cs="Times New Roman"/>
          <w:sz w:val="20"/>
          <w:szCs w:val="20"/>
        </w:rPr>
        <w:t xml:space="preserve"> allow us to hear into what the urban poor do about what is done to them. The importance of these </w:t>
      </w:r>
      <w:r>
        <w:rPr>
          <w:rFonts w:ascii="Times New Roman" w:eastAsia="Times New Roman" w:hAnsi="Times New Roman" w:cs="Times New Roman"/>
          <w:i/>
          <w:sz w:val="20"/>
          <w:szCs w:val="20"/>
        </w:rPr>
        <w:t xml:space="preserve">listening(s) </w:t>
      </w:r>
      <w:r>
        <w:rPr>
          <w:rFonts w:ascii="Times New Roman" w:eastAsia="Times New Roman" w:hAnsi="Times New Roman" w:cs="Times New Roman"/>
          <w:sz w:val="20"/>
          <w:szCs w:val="20"/>
        </w:rPr>
        <w:t>is paramount in extending a</w:t>
      </w:r>
      <w:r>
        <w:rPr>
          <w:rFonts w:ascii="Times New Roman" w:eastAsia="Times New Roman" w:hAnsi="Times New Roman" w:cs="Times New Roman"/>
          <w:sz w:val="20"/>
          <w:szCs w:val="20"/>
        </w:rPr>
        <w:t xml:space="preserve"> ‘voice’ to the marginalized to identify and articulate their own demands depending on the lived experiences which continually expose their vulnerability of systemic, structural and immediate concerns. </w:t>
      </w:r>
    </w:p>
    <w:p w:rsidR="0063036D" w:rsidRDefault="0063036D">
      <w:pPr>
        <w:widowControl w:val="0"/>
        <w:rPr>
          <w:rFonts w:ascii="Times New Roman" w:eastAsia="Times New Roman" w:hAnsi="Times New Roman" w:cs="Times New Roman"/>
          <w:sz w:val="20"/>
          <w:szCs w:val="20"/>
        </w:rPr>
      </w:pPr>
    </w:p>
    <w:p w:rsidR="0063036D" w:rsidRDefault="00D76A44">
      <w:r>
        <w:rPr>
          <w:rFonts w:ascii="Times New Roman" w:eastAsia="Times New Roman" w:hAnsi="Times New Roman" w:cs="Times New Roman"/>
          <w:sz w:val="20"/>
          <w:szCs w:val="20"/>
        </w:rPr>
        <w:t>The methodological framework of listening allows for</w:t>
      </w:r>
      <w:r>
        <w:rPr>
          <w:rFonts w:ascii="Times New Roman" w:eastAsia="Times New Roman" w:hAnsi="Times New Roman" w:cs="Times New Roman"/>
          <w:sz w:val="20"/>
          <w:szCs w:val="20"/>
        </w:rPr>
        <w:t xml:space="preserve"> these lived realities become a key focus on how poor communities organize and navigate precarity shape existing governance capacities and alter urban poverty as a way of life towards resilient, inclusive and sustainable futures. Towards truly achieving th</w:t>
      </w:r>
      <w:r>
        <w:rPr>
          <w:rFonts w:ascii="Times New Roman" w:eastAsia="Times New Roman" w:hAnsi="Times New Roman" w:cs="Times New Roman"/>
          <w:sz w:val="20"/>
          <w:szCs w:val="20"/>
        </w:rPr>
        <w:t>e mandate of ‘Right to the City’, it is essential to develop critical insights into whether spatial ‘access’ translates into the constituent population being able to accrue long-term material, social and cultural capital for a more consolidated ‘well-being</w:t>
      </w:r>
      <w:r>
        <w:rPr>
          <w:rFonts w:ascii="Times New Roman" w:eastAsia="Times New Roman" w:hAnsi="Times New Roman" w:cs="Times New Roman"/>
          <w:sz w:val="20"/>
          <w:szCs w:val="20"/>
        </w:rPr>
        <w:t>’ in the city. The policy framing, actionable investments and future research needs to direct its efforts towards meeting the housing and living conditions for the urban poor in a holistic manner, such that this constituent group of city’s residents can al</w:t>
      </w:r>
      <w:r>
        <w:rPr>
          <w:rFonts w:ascii="Times New Roman" w:eastAsia="Times New Roman" w:hAnsi="Times New Roman" w:cs="Times New Roman"/>
          <w:sz w:val="20"/>
          <w:szCs w:val="20"/>
        </w:rPr>
        <w:t xml:space="preserve">so claim these spaces as their ‘homes’ with pride, dignity, self-respect and assurance. </w:t>
      </w:r>
    </w:p>
    <w:p w:rsidR="0063036D" w:rsidRDefault="00D76A44">
      <w:pPr>
        <w:spacing w:before="240" w:after="240"/>
      </w:pPr>
      <w:r>
        <w:rPr>
          <w:rFonts w:ascii="Times New Roman" w:eastAsia="Times New Roman" w:hAnsi="Times New Roman" w:cs="Times New Roman"/>
          <w:sz w:val="20"/>
          <w:szCs w:val="20"/>
        </w:rPr>
        <w:t xml:space="preserve">The last two decades have witnessed the landscapes of the Indian cities undergoing significant transformations. For both the long-term residents and the </w:t>
      </w:r>
      <w:proofErr w:type="gramStart"/>
      <w:r>
        <w:rPr>
          <w:rFonts w:ascii="Times New Roman" w:eastAsia="Times New Roman" w:hAnsi="Times New Roman" w:cs="Times New Roman"/>
          <w:sz w:val="20"/>
          <w:szCs w:val="20"/>
        </w:rPr>
        <w:t>newer-arrivals</w:t>
      </w:r>
      <w:proofErr w:type="gramEnd"/>
      <w:r>
        <w:rPr>
          <w:rFonts w:ascii="Times New Roman" w:eastAsia="Times New Roman" w:hAnsi="Times New Roman" w:cs="Times New Roman"/>
          <w:sz w:val="20"/>
          <w:szCs w:val="20"/>
        </w:rPr>
        <w:t>, these urban landscapes are at once sites allowing possibilities for realities and aspirations erstwhile unimaginable to be actualized and spaces where social, structural and systemic violence and discriminations are strategically reproduced and reinforce</w:t>
      </w:r>
      <w:r>
        <w:rPr>
          <w:rFonts w:ascii="Times New Roman" w:eastAsia="Times New Roman" w:hAnsi="Times New Roman" w:cs="Times New Roman"/>
          <w:sz w:val="20"/>
          <w:szCs w:val="20"/>
        </w:rPr>
        <w:t>d. The re-calibrating sites, processes and manifestations of violence, disenfranchisement and marginalization in the transforming urban landscapes also necessitate theoretical, methodological and political interventions towards the project of democratic, j</w:t>
      </w:r>
      <w:r>
        <w:rPr>
          <w:rFonts w:ascii="Times New Roman" w:eastAsia="Times New Roman" w:hAnsi="Times New Roman" w:cs="Times New Roman"/>
          <w:sz w:val="20"/>
          <w:szCs w:val="20"/>
        </w:rPr>
        <w:t xml:space="preserve">ust and equitable futures for the city as spaces and sites of ethical cohabitation. </w:t>
      </w:r>
      <w:r>
        <w:rPr>
          <w:rFonts w:ascii="Times New Roman" w:eastAsia="Times New Roman" w:hAnsi="Times New Roman" w:cs="Times New Roman"/>
          <w:sz w:val="20"/>
          <w:szCs w:val="20"/>
        </w:rPr>
        <w:tab/>
      </w:r>
    </w:p>
    <w:p w:rsidR="0063036D" w:rsidRDefault="00D76A44">
      <w:pPr>
        <w:spacing w:before="240" w:after="240"/>
      </w:pPr>
      <w:r>
        <w:rPr>
          <w:rFonts w:ascii="Times New Roman" w:eastAsia="Times New Roman" w:hAnsi="Times New Roman" w:cs="Times New Roman"/>
          <w:sz w:val="20"/>
          <w:szCs w:val="20"/>
        </w:rPr>
        <w:lastRenderedPageBreak/>
        <w:t>To end, perhaps at a polemical (and also pessimistic) tone, considering a disruption in the capitalist mode of production, which as Engels identified will only continue t</w:t>
      </w:r>
      <w:r>
        <w:rPr>
          <w:rFonts w:ascii="Times New Roman" w:eastAsia="Times New Roman" w:hAnsi="Times New Roman" w:cs="Times New Roman"/>
          <w:sz w:val="20"/>
          <w:szCs w:val="20"/>
        </w:rPr>
        <w:t>o reproduce the question of the housing for the urban poor, is not an imminent reality and which thus also limiting the actualization of the ‘Right to the City’ and thereby possibility resilient urban futures. After all, if there is an ongoing contestation</w:t>
      </w:r>
      <w:r>
        <w:rPr>
          <w:rFonts w:ascii="Times New Roman" w:eastAsia="Times New Roman" w:hAnsi="Times New Roman" w:cs="Times New Roman"/>
          <w:sz w:val="20"/>
          <w:szCs w:val="20"/>
        </w:rPr>
        <w:t xml:space="preserve"> of claims to spaces, identities and sense of ‘self’ for the urban poor in the manner in which they never really become ‘urban’, as identified by </w:t>
      </w:r>
      <w:proofErr w:type="spellStart"/>
      <w:r>
        <w:rPr>
          <w:rFonts w:ascii="Times New Roman" w:eastAsia="Times New Roman" w:hAnsi="Times New Roman" w:cs="Times New Roman"/>
          <w:sz w:val="20"/>
          <w:szCs w:val="20"/>
        </w:rPr>
        <w:t>Lefebrve</w:t>
      </w:r>
      <w:proofErr w:type="spellEnd"/>
      <w:r>
        <w:rPr>
          <w:rFonts w:ascii="Times New Roman" w:eastAsia="Times New Roman" w:hAnsi="Times New Roman" w:cs="Times New Roman"/>
          <w:sz w:val="20"/>
          <w:szCs w:val="20"/>
        </w:rPr>
        <w:t>, in that, ‘</w:t>
      </w:r>
      <w:r>
        <w:rPr>
          <w:rFonts w:ascii="Times New Roman" w:eastAsia="Times New Roman" w:hAnsi="Times New Roman" w:cs="Times New Roman"/>
          <w:color w:val="00000A"/>
          <w:sz w:val="20"/>
          <w:szCs w:val="20"/>
        </w:rPr>
        <w:t>they come to see participation not as speaking at a public hearing or serving on a citizen</w:t>
      </w:r>
      <w:r>
        <w:rPr>
          <w:rFonts w:ascii="Times New Roman" w:eastAsia="Times New Roman" w:hAnsi="Times New Roman" w:cs="Times New Roman"/>
          <w:color w:val="00000A"/>
          <w:sz w:val="20"/>
          <w:szCs w:val="20"/>
        </w:rPr>
        <w:t xml:space="preserve">s’ panel, but as the living struggle for a city that is controlled by its inhabitants’, how does one truly envisage extending the capacities to the urban poor to empower them into resilient futures? </w:t>
      </w:r>
    </w:p>
    <w:p w:rsidR="0063036D" w:rsidRDefault="00D76A44">
      <w:pPr>
        <w:spacing w:before="240" w:after="240"/>
      </w:pPr>
      <w:r>
        <w:rPr>
          <w:rFonts w:ascii="Times New Roman" w:eastAsia="Times New Roman" w:hAnsi="Times New Roman" w:cs="Times New Roman"/>
          <w:color w:val="00000A"/>
          <w:sz w:val="20"/>
          <w:szCs w:val="20"/>
        </w:rPr>
        <w:t>And, here methodologically, I want to make a rather bold</w:t>
      </w:r>
      <w:r>
        <w:rPr>
          <w:rFonts w:ascii="Times New Roman" w:eastAsia="Times New Roman" w:hAnsi="Times New Roman" w:cs="Times New Roman"/>
          <w:color w:val="00000A"/>
          <w:sz w:val="20"/>
          <w:szCs w:val="20"/>
        </w:rPr>
        <w:t xml:space="preserve"> intervention: whilst it is of utmost significance to </w:t>
      </w:r>
      <w:r>
        <w:rPr>
          <w:rFonts w:ascii="Times New Roman" w:eastAsia="Times New Roman" w:hAnsi="Times New Roman" w:cs="Times New Roman"/>
          <w:i/>
          <w:color w:val="00000A"/>
          <w:sz w:val="20"/>
          <w:szCs w:val="20"/>
        </w:rPr>
        <w:t xml:space="preserve">listen into </w:t>
      </w:r>
      <w:r>
        <w:rPr>
          <w:rFonts w:ascii="Times New Roman" w:eastAsia="Times New Roman" w:hAnsi="Times New Roman" w:cs="Times New Roman"/>
          <w:color w:val="00000A"/>
          <w:sz w:val="20"/>
          <w:szCs w:val="20"/>
        </w:rPr>
        <w:t>the lived and experienced realities of the urban poor and to constantly employ innovative methodological tools to inform policy, there is also an urgent need to add another constituent group</w:t>
      </w:r>
      <w:r>
        <w:rPr>
          <w:rFonts w:ascii="Times New Roman" w:eastAsia="Times New Roman" w:hAnsi="Times New Roman" w:cs="Times New Roman"/>
          <w:color w:val="00000A"/>
          <w:sz w:val="20"/>
          <w:szCs w:val="20"/>
        </w:rPr>
        <w:t xml:space="preserve"> in the city in the endeavours of educating them: the middle-classes. Resounding through </w:t>
      </w:r>
      <w:proofErr w:type="spellStart"/>
      <w:r>
        <w:rPr>
          <w:rFonts w:ascii="Times New Roman" w:eastAsia="Times New Roman" w:hAnsi="Times New Roman" w:cs="Times New Roman"/>
          <w:color w:val="00000A"/>
          <w:sz w:val="20"/>
          <w:szCs w:val="20"/>
        </w:rPr>
        <w:t>Nagma’s</w:t>
      </w:r>
      <w:proofErr w:type="spellEnd"/>
      <w:r>
        <w:rPr>
          <w:rFonts w:ascii="Times New Roman" w:eastAsia="Times New Roman" w:hAnsi="Times New Roman" w:cs="Times New Roman"/>
          <w:color w:val="00000A"/>
          <w:sz w:val="20"/>
          <w:szCs w:val="20"/>
        </w:rPr>
        <w:t xml:space="preserve"> prescient question, </w:t>
      </w:r>
      <w:r>
        <w:rPr>
          <w:rFonts w:ascii="Times New Roman" w:eastAsia="Times New Roman" w:hAnsi="Times New Roman" w:cs="Times New Roman"/>
          <w:i/>
          <w:color w:val="00000A"/>
          <w:sz w:val="20"/>
          <w:szCs w:val="20"/>
        </w:rPr>
        <w:t xml:space="preserve">what will they do without us, </w:t>
      </w:r>
      <w:r>
        <w:rPr>
          <w:rFonts w:ascii="Times New Roman" w:eastAsia="Times New Roman" w:hAnsi="Times New Roman" w:cs="Times New Roman"/>
          <w:color w:val="00000A"/>
          <w:sz w:val="20"/>
          <w:szCs w:val="20"/>
        </w:rPr>
        <w:t>the middle-classes need to be made brutally cognizant of the fact that their modern, clean, sanitized, world-</w:t>
      </w:r>
      <w:r>
        <w:rPr>
          <w:rFonts w:ascii="Times New Roman" w:eastAsia="Times New Roman" w:hAnsi="Times New Roman" w:cs="Times New Roman"/>
          <w:color w:val="00000A"/>
          <w:sz w:val="20"/>
          <w:szCs w:val="20"/>
        </w:rPr>
        <w:t xml:space="preserve">class claims and desires for the city will in fact remain a distant dream if the urban poor are not given dignified and equitable presence in their imagination, encounters and reality. It is only when everyone in the city is recognised as its </w:t>
      </w:r>
      <w:r>
        <w:rPr>
          <w:rFonts w:ascii="Times New Roman" w:eastAsia="Times New Roman" w:hAnsi="Times New Roman" w:cs="Times New Roman"/>
          <w:i/>
          <w:color w:val="00000A"/>
          <w:sz w:val="20"/>
          <w:szCs w:val="20"/>
        </w:rPr>
        <w:t xml:space="preserve">inhabitants </w:t>
      </w:r>
      <w:r>
        <w:rPr>
          <w:rFonts w:ascii="Times New Roman" w:eastAsia="Times New Roman" w:hAnsi="Times New Roman" w:cs="Times New Roman"/>
          <w:color w:val="00000A"/>
          <w:sz w:val="20"/>
          <w:szCs w:val="20"/>
        </w:rPr>
        <w:t>t</w:t>
      </w:r>
      <w:r>
        <w:rPr>
          <w:rFonts w:ascii="Times New Roman" w:eastAsia="Times New Roman" w:hAnsi="Times New Roman" w:cs="Times New Roman"/>
          <w:color w:val="00000A"/>
          <w:sz w:val="20"/>
          <w:szCs w:val="20"/>
        </w:rPr>
        <w:t xml:space="preserve">hat urban resilient futures will be actualised. </w:t>
      </w:r>
    </w:p>
    <w:p w:rsidR="0063036D" w:rsidRDefault="00D76A44">
      <w:pPr>
        <w:spacing w:before="240" w:after="240"/>
      </w:pPr>
      <w:r>
        <w:rPr>
          <w:rFonts w:ascii="Times New Roman" w:eastAsia="Times New Roman" w:hAnsi="Times New Roman" w:cs="Times New Roman"/>
          <w:color w:val="00000A"/>
          <w:sz w:val="20"/>
          <w:szCs w:val="20"/>
        </w:rPr>
        <w:t xml:space="preserve">Lastly, in revisiting the housing </w:t>
      </w:r>
      <w:proofErr w:type="gramStart"/>
      <w:r>
        <w:rPr>
          <w:rFonts w:ascii="Times New Roman" w:eastAsia="Times New Roman" w:hAnsi="Times New Roman" w:cs="Times New Roman"/>
          <w:color w:val="00000A"/>
          <w:sz w:val="20"/>
          <w:szCs w:val="20"/>
        </w:rPr>
        <w:t>question</w:t>
      </w:r>
      <w:proofErr w:type="gramEnd"/>
      <w:r>
        <w:rPr>
          <w:rFonts w:ascii="Times New Roman" w:eastAsia="Times New Roman" w:hAnsi="Times New Roman" w:cs="Times New Roman"/>
          <w:color w:val="00000A"/>
          <w:sz w:val="20"/>
          <w:szCs w:val="20"/>
        </w:rPr>
        <w:t xml:space="preserve"> which is yet to be realised, one cannot overlook the first, foremost and fundamental question: </w:t>
      </w:r>
      <w:r>
        <w:rPr>
          <w:rFonts w:ascii="Times New Roman" w:eastAsia="Times New Roman" w:hAnsi="Times New Roman" w:cs="Times New Roman"/>
          <w:i/>
          <w:color w:val="00000A"/>
          <w:sz w:val="20"/>
          <w:szCs w:val="20"/>
        </w:rPr>
        <w:t xml:space="preserve">for whom and towards what futures </w:t>
      </w:r>
      <w:r>
        <w:rPr>
          <w:rFonts w:ascii="Times New Roman" w:eastAsia="Times New Roman" w:hAnsi="Times New Roman" w:cs="Times New Roman"/>
          <w:color w:val="00000A"/>
          <w:sz w:val="20"/>
          <w:szCs w:val="20"/>
        </w:rPr>
        <w:t>are the Smart, World-Class, and Res</w:t>
      </w:r>
      <w:r>
        <w:rPr>
          <w:rFonts w:ascii="Times New Roman" w:eastAsia="Times New Roman" w:hAnsi="Times New Roman" w:cs="Times New Roman"/>
          <w:color w:val="00000A"/>
          <w:sz w:val="20"/>
          <w:szCs w:val="20"/>
        </w:rPr>
        <w:t xml:space="preserve">ilient cities being imagined? </w:t>
      </w:r>
    </w:p>
    <w:p w:rsidR="0063036D" w:rsidRDefault="00D76A44">
      <w:pPr>
        <w:widowControl w:val="0"/>
        <w:spacing w:before="240" w:after="240"/>
      </w:pPr>
      <w:r>
        <w:rPr>
          <w:rFonts w:ascii="Times New Roman" w:eastAsia="Times New Roman" w:hAnsi="Times New Roman" w:cs="Times New Roman"/>
          <w:color w:val="00000A"/>
          <w:sz w:val="20"/>
          <w:szCs w:val="20"/>
        </w:rPr>
        <w:t xml:space="preserve">The spectres that haunt the very </w:t>
      </w:r>
      <w:proofErr w:type="spellStart"/>
      <w:r>
        <w:rPr>
          <w:rFonts w:ascii="Times New Roman" w:eastAsia="Times New Roman" w:hAnsi="Times New Roman" w:cs="Times New Roman"/>
          <w:color w:val="00000A"/>
          <w:sz w:val="20"/>
          <w:szCs w:val="20"/>
        </w:rPr>
        <w:t>livability</w:t>
      </w:r>
      <w:proofErr w:type="spellEnd"/>
      <w:r>
        <w:rPr>
          <w:rFonts w:ascii="Times New Roman" w:eastAsia="Times New Roman" w:hAnsi="Times New Roman" w:cs="Times New Roman"/>
          <w:color w:val="00000A"/>
          <w:sz w:val="20"/>
          <w:szCs w:val="20"/>
        </w:rPr>
        <w:t xml:space="preserve"> of the urban poor are yet to be resolved, and which then compels the reckoning that instead of propelling towards smartness, beautification and resilience what is of urgency is to r</w:t>
      </w:r>
      <w:r>
        <w:rPr>
          <w:rFonts w:ascii="Times New Roman" w:eastAsia="Times New Roman" w:hAnsi="Times New Roman" w:cs="Times New Roman"/>
          <w:color w:val="00000A"/>
          <w:sz w:val="20"/>
          <w:szCs w:val="20"/>
        </w:rPr>
        <w:t>ecognise across registers the complex and delicate manners in which conditions of precarity are intertwined such that the burden of resilient, ethical co-habitational spaces is a collective endeavour and respon</w:t>
      </w:r>
      <w:bookmarkStart w:id="0" w:name="_GoBack"/>
      <w:bookmarkEnd w:id="0"/>
      <w:r>
        <w:rPr>
          <w:rFonts w:ascii="Times New Roman" w:eastAsia="Times New Roman" w:hAnsi="Times New Roman" w:cs="Times New Roman"/>
          <w:color w:val="00000A"/>
          <w:sz w:val="20"/>
          <w:szCs w:val="20"/>
        </w:rPr>
        <w:t xml:space="preserve">sibility. </w:t>
      </w:r>
    </w:p>
    <w:sectPr w:rsidR="0063036D">
      <w:headerReference w:type="default" r:id="rId6"/>
      <w:pgSz w:w="12240" w:h="15840"/>
      <w:pgMar w:top="1601" w:right="1134" w:bottom="1134" w:left="1134"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A44" w:rsidRDefault="00D76A44">
      <w:r>
        <w:separator/>
      </w:r>
    </w:p>
  </w:endnote>
  <w:endnote w:type="continuationSeparator" w:id="0">
    <w:p w:rsidR="00D76A44" w:rsidRDefault="00D76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Liberation Sans">
    <w:panose1 w:val="020B0604020202020204"/>
    <w:charset w:val="00"/>
    <w:family w:val="swiss"/>
    <w:pitch w:val="variable"/>
    <w:sig w:usb0="A00002AF" w:usb1="500078F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A44" w:rsidRDefault="00D76A44">
      <w:r>
        <w:separator/>
      </w:r>
    </w:p>
  </w:footnote>
  <w:footnote w:type="continuationSeparator" w:id="0">
    <w:p w:rsidR="00D76A44" w:rsidRDefault="00D76A44">
      <w:r>
        <w:continuationSeparator/>
      </w:r>
    </w:p>
  </w:footnote>
  <w:footnote w:id="1">
    <w:p w:rsidR="009A4564" w:rsidRDefault="009A4564" w:rsidP="009A4564">
      <w:r>
        <w:rPr>
          <w:rStyle w:val="FootnoteCharacters"/>
        </w:rPr>
        <w:footnoteRef/>
      </w:r>
      <w:r>
        <w:rPr>
          <w:rStyle w:val="FootnoteCharacters"/>
        </w:rPr>
        <w:tab/>
      </w:r>
      <w:r>
        <w:rPr>
          <w:rStyle w:val="InternetLink"/>
          <w:color w:val="1155CC"/>
          <w:sz w:val="16"/>
          <w:szCs w:val="16"/>
          <w:u w:val="none"/>
        </w:rPr>
        <w:t xml:space="preserve"> </w:t>
      </w:r>
      <w:r>
        <w:rPr>
          <w:rStyle w:val="InternetLink"/>
          <w:rFonts w:ascii="Times New Roman" w:hAnsi="Times New Roman"/>
          <w:color w:val="000000"/>
          <w:sz w:val="16"/>
          <w:szCs w:val="16"/>
          <w:u w:val="none"/>
        </w:rPr>
        <w:t>Amelia Gentleman, ‘Poor Lose Homes as Delhi Clean up for Games’, International Herald Tribute, Paris, 2 January 2007</w:t>
      </w:r>
    </w:p>
  </w:footnote>
  <w:footnote w:id="2">
    <w:p w:rsidR="0063036D" w:rsidRDefault="00D76A44">
      <w:r>
        <w:rPr>
          <w:rStyle w:val="FootnoteCharacters"/>
        </w:rPr>
        <w:footnoteRef/>
      </w:r>
      <w:r w:rsidR="009A4564">
        <w:rPr>
          <w:rStyle w:val="FootnoteCharacters"/>
        </w:rPr>
        <w:t xml:space="preserve"> </w:t>
      </w:r>
      <w:r>
        <w:rPr>
          <w:rStyle w:val="FootnoteCharacters"/>
          <w:rFonts w:ascii="Times New Roman" w:eastAsia="Times New Roman" w:hAnsi="Times New Roman" w:cs="Times New Roman"/>
          <w:color w:val="00000A"/>
          <w:sz w:val="16"/>
          <w:szCs w:val="16"/>
        </w:rPr>
        <w:t xml:space="preserve">Frederick Engels, </w:t>
      </w:r>
      <w:r>
        <w:rPr>
          <w:rStyle w:val="FootnoteCharacters"/>
          <w:rFonts w:ascii="Times New Roman" w:eastAsia="Times New Roman" w:hAnsi="Times New Roman" w:cs="Times New Roman"/>
          <w:i/>
          <w:iCs/>
          <w:color w:val="00000A"/>
          <w:sz w:val="16"/>
          <w:szCs w:val="16"/>
        </w:rPr>
        <w:t>The Housing Question</w:t>
      </w:r>
      <w:r>
        <w:rPr>
          <w:rStyle w:val="FootnoteCharacters"/>
          <w:rFonts w:ascii="Times New Roman" w:eastAsia="Times New Roman" w:hAnsi="Times New Roman" w:cs="Times New Roman"/>
          <w:color w:val="00000A"/>
          <w:sz w:val="16"/>
          <w:szCs w:val="16"/>
        </w:rPr>
        <w:t xml:space="preserve">, 1872.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36D" w:rsidRDefault="00D76A44">
    <w:pPr>
      <w:pStyle w:val="Header"/>
    </w:pPr>
    <w:r>
      <w:rPr>
        <w:rFonts w:ascii="Times New Roman" w:hAnsi="Times New Roman"/>
        <w:sz w:val="16"/>
        <w:szCs w:val="16"/>
      </w:rPr>
      <w:fldChar w:fldCharType="begin"/>
    </w:r>
    <w:r>
      <w:rPr>
        <w:rFonts w:ascii="Times New Roman" w:hAnsi="Times New Roman"/>
        <w:sz w:val="16"/>
        <w:szCs w:val="16"/>
      </w:rPr>
      <w:instrText>PAGE</w:instrText>
    </w:r>
    <w:r>
      <w:rPr>
        <w:rFonts w:ascii="Times New Roman" w:hAnsi="Times New Roman"/>
        <w:sz w:val="16"/>
        <w:szCs w:val="16"/>
      </w:rPr>
      <w:fldChar w:fldCharType="separate"/>
    </w:r>
    <w:r>
      <w:rPr>
        <w:rFonts w:ascii="Times New Roman" w:hAnsi="Times New Roman"/>
        <w:sz w:val="16"/>
        <w:szCs w:val="16"/>
      </w:rPr>
      <w:t>2</w:t>
    </w:r>
    <w:r>
      <w:rPr>
        <w:rFonts w:ascii="Times New Roman" w:hAnsi="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036D"/>
    <w:rsid w:val="0063036D"/>
    <w:rsid w:val="009A4564"/>
    <w:rsid w:val="00D76A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0379FB4"/>
  <w15:docId w15:val="{E932A408-B85A-B741-A1F8-49424673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9A4564"/>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InternetLink">
    <w:name w:val="Internet Link"/>
    <w:rPr>
      <w:color w:val="000080"/>
      <w:u w:val="single"/>
      <w:lang/>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noteText">
    <w:name w:val="footnote text"/>
    <w:basedOn w:val="Normal"/>
    <w:pPr>
      <w:suppressLineNumbers/>
      <w:ind w:left="339" w:hanging="339"/>
    </w:pPr>
    <w:rPr>
      <w:sz w:val="20"/>
      <w:szCs w:val="20"/>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character" w:customStyle="1" w:styleId="Heading1Char">
    <w:name w:val="Heading 1 Char"/>
    <w:basedOn w:val="DefaultParagraphFont"/>
    <w:link w:val="Heading1"/>
    <w:uiPriority w:val="9"/>
    <w:rsid w:val="009A4564"/>
    <w:rPr>
      <w:rFonts w:asciiTheme="majorHAnsi" w:eastAsiaTheme="majorEastAsia" w:hAnsiTheme="majorHAnsi" w:cs="Mangal"/>
      <w:color w:val="2F5496" w:themeColor="accent1" w:themeShade="BF"/>
      <w:sz w:val="32"/>
      <w:szCs w:val="29"/>
    </w:rPr>
  </w:style>
  <w:style w:type="paragraph" w:styleId="Quote">
    <w:name w:val="Quote"/>
    <w:basedOn w:val="Normal"/>
    <w:next w:val="Normal"/>
    <w:link w:val="QuoteChar"/>
    <w:uiPriority w:val="29"/>
    <w:qFormat/>
    <w:rsid w:val="009A4564"/>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9A4564"/>
    <w:rPr>
      <w:rFonts w:cs="Mangal"/>
      <w:i/>
      <w:iCs/>
      <w:color w:val="404040" w:themeColor="text1" w:themeTint="B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2405</Words>
  <Characters>13710</Characters>
  <Application>Microsoft Office Word</Application>
  <DocSecurity>0</DocSecurity>
  <Lines>114</Lines>
  <Paragraphs>32</Paragraphs>
  <ScaleCrop>false</ScaleCrop>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C</dc:creator>
  <dc:description/>
  <cp:lastModifiedBy>Sepp Eckenhaussen</cp:lastModifiedBy>
  <cp:revision>9</cp:revision>
  <dcterms:created xsi:type="dcterms:W3CDTF">2020-03-31T11:37:00Z</dcterms:created>
  <dcterms:modified xsi:type="dcterms:W3CDTF">2020-04-06T10:13:00Z</dcterms:modified>
  <dc:language>en-GB</dc:language>
</cp:coreProperties>
</file>