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0C47D" w14:textId="77777777" w:rsidR="004F1857" w:rsidRPr="00EB39CB" w:rsidRDefault="004F1857" w:rsidP="00EB39CB">
      <w:pPr>
        <w:pStyle w:val="Heading1"/>
      </w:pPr>
      <w:r w:rsidRPr="00EB39CB">
        <w:t>Geoblocking</w:t>
      </w:r>
      <w:r w:rsidR="00300896">
        <w:t>,</w:t>
      </w:r>
      <w:r w:rsidR="000B2BCC" w:rsidRPr="00EB39CB">
        <w:t xml:space="preserve"> Technical Standards and </w:t>
      </w:r>
      <w:r w:rsidRPr="00EB39CB">
        <w:t>the Law</w:t>
      </w:r>
    </w:p>
    <w:p w14:paraId="10EEE31A" w14:textId="77777777" w:rsidR="004F1857" w:rsidRPr="00EB39CB" w:rsidRDefault="00C52432" w:rsidP="00EB39CB">
      <w:pPr>
        <w:pStyle w:val="Heading1"/>
      </w:pPr>
      <w:r w:rsidRPr="00EB39CB">
        <w:t>Marketa Trimble</w:t>
      </w:r>
    </w:p>
    <w:p w14:paraId="13F3C6E8" w14:textId="77777777" w:rsidR="00AE25AA" w:rsidRDefault="00AE25AA" w:rsidP="00D41640">
      <w:pPr>
        <w:pStyle w:val="Heading2"/>
      </w:pPr>
    </w:p>
    <w:p w14:paraId="018A4FDA" w14:textId="77777777" w:rsidR="00D41640" w:rsidRDefault="00D41640" w:rsidP="00D41640">
      <w:pPr>
        <w:pStyle w:val="Heading2"/>
      </w:pPr>
      <w:r>
        <w:t>Introduction</w:t>
      </w:r>
    </w:p>
    <w:p w14:paraId="32260EAD" w14:textId="77777777" w:rsidR="00D41640" w:rsidRDefault="00D41640" w:rsidP="00EB39CB"/>
    <w:p w14:paraId="790DCA54" w14:textId="77777777" w:rsidR="00067C7B" w:rsidRDefault="00067C7B" w:rsidP="00EB39CB">
      <w:r>
        <w:t xml:space="preserve">In a world where countries cannot agree on a single set of laws that would apply uniformly around the globe, </w:t>
      </w:r>
      <w:r w:rsidR="00394772">
        <w:t xml:space="preserve">most </w:t>
      </w:r>
      <w:r>
        <w:t>national laws need to be territorially confined</w:t>
      </w:r>
      <w:r w:rsidR="00300896">
        <w:t xml:space="preserve">. Without </w:t>
      </w:r>
      <w:r>
        <w:t xml:space="preserve">territorial limits, laws have extraterritorial effects that often, although not always, impinge upon other countries’ sovereignty and freedom to set their own laws and policies. </w:t>
      </w:r>
      <w:r w:rsidR="00394772">
        <w:t>For example, what might work as law in the United States might not work in France</w:t>
      </w:r>
      <w:r w:rsidR="008B1763">
        <w:t xml:space="preserve">, and therefore French law </w:t>
      </w:r>
      <w:r w:rsidR="0001506A">
        <w:t>might</w:t>
      </w:r>
      <w:r w:rsidR="008B1763">
        <w:t xml:space="preserve"> be different from </w:t>
      </w:r>
      <w:r w:rsidR="00464E23">
        <w:t>U.S. law</w:t>
      </w:r>
      <w:r w:rsidR="0001506A">
        <w:t>.</w:t>
      </w:r>
      <w:r w:rsidR="00394772">
        <w:t xml:space="preserve"> </w:t>
      </w:r>
      <w:r w:rsidR="00251270">
        <w:t>S</w:t>
      </w:r>
      <w:r>
        <w:t xml:space="preserve">ome </w:t>
      </w:r>
      <w:r w:rsidR="00464E23">
        <w:t xml:space="preserve">legal </w:t>
      </w:r>
      <w:r>
        <w:t xml:space="preserve">rights and </w:t>
      </w:r>
      <w:r w:rsidR="00524BFE">
        <w:t>responsibilities</w:t>
      </w:r>
      <w:r>
        <w:t xml:space="preserve"> </w:t>
      </w:r>
      <w:r w:rsidR="00251270">
        <w:t>exist only within</w:t>
      </w:r>
      <w:r>
        <w:t xml:space="preserve"> countries’ jurisdictional limits, </w:t>
      </w:r>
      <w:r w:rsidR="00251270">
        <w:t xml:space="preserve">and therefore </w:t>
      </w:r>
      <w:r>
        <w:t xml:space="preserve">persons and entities may enjoy </w:t>
      </w:r>
      <w:r w:rsidR="00251270">
        <w:t xml:space="preserve">the </w:t>
      </w:r>
      <w:r>
        <w:t xml:space="preserve">rights and must fulfill </w:t>
      </w:r>
      <w:r w:rsidR="00251270">
        <w:t xml:space="preserve">the </w:t>
      </w:r>
      <w:r w:rsidR="005A780E">
        <w:t>responsibilities</w:t>
      </w:r>
      <w:r>
        <w:t xml:space="preserve"> within </w:t>
      </w:r>
      <w:r w:rsidR="00251270">
        <w:t xml:space="preserve">the </w:t>
      </w:r>
      <w:r>
        <w:t>defined territor</w:t>
      </w:r>
      <w:r w:rsidR="00251270">
        <w:t>y</w:t>
      </w:r>
      <w:r>
        <w:t xml:space="preserve">. </w:t>
      </w:r>
      <w:r w:rsidR="00394772">
        <w:t xml:space="preserve">For example, copyright is territorially limited; someone who owns copyright to a work in the United States under U.S. law might not be the owner of copyright to </w:t>
      </w:r>
      <w:r w:rsidR="00464E23">
        <w:t>that</w:t>
      </w:r>
      <w:r w:rsidR="00394772">
        <w:t xml:space="preserve"> same work in France under French law.</w:t>
      </w:r>
      <w:r w:rsidR="00D0778D">
        <w:rPr>
          <w:rStyle w:val="FootnoteReference"/>
        </w:rPr>
        <w:footnoteReference w:id="1"/>
      </w:r>
      <w:r w:rsidR="00394772">
        <w:t xml:space="preserve"> </w:t>
      </w:r>
      <w:r w:rsidR="00251270">
        <w:t>A</w:t>
      </w:r>
      <w:r w:rsidR="00DF636F">
        <w:t xml:space="preserve">s </w:t>
      </w:r>
      <w:r w:rsidR="00F928BA">
        <w:t xml:space="preserve">long as </w:t>
      </w:r>
      <w:r w:rsidR="005705D2">
        <w:t xml:space="preserve">the world operates on </w:t>
      </w:r>
      <w:r w:rsidR="00DF636F">
        <w:t xml:space="preserve">the </w:t>
      </w:r>
      <w:r w:rsidR="005705D2">
        <w:t xml:space="preserve">basis of national laws, there </w:t>
      </w:r>
      <w:r w:rsidR="00464E23">
        <w:t>will be</w:t>
      </w:r>
      <w:r w:rsidR="005705D2">
        <w:t xml:space="preserve"> </w:t>
      </w:r>
      <w:r>
        <w:t xml:space="preserve">a need to replicate national borders on the internet to comply with </w:t>
      </w:r>
      <w:r w:rsidR="00DF636F">
        <w:t xml:space="preserve">these </w:t>
      </w:r>
      <w:r w:rsidR="00464E23">
        <w:t xml:space="preserve">corresponding physical </w:t>
      </w:r>
      <w:r>
        <w:t>limitations</w:t>
      </w:r>
      <w:r w:rsidR="00A463D9">
        <w:t>.</w:t>
      </w:r>
      <w:r w:rsidR="0097496D">
        <w:rPr>
          <w:rStyle w:val="FootnoteReference"/>
        </w:rPr>
        <w:footnoteReference w:id="2"/>
      </w:r>
      <w:r>
        <w:t xml:space="preserve"> </w:t>
      </w:r>
      <w:r w:rsidR="00A463D9">
        <w:t>G</w:t>
      </w:r>
      <w:r>
        <w:t xml:space="preserve">eoblocking is being used with increasing frequency to achieve </w:t>
      </w:r>
      <w:r w:rsidR="00464E23">
        <w:t xml:space="preserve">this </w:t>
      </w:r>
      <w:r>
        <w:t>compliance.</w:t>
      </w:r>
      <w:bookmarkStart w:id="0" w:name="_Ref427221223"/>
      <w:r w:rsidR="000D5613">
        <w:rPr>
          <w:rStyle w:val="FootnoteReference"/>
        </w:rPr>
        <w:footnoteReference w:id="3"/>
      </w:r>
      <w:bookmarkEnd w:id="0"/>
    </w:p>
    <w:p w14:paraId="2117E8CC" w14:textId="77777777" w:rsidR="007B10F8" w:rsidRDefault="007B10F8" w:rsidP="00EB39CB">
      <w:r>
        <w:t xml:space="preserve">The relationship between geoblocking and legal compliance has undergone </w:t>
      </w:r>
      <w:r w:rsidR="00464E23">
        <w:t xml:space="preserve">significant </w:t>
      </w:r>
      <w:r>
        <w:t xml:space="preserve">development in recent years. </w:t>
      </w:r>
      <w:r w:rsidRPr="00C53A0A">
        <w:t xml:space="preserve">Legislators, courts, and agencies previously </w:t>
      </w:r>
      <w:r w:rsidR="00A03253">
        <w:t xml:space="preserve">did not </w:t>
      </w:r>
      <w:r w:rsidRPr="00C53A0A">
        <w:t xml:space="preserve">view geoblocking as a reliable method </w:t>
      </w:r>
      <w:r w:rsidR="00E351DF">
        <w:t>of achieving</w:t>
      </w:r>
      <w:r w:rsidR="00B70BF9">
        <w:t xml:space="preserve"> </w:t>
      </w:r>
      <w:r w:rsidR="00FF4F18">
        <w:t xml:space="preserve">legal </w:t>
      </w:r>
      <w:r w:rsidR="00B07280">
        <w:t>compliance</w:t>
      </w:r>
      <w:r w:rsidR="00B70BF9">
        <w:t>.</w:t>
      </w:r>
      <w:r w:rsidRPr="00C53A0A">
        <w:t xml:space="preserve"> </w:t>
      </w:r>
      <w:r w:rsidR="007F31F4">
        <w:t>They assumed</w:t>
      </w:r>
      <w:r w:rsidRPr="00C53A0A">
        <w:t xml:space="preserve"> that the internet </w:t>
      </w:r>
      <w:r w:rsidR="007F31F4">
        <w:t>was</w:t>
      </w:r>
      <w:r w:rsidRPr="00C53A0A">
        <w:t xml:space="preserve"> inherently borderless and geoblocking </w:t>
      </w:r>
      <w:r w:rsidR="007F31F4">
        <w:t xml:space="preserve">was </w:t>
      </w:r>
      <w:r w:rsidRPr="00C53A0A">
        <w:t>invariably unreliable</w:t>
      </w:r>
      <w:r w:rsidR="005C0FAC">
        <w:t>,</w:t>
      </w:r>
      <w:r w:rsidR="007F31F4">
        <w:t xml:space="preserve"> and</w:t>
      </w:r>
      <w:r w:rsidRPr="00C53A0A">
        <w:t xml:space="preserve"> </w:t>
      </w:r>
      <w:r w:rsidR="005C0FAC">
        <w:t xml:space="preserve">they </w:t>
      </w:r>
      <w:r w:rsidRPr="00C53A0A">
        <w:t xml:space="preserve">adopted laws, rendered judgments, and issued decisions with the </w:t>
      </w:r>
      <w:r w:rsidR="00A03253">
        <w:t>conviction</w:t>
      </w:r>
      <w:r w:rsidR="00A03253" w:rsidRPr="00C53A0A">
        <w:t xml:space="preserve"> </w:t>
      </w:r>
      <w:r w:rsidRPr="00C53A0A">
        <w:t xml:space="preserve">that </w:t>
      </w:r>
      <w:r w:rsidR="00FF4F18">
        <w:t xml:space="preserve">these would </w:t>
      </w:r>
      <w:r w:rsidR="00251270">
        <w:t xml:space="preserve">inevitably </w:t>
      </w:r>
      <w:r w:rsidR="00FF4F18">
        <w:t>have global effects</w:t>
      </w:r>
      <w:r w:rsidRPr="00C53A0A">
        <w:t>.</w:t>
      </w:r>
      <w:r w:rsidR="00F014D7">
        <w:rPr>
          <w:rStyle w:val="FootnoteReference"/>
        </w:rPr>
        <w:footnoteReference w:id="4"/>
      </w:r>
      <w:r w:rsidRPr="00C53A0A">
        <w:t xml:space="preserve"> Recently, however, legislators, courts, and agencies have begun to consider geoblocking as a viable tool for delineating the effects of their laws, judgments, and decisions, and for territorially limiting actions on the internet in general.</w:t>
      </w:r>
    </w:p>
    <w:p w14:paraId="2D4AA81C" w14:textId="199E3030" w:rsidR="008B317C" w:rsidRDefault="00B6116D" w:rsidP="00BA3C9C">
      <w:r>
        <w:t>The</w:t>
      </w:r>
      <w:r w:rsidR="005576FC">
        <w:t xml:space="preserve"> </w:t>
      </w:r>
      <w:r w:rsidR="00FF4F18">
        <w:t xml:space="preserve">idea that geoblocking could be used as a compliance tool </w:t>
      </w:r>
      <w:r w:rsidR="00BD0A97">
        <w:t xml:space="preserve">is one </w:t>
      </w:r>
      <w:r w:rsidR="00F21181">
        <w:t>part</w:t>
      </w:r>
      <w:r w:rsidR="00BD0A97">
        <w:t xml:space="preserve"> </w:t>
      </w:r>
      <w:r w:rsidR="00F21181">
        <w:t xml:space="preserve">of </w:t>
      </w:r>
      <w:r w:rsidR="005576FC">
        <w:t>t</w:t>
      </w:r>
      <w:r w:rsidR="00144301" w:rsidRPr="00C53A0A">
        <w:t xml:space="preserve">he </w:t>
      </w:r>
      <w:r w:rsidR="00144301">
        <w:t>development of the relationship between geoblocking and legal compliance</w:t>
      </w:r>
      <w:r w:rsidR="00BD0A97">
        <w:t xml:space="preserve">. </w:t>
      </w:r>
      <w:r w:rsidR="00BD0A97" w:rsidDel="000A11A7">
        <w:t xml:space="preserve">This chapter outlines </w:t>
      </w:r>
      <w:r w:rsidR="00B30B96" w:rsidDel="000A11A7">
        <w:t xml:space="preserve">the </w:t>
      </w:r>
      <w:r w:rsidR="00BD0A97" w:rsidDel="000A11A7">
        <w:t>three stages through which this development will proceed</w:t>
      </w:r>
      <w:r w:rsidR="00B30B96" w:rsidDel="000A11A7">
        <w:t>.</w:t>
      </w:r>
      <w:r w:rsidR="00144301" w:rsidDel="000A11A7">
        <w:t xml:space="preserve"> </w:t>
      </w:r>
      <w:r w:rsidR="00144301" w:rsidRPr="00C53A0A" w:rsidDel="000A11A7">
        <w:t xml:space="preserve">In the first stage, geoblocking </w:t>
      </w:r>
      <w:r w:rsidR="00FD4A5E" w:rsidDel="000A11A7">
        <w:t>will</w:t>
      </w:r>
      <w:r w:rsidR="005576FC" w:rsidDel="000A11A7">
        <w:t xml:space="preserve"> be</w:t>
      </w:r>
      <w:r w:rsidR="00144301" w:rsidRPr="00C53A0A" w:rsidDel="000A11A7">
        <w:t xml:space="preserve"> accepted as a tool of regulation and enforcement</w:t>
      </w:r>
      <w:r w:rsidR="00144301" w:rsidDel="000A11A7">
        <w:t>.</w:t>
      </w:r>
      <w:r w:rsidR="00144301" w:rsidRPr="00C53A0A" w:rsidDel="000A11A7">
        <w:t xml:space="preserve"> </w:t>
      </w:r>
      <w:r w:rsidR="00144301" w:rsidDel="000A11A7">
        <w:t>W</w:t>
      </w:r>
      <w:r w:rsidR="00144301" w:rsidRPr="00C53A0A" w:rsidDel="000A11A7">
        <w:t xml:space="preserve">hile acceptance has </w:t>
      </w:r>
      <w:r w:rsidR="00E351DF" w:rsidDel="000A11A7">
        <w:t xml:space="preserve">already </w:t>
      </w:r>
      <w:r w:rsidR="00144301" w:rsidRPr="00C53A0A" w:rsidDel="000A11A7">
        <w:t xml:space="preserve">occurred in some countries in some contexts, this acceptance is certainly not </w:t>
      </w:r>
      <w:r w:rsidR="00C06A02" w:rsidDel="000A11A7">
        <w:t xml:space="preserve">yet </w:t>
      </w:r>
      <w:r w:rsidR="00144301" w:rsidRPr="00C53A0A" w:rsidDel="000A11A7">
        <w:t xml:space="preserve">general or widespread. In the second stage, minimum standards for geoblocking </w:t>
      </w:r>
      <w:r w:rsidR="00FD4A5E" w:rsidDel="000A11A7">
        <w:t>will</w:t>
      </w:r>
      <w:r w:rsidR="00144301" w:rsidDel="000A11A7">
        <w:t xml:space="preserve"> be </w:t>
      </w:r>
      <w:r w:rsidR="00BD20BD" w:rsidDel="000A11A7">
        <w:t xml:space="preserve">promulgated </w:t>
      </w:r>
      <w:r w:rsidR="00144301" w:rsidDel="000A11A7">
        <w:t>because the</w:t>
      </w:r>
      <w:r w:rsidR="007B10F8" w:rsidRPr="00C53A0A" w:rsidDel="000A11A7">
        <w:t xml:space="preserve"> </w:t>
      </w:r>
      <w:r w:rsidR="00BD20BD" w:rsidDel="000A11A7">
        <w:t>use of</w:t>
      </w:r>
      <w:r w:rsidR="007B10F8" w:rsidRPr="00C53A0A" w:rsidDel="000A11A7">
        <w:t xml:space="preserve"> </w:t>
      </w:r>
      <w:r w:rsidR="007B10F8" w:rsidRPr="00C53A0A" w:rsidDel="000A11A7">
        <w:lastRenderedPageBreak/>
        <w:t xml:space="preserve">geoblocking for purposes of legal compliance necessarily </w:t>
      </w:r>
      <w:r w:rsidR="00BD20BD" w:rsidDel="000A11A7">
        <w:t>calls for minimum technological standards that geoblocking tools must meet in order to create virtual borders sufficiently precise and impermeable to satisfy the law</w:t>
      </w:r>
      <w:r w:rsidR="007B10F8" w:rsidRPr="00C53A0A" w:rsidDel="000A11A7">
        <w:t xml:space="preserve">. </w:t>
      </w:r>
      <w:r w:rsidR="00144301" w:rsidRPr="00C53A0A" w:rsidDel="000A11A7">
        <w:t xml:space="preserve">In the third stage, </w:t>
      </w:r>
      <w:r w:rsidR="0065380E" w:rsidDel="000A11A7">
        <w:t>circumvention</w:t>
      </w:r>
      <w:r w:rsidR="00144301" w:rsidRPr="00C53A0A" w:rsidDel="000A11A7">
        <w:t xml:space="preserve"> of geoblocking and </w:t>
      </w:r>
      <w:r w:rsidR="009E54CB" w:rsidDel="000A11A7">
        <w:t xml:space="preserve">the </w:t>
      </w:r>
      <w:r w:rsidR="00144301" w:rsidRPr="00C53A0A" w:rsidDel="000A11A7">
        <w:t xml:space="preserve">tools that facilitate </w:t>
      </w:r>
      <w:r w:rsidR="0065380E" w:rsidDel="000A11A7">
        <w:t>circumvention</w:t>
      </w:r>
      <w:r w:rsidR="00144301" w:rsidRPr="00C53A0A" w:rsidDel="000A11A7">
        <w:t xml:space="preserve"> </w:t>
      </w:r>
      <w:r w:rsidR="00FD4A5E" w:rsidDel="000A11A7">
        <w:t>will</w:t>
      </w:r>
      <w:r w:rsidR="00144301" w:rsidRPr="00C53A0A" w:rsidDel="000A11A7">
        <w:t xml:space="preserve"> be </w:t>
      </w:r>
      <w:r w:rsidR="009E54CB" w:rsidDel="000A11A7">
        <w:t>targeted by</w:t>
      </w:r>
      <w:r w:rsidR="00144301" w:rsidRPr="00C53A0A" w:rsidDel="000A11A7">
        <w:t xml:space="preserve"> countries’ regulation. </w:t>
      </w:r>
      <w:r w:rsidR="009A33A9" w:rsidDel="000A11A7">
        <w:t>T</w:t>
      </w:r>
      <w:r w:rsidR="00144301" w:rsidRPr="00C53A0A" w:rsidDel="000A11A7">
        <w:t xml:space="preserve">he three stages </w:t>
      </w:r>
      <w:r w:rsidR="00453D38" w:rsidDel="000A11A7">
        <w:t>will likely</w:t>
      </w:r>
      <w:r w:rsidR="00144301" w:rsidRPr="00C53A0A" w:rsidDel="000A11A7">
        <w:t xml:space="preserve"> </w:t>
      </w:r>
      <w:r w:rsidR="00144301" w:rsidDel="000A11A7">
        <w:t>begin</w:t>
      </w:r>
      <w:r w:rsidR="00144301" w:rsidRPr="00C53A0A" w:rsidDel="000A11A7">
        <w:t xml:space="preserve"> at different times</w:t>
      </w:r>
      <w:r w:rsidR="00144301" w:rsidDel="000A11A7">
        <w:t xml:space="preserve"> in different countries</w:t>
      </w:r>
      <w:r w:rsidR="00FD5F98" w:rsidDel="000A11A7">
        <w:t>,</w:t>
      </w:r>
      <w:r w:rsidR="00144301" w:rsidDel="000A11A7">
        <w:t xml:space="preserve"> industries</w:t>
      </w:r>
      <w:r w:rsidR="00144301" w:rsidRPr="00C53A0A" w:rsidDel="000A11A7">
        <w:t xml:space="preserve">, </w:t>
      </w:r>
      <w:r w:rsidR="00FD5F98" w:rsidDel="000A11A7">
        <w:t xml:space="preserve">and contexts, </w:t>
      </w:r>
      <w:r w:rsidR="00C5448E" w:rsidDel="000A11A7">
        <w:t xml:space="preserve">but will eventually overlap and thereafter </w:t>
      </w:r>
      <w:r w:rsidR="00144301" w:rsidRPr="00C53A0A" w:rsidDel="000A11A7">
        <w:t>develop concurrently.</w:t>
      </w:r>
    </w:p>
    <w:p w14:paraId="24201762" w14:textId="64AB622C" w:rsidR="00BA3C9C" w:rsidRDefault="00AE25AA" w:rsidP="00BA3C9C">
      <w:r>
        <w:rPr>
          <w:noProof/>
          <w:lang w:val="en-AU" w:eastAsia="en-AU"/>
        </w:rPr>
        <w:drawing>
          <wp:inline distT="0" distB="0" distL="0" distR="0" wp14:anchorId="1DE22FCB" wp14:editId="1215AC15">
            <wp:extent cx="5943600" cy="3962400"/>
            <wp:effectExtent l="0" t="0" r="0" b="0"/>
            <wp:docPr id="1" name="Picture 1" descr="Macintosh HD:Users:125771:Dropbox:Geoblocking and Global Video Culture:Illustrations (ready for INC):Trimbl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125771:Dropbox:Geoblocking and Global Video Culture:Illustrations (ready for INC):Trimble-Imag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50A8C02" w14:textId="41BE5838" w:rsidR="00AE25AA" w:rsidRPr="00AE25AA" w:rsidRDefault="00AE25AA" w:rsidP="00AE25AA">
      <w:pPr>
        <w:rPr>
          <w:rFonts w:ascii="Arial" w:hAnsi="Arial"/>
          <w:sz w:val="22"/>
        </w:rPr>
      </w:pPr>
      <w:r w:rsidRPr="00AE25AA">
        <w:rPr>
          <w:rFonts w:ascii="Arial" w:hAnsi="Arial"/>
          <w:sz w:val="22"/>
        </w:rPr>
        <w:t xml:space="preserve">Fig 1: </w:t>
      </w:r>
      <w:r w:rsidR="00D82B6B">
        <w:rPr>
          <w:rFonts w:ascii="Arial" w:hAnsi="Arial"/>
          <w:sz w:val="22"/>
        </w:rPr>
        <w:t>Geoblocking has a complicated relationship with national legal systems</w:t>
      </w:r>
      <w:r w:rsidR="00096E66">
        <w:rPr>
          <w:rFonts w:ascii="Arial" w:hAnsi="Arial"/>
          <w:sz w:val="22"/>
        </w:rPr>
        <w:t xml:space="preserve"> but it is starting to be increasingly recognized as a useful tool for legal compliance. </w:t>
      </w:r>
      <w:r w:rsidR="001438E9">
        <w:rPr>
          <w:rFonts w:ascii="Arial" w:hAnsi="Arial"/>
          <w:sz w:val="22"/>
        </w:rPr>
        <w:t>Source: (</w:t>
      </w:r>
      <w:r w:rsidR="001438E9" w:rsidRPr="001438E9">
        <w:rPr>
          <w:rFonts w:ascii="Arial" w:hAnsi="Arial"/>
          <w:sz w:val="22"/>
        </w:rPr>
        <w:t>CC BY 2.0</w:t>
      </w:r>
      <w:r w:rsidR="001438E9">
        <w:rPr>
          <w:rFonts w:ascii="Arial" w:hAnsi="Arial"/>
          <w:sz w:val="22"/>
        </w:rPr>
        <w:t>/</w:t>
      </w:r>
      <w:r w:rsidRPr="00AE25AA">
        <w:rPr>
          <w:rFonts w:ascii="Arial" w:eastAsia="Times New Roman" w:hAnsi="Arial" w:cs="Times New Roman"/>
          <w:color w:val="000000"/>
          <w:sz w:val="22"/>
          <w:lang w:val="en-AU"/>
        </w:rPr>
        <w:t>Karen Roe</w:t>
      </w:r>
      <w:r w:rsidR="001438E9">
        <w:rPr>
          <w:rFonts w:ascii="Arial" w:eastAsia="Times New Roman" w:hAnsi="Arial" w:cs="Times New Roman"/>
          <w:color w:val="000000"/>
          <w:sz w:val="22"/>
          <w:lang w:val="en-AU"/>
        </w:rPr>
        <w:t>)</w:t>
      </w:r>
      <w:bookmarkStart w:id="1" w:name="_GoBack"/>
      <w:bookmarkEnd w:id="1"/>
    </w:p>
    <w:p w14:paraId="7E2DE2F0" w14:textId="77777777" w:rsidR="00D41640" w:rsidRDefault="00D41640" w:rsidP="00D41640">
      <w:pPr>
        <w:pStyle w:val="Heading2"/>
      </w:pPr>
      <w:r>
        <w:t>Geoblocking as a Tool of Regulation and Enforcement</w:t>
      </w:r>
    </w:p>
    <w:p w14:paraId="4168174F" w14:textId="77777777" w:rsidR="00D41640" w:rsidRDefault="00D41640" w:rsidP="00EB39CB"/>
    <w:p w14:paraId="515310EF" w14:textId="77777777" w:rsidR="003F05BB" w:rsidRDefault="00A64720" w:rsidP="00EB39CB">
      <w:r>
        <w:t>T</w:t>
      </w:r>
      <w:r w:rsidR="001736C4">
        <w:t>he first stage</w:t>
      </w:r>
      <w:r w:rsidR="00E95986">
        <w:t xml:space="preserve"> of the development of the relationship between geoblocking and legal compliance</w:t>
      </w:r>
      <w:r w:rsidR="002C6AC0">
        <w:t xml:space="preserve"> </w:t>
      </w:r>
      <w:r w:rsidR="00E66AC1">
        <w:t xml:space="preserve">– the process of accepting geoblocking as a tool of regulation and enforcement – </w:t>
      </w:r>
      <w:r w:rsidR="00146115">
        <w:t xml:space="preserve">is </w:t>
      </w:r>
      <w:r w:rsidR="00B960E5">
        <w:t xml:space="preserve">already </w:t>
      </w:r>
      <w:r w:rsidR="002C6AC0">
        <w:t>under</w:t>
      </w:r>
      <w:r w:rsidR="001B6430">
        <w:t xml:space="preserve"> </w:t>
      </w:r>
      <w:r w:rsidR="002C6AC0">
        <w:t>way</w:t>
      </w:r>
      <w:r w:rsidR="001B6430">
        <w:t xml:space="preserve">. </w:t>
      </w:r>
      <w:r w:rsidR="00B960E5">
        <w:t xml:space="preserve"> Here, t</w:t>
      </w:r>
      <w:r w:rsidR="00B848E3">
        <w:t>hree</w:t>
      </w:r>
      <w:r w:rsidR="001736C4">
        <w:t xml:space="preserve"> </w:t>
      </w:r>
      <w:r w:rsidR="00B960E5">
        <w:t xml:space="preserve">specific </w:t>
      </w:r>
      <w:r w:rsidR="001736C4">
        <w:t>developments are notable</w:t>
      </w:r>
      <w:r w:rsidR="001B6430">
        <w:t>:</w:t>
      </w:r>
      <w:r w:rsidR="001736C4">
        <w:t xml:space="preserve"> First, </w:t>
      </w:r>
      <w:r w:rsidR="005C6BCE">
        <w:t xml:space="preserve">private </w:t>
      </w:r>
      <w:r w:rsidR="001B6430">
        <w:t>party contracts are including</w:t>
      </w:r>
      <w:r w:rsidR="005C6BCE">
        <w:t xml:space="preserve"> </w:t>
      </w:r>
      <w:r w:rsidR="001736C4">
        <w:t xml:space="preserve">geoblocking </w:t>
      </w:r>
      <w:r w:rsidR="005C6BCE">
        <w:t>to secure territorial limitations on contractual obligations</w:t>
      </w:r>
      <w:r w:rsidR="003F05BB">
        <w:t xml:space="preserve">; second, </w:t>
      </w:r>
      <w:r w:rsidR="00537942">
        <w:t xml:space="preserve">regulators </w:t>
      </w:r>
      <w:r w:rsidR="001B6430">
        <w:t xml:space="preserve">have </w:t>
      </w:r>
      <w:r w:rsidR="00537942">
        <w:t xml:space="preserve">turned to </w:t>
      </w:r>
      <w:r w:rsidR="003F05BB">
        <w:t>geoblocking as the</w:t>
      </w:r>
      <w:r w:rsidR="00453D38">
        <w:t>ir preferred</w:t>
      </w:r>
      <w:r w:rsidR="003F05BB">
        <w:t xml:space="preserve"> means </w:t>
      </w:r>
      <w:r w:rsidR="00991C3A">
        <w:t>of achieving</w:t>
      </w:r>
      <w:r w:rsidR="003F05BB">
        <w:t xml:space="preserve"> compliance with territorially</w:t>
      </w:r>
      <w:r w:rsidR="00453D38">
        <w:t>-</w:t>
      </w:r>
      <w:r w:rsidR="003F05BB">
        <w:t xml:space="preserve">limited regulatory requirements; and, third </w:t>
      </w:r>
      <w:r w:rsidR="00B960E5">
        <w:t>(</w:t>
      </w:r>
      <w:r w:rsidR="003F05BB">
        <w:t xml:space="preserve">the most remarkable development </w:t>
      </w:r>
      <w:r w:rsidR="00861C6C">
        <w:t>so</w:t>
      </w:r>
      <w:r w:rsidR="003F05BB">
        <w:t xml:space="preserve"> far</w:t>
      </w:r>
      <w:r w:rsidR="00B960E5">
        <w:t>)</w:t>
      </w:r>
      <w:r w:rsidR="003F05BB">
        <w:t xml:space="preserve">, </w:t>
      </w:r>
      <w:r w:rsidR="00453D38">
        <w:t xml:space="preserve">the legal profession is exploring </w:t>
      </w:r>
      <w:r w:rsidR="00861C6C">
        <w:t xml:space="preserve">the potential for </w:t>
      </w:r>
      <w:r w:rsidR="003F05BB">
        <w:t xml:space="preserve">geoblocking </w:t>
      </w:r>
      <w:r w:rsidR="00FA3EFA">
        <w:t>as</w:t>
      </w:r>
      <w:r w:rsidR="00861C6C">
        <w:t xml:space="preserve"> </w:t>
      </w:r>
      <w:r w:rsidR="009329CB">
        <w:t xml:space="preserve">the </w:t>
      </w:r>
      <w:r w:rsidR="009329CB">
        <w:rPr>
          <w:i/>
        </w:rPr>
        <w:t>only</w:t>
      </w:r>
      <w:r w:rsidR="003F05BB">
        <w:t xml:space="preserve"> </w:t>
      </w:r>
      <w:r w:rsidR="001B6430">
        <w:t xml:space="preserve">valid </w:t>
      </w:r>
      <w:r w:rsidR="00537942">
        <w:t xml:space="preserve">means </w:t>
      </w:r>
      <w:r w:rsidR="003F05BB">
        <w:t>to comply with laws that create territorially</w:t>
      </w:r>
      <w:r w:rsidR="00453D38">
        <w:t>-</w:t>
      </w:r>
      <w:r w:rsidR="003F05BB">
        <w:t xml:space="preserve">limited rights and </w:t>
      </w:r>
      <w:r w:rsidR="00453D38">
        <w:t>responsibilities</w:t>
      </w:r>
      <w:r w:rsidR="003F05BB">
        <w:t>.</w:t>
      </w:r>
      <w:r w:rsidR="00146115">
        <w:t xml:space="preserve"> We </w:t>
      </w:r>
      <w:r w:rsidR="00496577">
        <w:t xml:space="preserve">now </w:t>
      </w:r>
      <w:r w:rsidR="00146115">
        <w:t>look at the</w:t>
      </w:r>
      <w:r w:rsidR="00496577">
        <w:t>se</w:t>
      </w:r>
      <w:r w:rsidR="00146115">
        <w:t xml:space="preserve"> developments in detail.</w:t>
      </w:r>
    </w:p>
    <w:p w14:paraId="7ABD757D" w14:textId="77777777" w:rsidR="00D3361E" w:rsidRDefault="00FA4DDA" w:rsidP="00EB39CB">
      <w:r>
        <w:lastRenderedPageBreak/>
        <w:t xml:space="preserve">Parties </w:t>
      </w:r>
      <w:r w:rsidR="00E9183E">
        <w:t xml:space="preserve">enter </w:t>
      </w:r>
      <w:r>
        <w:t>contract</w:t>
      </w:r>
      <w:r w:rsidR="00E9183E">
        <w:t>s</w:t>
      </w:r>
      <w:r>
        <w:t xml:space="preserve"> </w:t>
      </w:r>
      <w:r w:rsidR="00D118A7">
        <w:t>that include obligation</w:t>
      </w:r>
      <w:r w:rsidR="002E5BA3">
        <w:t>s</w:t>
      </w:r>
      <w:r w:rsidR="00D118A7">
        <w:t xml:space="preserve"> </w:t>
      </w:r>
      <w:r>
        <w:t>to geoblock for various reasons</w:t>
      </w:r>
      <w:r w:rsidR="00FF4F18">
        <w:t xml:space="preserve">, not all of which are </w:t>
      </w:r>
      <w:r w:rsidR="00146115">
        <w:t>based in legal requirements</w:t>
      </w:r>
      <w:r>
        <w:t>.</w:t>
      </w:r>
      <w:bookmarkStart w:id="2" w:name="_Ref427151833"/>
      <w:r w:rsidR="005D36DE">
        <w:rPr>
          <w:rStyle w:val="FootnoteReference"/>
        </w:rPr>
        <w:footnoteReference w:id="5"/>
      </w:r>
      <w:bookmarkEnd w:id="2"/>
      <w:r>
        <w:t xml:space="preserve"> </w:t>
      </w:r>
      <w:r w:rsidR="00FF4F18">
        <w:t>G</w:t>
      </w:r>
      <w:r w:rsidR="0051148A">
        <w:t xml:space="preserve">eoblocking may </w:t>
      </w:r>
      <w:r w:rsidR="00FF4F18">
        <w:t>be used to customize local</w:t>
      </w:r>
      <w:r w:rsidR="00146115">
        <w:t>ized</w:t>
      </w:r>
      <w:r w:rsidR="00FF4F18">
        <w:t xml:space="preserve"> services through </w:t>
      </w:r>
      <w:r w:rsidR="00861C6C">
        <w:t xml:space="preserve">supply of </w:t>
      </w:r>
      <w:r w:rsidR="007C31EE">
        <w:t>content in a particular</w:t>
      </w:r>
      <w:r w:rsidR="0051148A">
        <w:t xml:space="preserve"> language</w:t>
      </w:r>
      <w:r w:rsidR="00C939F8">
        <w:t xml:space="preserve">, </w:t>
      </w:r>
      <w:r w:rsidR="00861C6C">
        <w:t>cultur</w:t>
      </w:r>
      <w:r w:rsidR="00B71780">
        <w:t>ally</w:t>
      </w:r>
      <w:r w:rsidR="00861C6C">
        <w:t>-sensitive content</w:t>
      </w:r>
      <w:r w:rsidR="00C939F8">
        <w:t>,</w:t>
      </w:r>
      <w:r w:rsidR="0051148A">
        <w:t xml:space="preserve"> and localized advertising.</w:t>
      </w:r>
      <w:r w:rsidR="00302138">
        <w:t xml:space="preserve"> </w:t>
      </w:r>
      <w:r w:rsidR="00514D8D">
        <w:t xml:space="preserve">Geoblocking may be also used to enforce price differentiation in various markets. </w:t>
      </w:r>
      <w:r w:rsidR="00861C6C">
        <w:t>C</w:t>
      </w:r>
      <w:r w:rsidR="00302138">
        <w:t>ontractual</w:t>
      </w:r>
      <w:r w:rsidR="007C31EE">
        <w:t>ly</w:t>
      </w:r>
      <w:r w:rsidR="00B71780">
        <w:t>-</w:t>
      </w:r>
      <w:r w:rsidR="00D118A7">
        <w:t>prescribed</w:t>
      </w:r>
      <w:r w:rsidR="00302138">
        <w:t xml:space="preserve"> geoblocking </w:t>
      </w:r>
      <w:r w:rsidR="00E9183E">
        <w:t>need not follow</w:t>
      </w:r>
      <w:r w:rsidR="00302138">
        <w:t xml:space="preserve"> national borders</w:t>
      </w:r>
      <w:r w:rsidR="007C31EE">
        <w:t xml:space="preserve">; parties may define </w:t>
      </w:r>
      <w:r w:rsidR="00302138">
        <w:t>other</w:t>
      </w:r>
      <w:r w:rsidR="00F32628">
        <w:t>, completely different</w:t>
      </w:r>
      <w:r w:rsidR="00302138">
        <w:t xml:space="preserve"> territorial limits </w:t>
      </w:r>
      <w:r w:rsidR="00F32628">
        <w:t>if they wish</w:t>
      </w:r>
      <w:r w:rsidR="00FF4F18">
        <w:t xml:space="preserve"> – such as only the West Coast of the United States, or the Flemish-speaking region of Belgium</w:t>
      </w:r>
      <w:r w:rsidR="00F32628">
        <w:t>.</w:t>
      </w:r>
      <w:r w:rsidR="001A285D">
        <w:t xml:space="preserve"> </w:t>
      </w:r>
      <w:r w:rsidR="007C31EE">
        <w:t>Additionally</w:t>
      </w:r>
      <w:r w:rsidR="00861C6C">
        <w:t xml:space="preserve">, parties </w:t>
      </w:r>
      <w:r w:rsidR="009329CB">
        <w:t xml:space="preserve">include </w:t>
      </w:r>
      <w:r w:rsidR="001D7D38">
        <w:t>geoblock</w:t>
      </w:r>
      <w:r w:rsidR="009329CB">
        <w:t>ing</w:t>
      </w:r>
      <w:r w:rsidR="001D7D38">
        <w:t xml:space="preserve"> </w:t>
      </w:r>
      <w:r w:rsidR="009329CB">
        <w:t>in their</w:t>
      </w:r>
      <w:r w:rsidR="00F32628">
        <w:t xml:space="preserve"> contract</w:t>
      </w:r>
      <w:r w:rsidR="009329CB">
        <w:t>s</w:t>
      </w:r>
      <w:r w:rsidR="00F32628">
        <w:t xml:space="preserve"> in order </w:t>
      </w:r>
      <w:r w:rsidR="001D7D38">
        <w:t xml:space="preserve">to comply with </w:t>
      </w:r>
      <w:r w:rsidR="009B611C">
        <w:t xml:space="preserve">obligations related to territorial limitations </w:t>
      </w:r>
      <w:r w:rsidR="00F32628">
        <w:t xml:space="preserve">arising by </w:t>
      </w:r>
      <w:r w:rsidR="009B611C">
        <w:t>law</w:t>
      </w:r>
      <w:r w:rsidR="001D7D38">
        <w:t xml:space="preserve">. For example, when a content provider </w:t>
      </w:r>
      <w:r w:rsidR="009B611C">
        <w:t xml:space="preserve">owns copyright </w:t>
      </w:r>
      <w:r w:rsidR="008D0146">
        <w:t xml:space="preserve">to content </w:t>
      </w:r>
      <w:r w:rsidR="009B611C">
        <w:t xml:space="preserve">in only some countries and </w:t>
      </w:r>
      <w:r w:rsidR="001D7D38">
        <w:t xml:space="preserve">licenses </w:t>
      </w:r>
      <w:r w:rsidR="008D0146">
        <w:t>that</w:t>
      </w:r>
      <w:r w:rsidR="009B611C">
        <w:t xml:space="preserve"> </w:t>
      </w:r>
      <w:r w:rsidR="001D7D38">
        <w:t xml:space="preserve">content </w:t>
      </w:r>
      <w:r w:rsidR="00861C6C">
        <w:t xml:space="preserve">only </w:t>
      </w:r>
      <w:r w:rsidR="007C31EE">
        <w:t>for</w:t>
      </w:r>
      <w:r w:rsidR="001D7D38">
        <w:t xml:space="preserve"> </w:t>
      </w:r>
      <w:r w:rsidR="001C6BA9">
        <w:t>some of the countries</w:t>
      </w:r>
      <w:r w:rsidR="008D0146">
        <w:t xml:space="preserve"> in which it owns copyright</w:t>
      </w:r>
      <w:r w:rsidR="001D7D38">
        <w:t xml:space="preserve">, </w:t>
      </w:r>
      <w:r w:rsidR="008D0146">
        <w:t>its</w:t>
      </w:r>
      <w:r w:rsidR="001D7D38">
        <w:t xml:space="preserve"> license may require </w:t>
      </w:r>
      <w:r w:rsidR="007C31EE">
        <w:t xml:space="preserve">that the licensee </w:t>
      </w:r>
      <w:r w:rsidR="001D7D38">
        <w:t xml:space="preserve">geoblock users </w:t>
      </w:r>
      <w:r w:rsidR="002E5BA3">
        <w:t>who connect</w:t>
      </w:r>
      <w:r w:rsidR="007C31EE">
        <w:t xml:space="preserve"> </w:t>
      </w:r>
      <w:r w:rsidR="001D7D38">
        <w:t xml:space="preserve">from </w:t>
      </w:r>
      <w:r w:rsidR="007C31EE">
        <w:t xml:space="preserve">outside the </w:t>
      </w:r>
      <w:r w:rsidR="009B611C">
        <w:t xml:space="preserve">particular </w:t>
      </w:r>
      <w:r w:rsidR="001C6BA9">
        <w:t>countries</w:t>
      </w:r>
      <w:r w:rsidR="001D7D38">
        <w:t xml:space="preserve"> </w:t>
      </w:r>
      <w:r w:rsidR="009B611C">
        <w:t>for which the license is issued</w:t>
      </w:r>
      <w:r w:rsidR="001D7D38">
        <w:t>.</w:t>
      </w:r>
      <w:r w:rsidR="00CD4714">
        <w:t xml:space="preserve"> For instance, when Czech Television obtains a license from BBC to the </w:t>
      </w:r>
      <w:r w:rsidR="00CD4714" w:rsidRPr="00672819">
        <w:rPr>
          <w:i/>
        </w:rPr>
        <w:t>Doc Martin</w:t>
      </w:r>
      <w:r w:rsidR="00CD4714">
        <w:t xml:space="preserve"> TV show, BBC might limit the license to the territory of the Czech Republic with the result that the Czech Television must use geoblocking to prevent users who connect from outside the Czech Republic from viewing the show on the</w:t>
      </w:r>
      <w:r w:rsidR="00795027">
        <w:t>ir platform</w:t>
      </w:r>
      <w:r w:rsidR="00CD4714">
        <w:t>.</w:t>
      </w:r>
    </w:p>
    <w:p w14:paraId="5151465A" w14:textId="77777777" w:rsidR="00EB6453" w:rsidRDefault="00B05A29" w:rsidP="00EB39CB">
      <w:r>
        <w:t xml:space="preserve">The acceptance of geoblocking as a tool of regulation </w:t>
      </w:r>
      <w:r w:rsidR="003400DF">
        <w:t>is</w:t>
      </w:r>
      <w:r>
        <w:t xml:space="preserve"> an</w:t>
      </w:r>
      <w:r w:rsidR="001E1389">
        <w:t>other</w:t>
      </w:r>
      <w:r>
        <w:t xml:space="preserve"> important development.</w:t>
      </w:r>
      <w:r w:rsidR="00BE33C8">
        <w:t xml:space="preserve"> </w:t>
      </w:r>
      <w:r w:rsidR="00E06E91">
        <w:t>For example,</w:t>
      </w:r>
      <w:r w:rsidR="00BE33C8">
        <w:t xml:space="preserve"> </w:t>
      </w:r>
      <w:r w:rsidR="00434CCC">
        <w:t xml:space="preserve">online gambling </w:t>
      </w:r>
      <w:r w:rsidR="00551CDA">
        <w:t xml:space="preserve">regulators </w:t>
      </w:r>
      <w:r w:rsidR="00434CCC">
        <w:t xml:space="preserve">in some jurisdictions require their licensees to use geoblocking tools and to </w:t>
      </w:r>
      <w:r w:rsidR="007D2C8B">
        <w:t>allow</w:t>
      </w:r>
      <w:r w:rsidR="00434CCC">
        <w:t xml:space="preserve"> users to access content only within </w:t>
      </w:r>
      <w:r w:rsidR="00551CDA">
        <w:t xml:space="preserve">the </w:t>
      </w:r>
      <w:r w:rsidR="00434CCC">
        <w:t xml:space="preserve">jurisdictions where </w:t>
      </w:r>
      <w:r w:rsidR="00DC303A">
        <w:t xml:space="preserve">online </w:t>
      </w:r>
      <w:r w:rsidR="00551CDA">
        <w:t>gambl</w:t>
      </w:r>
      <w:r w:rsidR="00DC303A">
        <w:t>ing</w:t>
      </w:r>
      <w:r w:rsidR="00E06E91">
        <w:t xml:space="preserve"> is legal</w:t>
      </w:r>
      <w:r w:rsidR="00434CCC">
        <w:t>.</w:t>
      </w:r>
      <w:r w:rsidR="00A7171A">
        <w:t xml:space="preserve"> </w:t>
      </w:r>
      <w:r w:rsidR="00D15E51">
        <w:t xml:space="preserve">In Germany, when </w:t>
      </w:r>
      <w:r w:rsidR="00A7171A">
        <w:t>doubt</w:t>
      </w:r>
      <w:r w:rsidR="00D15E51">
        <w:t>s</w:t>
      </w:r>
      <w:r w:rsidR="00A7171A">
        <w:t xml:space="preserve"> arose </w:t>
      </w:r>
      <w:r w:rsidR="00921F40">
        <w:t xml:space="preserve">as to </w:t>
      </w:r>
      <w:r w:rsidR="00A7171A">
        <w:t xml:space="preserve">whether geoblocking </w:t>
      </w:r>
      <w:r w:rsidR="00921F40">
        <w:t xml:space="preserve">was and is </w:t>
      </w:r>
      <w:r w:rsidR="00A7171A">
        <w:t xml:space="preserve">a sufficiently reliably tool to meet </w:t>
      </w:r>
      <w:r w:rsidR="00921F40">
        <w:t xml:space="preserve">the </w:t>
      </w:r>
      <w:r w:rsidR="00A7171A">
        <w:t xml:space="preserve">territorial limitations </w:t>
      </w:r>
      <w:r w:rsidR="005277A5">
        <w:t xml:space="preserve">set </w:t>
      </w:r>
      <w:r w:rsidR="00921F40">
        <w:t xml:space="preserve">by law </w:t>
      </w:r>
      <w:r w:rsidR="005277A5">
        <w:t>for</w:t>
      </w:r>
      <w:r w:rsidR="00A7171A">
        <w:t xml:space="preserve"> online gambling, courts </w:t>
      </w:r>
      <w:r w:rsidR="00921F40">
        <w:t xml:space="preserve">have </w:t>
      </w:r>
      <w:r w:rsidR="00A7171A">
        <w:t xml:space="preserve">confirmed that </w:t>
      </w:r>
      <w:r w:rsidR="00921F40">
        <w:t>geoblocking is sufficiently reliable</w:t>
      </w:r>
      <w:r w:rsidR="00DC303A">
        <w:t xml:space="preserve"> for that purpose</w:t>
      </w:r>
      <w:r w:rsidR="00A7171A">
        <w:t>.</w:t>
      </w:r>
      <w:r w:rsidR="00A700D5">
        <w:rPr>
          <w:rStyle w:val="FootnoteReference"/>
        </w:rPr>
        <w:footnoteReference w:id="6"/>
      </w:r>
      <w:r w:rsidR="00473801">
        <w:t xml:space="preserve"> </w:t>
      </w:r>
      <w:r w:rsidR="00921F40">
        <w:t>In the United States, a</w:t>
      </w:r>
      <w:r w:rsidR="00473801">
        <w:t xml:space="preserve"> Kentucky court issued an order </w:t>
      </w:r>
      <w:r w:rsidR="00921F40">
        <w:t>directing</w:t>
      </w:r>
      <w:r w:rsidR="00473801">
        <w:t xml:space="preserve"> a</w:t>
      </w:r>
      <w:r w:rsidR="00455C43">
        <w:t>n</w:t>
      </w:r>
      <w:r w:rsidR="00473801">
        <w:t xml:space="preserve"> online gambling website to geoblock users connecting from Kentucky in order </w:t>
      </w:r>
      <w:r w:rsidR="00DC303A">
        <w:t>for</w:t>
      </w:r>
      <w:r w:rsidR="00473801">
        <w:t xml:space="preserve"> the website to comply with Kentucky law.</w:t>
      </w:r>
      <w:r w:rsidR="00473801">
        <w:rPr>
          <w:rStyle w:val="FootnoteReference"/>
        </w:rPr>
        <w:footnoteReference w:id="7"/>
      </w:r>
    </w:p>
    <w:p w14:paraId="3604D3F8" w14:textId="77777777" w:rsidR="00E23556" w:rsidRDefault="009A6CDD" w:rsidP="00E23556">
      <w:r>
        <w:t>As the</w:t>
      </w:r>
      <w:r w:rsidR="00717561">
        <w:t>se</w:t>
      </w:r>
      <w:r>
        <w:t xml:space="preserve"> two court </w:t>
      </w:r>
      <w:r w:rsidR="00AE571C">
        <w:t>decisions</w:t>
      </w:r>
      <w:r>
        <w:t xml:space="preserve"> suggest, g</w:t>
      </w:r>
      <w:r w:rsidR="001736C4">
        <w:t xml:space="preserve">eoblocking </w:t>
      </w:r>
      <w:r w:rsidR="00717561">
        <w:t xml:space="preserve">may </w:t>
      </w:r>
      <w:r w:rsidR="00B5062F">
        <w:t xml:space="preserve">eventually </w:t>
      </w:r>
      <w:r w:rsidR="00717561">
        <w:t xml:space="preserve">be </w:t>
      </w:r>
      <w:r w:rsidR="00B5062F">
        <w:t>recognized</w:t>
      </w:r>
      <w:r w:rsidR="001736C4">
        <w:t xml:space="preserve"> </w:t>
      </w:r>
      <w:r w:rsidR="007F7495">
        <w:t xml:space="preserve">by courts </w:t>
      </w:r>
      <w:r w:rsidR="001736C4">
        <w:t xml:space="preserve">as </w:t>
      </w:r>
      <w:r w:rsidR="00B5062F" w:rsidRPr="009329CB">
        <w:rPr>
          <w:i/>
        </w:rPr>
        <w:t>the</w:t>
      </w:r>
      <w:r w:rsidR="005C6BCE">
        <w:t xml:space="preserve"> indispensable</w:t>
      </w:r>
      <w:r w:rsidR="007F7495">
        <w:t xml:space="preserve"> compliance</w:t>
      </w:r>
      <w:r w:rsidR="001736C4">
        <w:t xml:space="preserve"> </w:t>
      </w:r>
      <w:r w:rsidR="00E23556">
        <w:t>tool</w:t>
      </w:r>
      <w:r w:rsidR="00D776D1">
        <w:t>.</w:t>
      </w:r>
      <w:r w:rsidR="004D4ACE">
        <w:t xml:space="preserve"> This development is important because it </w:t>
      </w:r>
      <w:r w:rsidR="00C62482">
        <w:t xml:space="preserve">could </w:t>
      </w:r>
      <w:r w:rsidR="004D4ACE">
        <w:t xml:space="preserve">result in geoblocking being </w:t>
      </w:r>
      <w:r w:rsidR="00B5062F">
        <w:t>accepted</w:t>
      </w:r>
      <w:r w:rsidR="004D4ACE">
        <w:t xml:space="preserve"> as </w:t>
      </w:r>
      <w:r w:rsidR="00735910">
        <w:t>standard</w:t>
      </w:r>
      <w:r w:rsidR="00735910" w:rsidRPr="00C53A0A">
        <w:t xml:space="preserve"> </w:t>
      </w:r>
      <w:r w:rsidR="00E23556" w:rsidRPr="00C53A0A">
        <w:t xml:space="preserve">practice on the internet – </w:t>
      </w:r>
      <w:r w:rsidR="009A75AF">
        <w:t>the</w:t>
      </w:r>
      <w:r w:rsidR="009A75AF" w:rsidRPr="00C53A0A">
        <w:t xml:space="preserve"> </w:t>
      </w:r>
      <w:r w:rsidR="00735910">
        <w:t>standard</w:t>
      </w:r>
      <w:r w:rsidR="00735910" w:rsidRPr="00C53A0A">
        <w:t xml:space="preserve"> </w:t>
      </w:r>
      <w:r w:rsidR="00E23556" w:rsidRPr="00C53A0A">
        <w:t xml:space="preserve">measure that every actor on the internet </w:t>
      </w:r>
      <w:r w:rsidR="00A829FF">
        <w:t>would be</w:t>
      </w:r>
      <w:r w:rsidR="00E23556" w:rsidRPr="00C53A0A">
        <w:t xml:space="preserve"> expected to employ </w:t>
      </w:r>
      <w:r w:rsidR="00A829FF">
        <w:t>in order to satisfy</w:t>
      </w:r>
      <w:r w:rsidR="00E23556" w:rsidRPr="00C53A0A">
        <w:t xml:space="preserve"> an obligation to territorially restrict access to content on the internet.</w:t>
      </w:r>
    </w:p>
    <w:p w14:paraId="7244B2CC" w14:textId="77777777" w:rsidR="00525D06" w:rsidRDefault="00F80483" w:rsidP="00F80483">
      <w:r w:rsidRPr="00C53A0A">
        <w:t>T</w:t>
      </w:r>
      <w:r w:rsidR="000F0739">
        <w:t xml:space="preserve">ypically, the </w:t>
      </w:r>
      <w:r w:rsidRPr="00C53A0A">
        <w:t>law expects person</w:t>
      </w:r>
      <w:r>
        <w:t>s</w:t>
      </w:r>
      <w:r w:rsidRPr="00C53A0A">
        <w:t xml:space="preserve"> and entities to employ measures </w:t>
      </w:r>
      <w:r w:rsidR="00CD2B6B">
        <w:t xml:space="preserve">that are reasonable according to the law </w:t>
      </w:r>
      <w:r w:rsidRPr="00C53A0A">
        <w:t xml:space="preserve">to comply with </w:t>
      </w:r>
      <w:r w:rsidR="00634544">
        <w:t>the law, including its territorial limitations</w:t>
      </w:r>
      <w:r w:rsidRPr="00C53A0A">
        <w:t xml:space="preserve">. An example </w:t>
      </w:r>
      <w:r w:rsidR="0035765D">
        <w:t xml:space="preserve">of </w:t>
      </w:r>
      <w:r w:rsidR="00B06480">
        <w:t xml:space="preserve">an offline </w:t>
      </w:r>
      <w:r w:rsidRPr="00C53A0A">
        <w:t xml:space="preserve">distribution of a book </w:t>
      </w:r>
      <w:r w:rsidR="0035765D">
        <w:t>is illustrative</w:t>
      </w:r>
      <w:r w:rsidRPr="00C53A0A">
        <w:t xml:space="preserve">: When a distributor </w:t>
      </w:r>
      <w:r>
        <w:t>obtains</w:t>
      </w:r>
      <w:r w:rsidRPr="00C53A0A">
        <w:t xml:space="preserve"> a license to </w:t>
      </w:r>
      <w:r w:rsidR="007F7495">
        <w:t xml:space="preserve">sell </w:t>
      </w:r>
      <w:r w:rsidRPr="00C53A0A">
        <w:t xml:space="preserve">copies of a book </w:t>
      </w:r>
      <w:r w:rsidR="0035765D">
        <w:t xml:space="preserve">in </w:t>
      </w:r>
      <w:r w:rsidRPr="00C53A0A">
        <w:t xml:space="preserve">one particular country, the law </w:t>
      </w:r>
      <w:r w:rsidR="0035765D">
        <w:t>requires</w:t>
      </w:r>
      <w:r w:rsidRPr="00C53A0A">
        <w:t xml:space="preserve"> the distributor to take reasonable measures to comply with the territorial limitation of the license. </w:t>
      </w:r>
      <w:r w:rsidR="00907F3B">
        <w:t>T</w:t>
      </w:r>
      <w:r w:rsidRPr="00C53A0A">
        <w:t xml:space="preserve">he distributor </w:t>
      </w:r>
      <w:r w:rsidR="00907F3B">
        <w:t>takes a reasonable measure, for example, when it checks</w:t>
      </w:r>
      <w:r w:rsidRPr="00C53A0A">
        <w:t xml:space="preserve"> the address of </w:t>
      </w:r>
      <w:r>
        <w:t>a</w:t>
      </w:r>
      <w:r w:rsidRPr="00C53A0A">
        <w:t xml:space="preserve"> purchaser before </w:t>
      </w:r>
      <w:r w:rsidR="00907F3B">
        <w:t>it</w:t>
      </w:r>
      <w:r w:rsidRPr="00C53A0A">
        <w:t xml:space="preserve"> ships a copy of the book to the purchaser. The law does </w:t>
      </w:r>
      <w:r w:rsidR="00491463">
        <w:t xml:space="preserve">not </w:t>
      </w:r>
      <w:r w:rsidR="00907F3B">
        <w:t>require</w:t>
      </w:r>
      <w:r w:rsidRPr="00C53A0A">
        <w:t xml:space="preserve"> the distributor to attach a weight to </w:t>
      </w:r>
      <w:r>
        <w:t>every</w:t>
      </w:r>
      <w:r w:rsidRPr="00C53A0A">
        <w:t xml:space="preserve"> copy to make transportation of the copies more difficult, nor does the law expect the distributor to attach </w:t>
      </w:r>
      <w:r w:rsidR="00DF4332">
        <w:t xml:space="preserve">a radio frequency identification tag </w:t>
      </w:r>
      <w:r w:rsidR="00880F7E">
        <w:t>to</w:t>
      </w:r>
      <w:r w:rsidRPr="00C53A0A">
        <w:t xml:space="preserve"> </w:t>
      </w:r>
      <w:r>
        <w:t>every</w:t>
      </w:r>
      <w:r w:rsidRPr="00C53A0A">
        <w:t xml:space="preserve"> copy and install a surveillance system to monitor the </w:t>
      </w:r>
      <w:r w:rsidRPr="00C53A0A">
        <w:lastRenderedPageBreak/>
        <w:t xml:space="preserve">movement of each copy and prevent </w:t>
      </w:r>
      <w:r w:rsidR="00491463">
        <w:t>copies from</w:t>
      </w:r>
      <w:r w:rsidRPr="00C53A0A">
        <w:t xml:space="preserve"> leaving the country. The latter two measures are technically feasible </w:t>
      </w:r>
      <w:r>
        <w:t xml:space="preserve">but </w:t>
      </w:r>
      <w:r w:rsidRPr="00C53A0A">
        <w:t>are clearly not reasonable</w:t>
      </w:r>
      <w:r w:rsidR="00DB11CE">
        <w:t>;</w:t>
      </w:r>
      <w:r w:rsidRPr="00C53A0A">
        <w:t xml:space="preserve"> </w:t>
      </w:r>
      <w:r w:rsidR="00DB11CE">
        <w:t>a</w:t>
      </w:r>
      <w:r w:rsidRPr="00C53A0A">
        <w:t xml:space="preserve"> contract could in theory bind the publisher to employ such measures, provided that the publisher would agree to such unusual contractual terms. However, absent such contractual </w:t>
      </w:r>
      <w:r>
        <w:t>terms</w:t>
      </w:r>
      <w:r w:rsidRPr="00C53A0A">
        <w:t xml:space="preserve"> </w:t>
      </w:r>
      <w:r>
        <w:t xml:space="preserve">or absent an explicit requirement in the law, </w:t>
      </w:r>
      <w:r w:rsidRPr="00C53A0A">
        <w:t xml:space="preserve">no one would read in the law – for example in copyright law in the present example – an obligation to employ such </w:t>
      </w:r>
      <w:r w:rsidR="00DB11CE">
        <w:t xml:space="preserve">extreme </w:t>
      </w:r>
      <w:r w:rsidRPr="00C53A0A">
        <w:t>measures.</w:t>
      </w:r>
    </w:p>
    <w:p w14:paraId="508C36EB" w14:textId="77777777" w:rsidR="00F80483" w:rsidRDefault="00C678A2" w:rsidP="00F80483">
      <w:r>
        <w:t>Is</w:t>
      </w:r>
      <w:r w:rsidR="00437A25">
        <w:t xml:space="preserve"> geoblocking today </w:t>
      </w:r>
      <w:r>
        <w:t>more consistent with</w:t>
      </w:r>
      <w:r w:rsidR="00F80483" w:rsidRPr="00C53A0A">
        <w:t xml:space="preserve"> checking purchasers’ addresses or </w:t>
      </w:r>
      <w:r>
        <w:t>is it more like</w:t>
      </w:r>
      <w:r w:rsidR="00F80483" w:rsidRPr="00C53A0A">
        <w:t xml:space="preserve"> attaching weights and </w:t>
      </w:r>
      <w:r w:rsidR="009A75AF">
        <w:t xml:space="preserve">radio frequency identification tags </w:t>
      </w:r>
      <w:r w:rsidR="00F80483">
        <w:t>to books</w:t>
      </w:r>
      <w:r>
        <w:t>?</w:t>
      </w:r>
      <w:r w:rsidR="00F80483" w:rsidRPr="00C53A0A">
        <w:t xml:space="preserve"> If geoblocking </w:t>
      </w:r>
      <w:r>
        <w:t>is more like checking purchasers</w:t>
      </w:r>
      <w:r w:rsidR="00735910">
        <w:t>’</w:t>
      </w:r>
      <w:r>
        <w:t xml:space="preserve"> addresses</w:t>
      </w:r>
      <w:r w:rsidR="00F80483">
        <w:t xml:space="preserve"> and is</w:t>
      </w:r>
      <w:r w:rsidR="00F80483" w:rsidRPr="00C53A0A">
        <w:t xml:space="preserve"> a reasonable measure, </w:t>
      </w:r>
      <w:r w:rsidR="00F80483">
        <w:t xml:space="preserve">then </w:t>
      </w:r>
      <w:r w:rsidR="00F80483" w:rsidRPr="00C53A0A">
        <w:t>any territorial limitation</w:t>
      </w:r>
      <w:r w:rsidR="00F80483">
        <w:t>s</w:t>
      </w:r>
      <w:r w:rsidR="00F80483" w:rsidRPr="00C53A0A">
        <w:t xml:space="preserve"> </w:t>
      </w:r>
      <w:r w:rsidR="00735910">
        <w:t>mandated by law should implicate the required use of geoblocking</w:t>
      </w:r>
      <w:r w:rsidR="00F80483" w:rsidRPr="00C53A0A">
        <w:t xml:space="preserve">. </w:t>
      </w:r>
      <w:r w:rsidR="006F0FEC">
        <w:t xml:space="preserve">If geoblocking </w:t>
      </w:r>
      <w:r w:rsidR="00735910">
        <w:t xml:space="preserve">is more like </w:t>
      </w:r>
      <w:r w:rsidR="00613582">
        <w:t>a</w:t>
      </w:r>
      <w:r w:rsidR="00735910">
        <w:t xml:space="preserve"> weight or </w:t>
      </w:r>
      <w:r w:rsidR="009A75AF">
        <w:t>radio tag</w:t>
      </w:r>
      <w:r w:rsidR="00735910">
        <w:t xml:space="preserve">, it is not a reasonable measure and will not </w:t>
      </w:r>
      <w:r w:rsidR="007F7495">
        <w:t xml:space="preserve">usually </w:t>
      </w:r>
      <w:r w:rsidR="00735910">
        <w:t>be required by law.</w:t>
      </w:r>
      <w:r w:rsidR="00261EA0">
        <w:t xml:space="preserve"> </w:t>
      </w:r>
      <w:r w:rsidR="00F80483" w:rsidRPr="00C53A0A">
        <w:t xml:space="preserve">The following dispute involving video content made available on the internet highlights the </w:t>
      </w:r>
      <w:r w:rsidR="00437A25">
        <w:t>issue that needs to be clarified</w:t>
      </w:r>
      <w:r w:rsidR="00F80483" w:rsidRPr="00C53A0A">
        <w:t>.</w:t>
      </w:r>
    </w:p>
    <w:p w14:paraId="2E23A41F" w14:textId="77777777" w:rsidR="004312A7" w:rsidRDefault="00671EA1" w:rsidP="00F80483">
      <w:r>
        <w:t>A</w:t>
      </w:r>
      <w:r w:rsidR="00F80483" w:rsidRPr="00C53A0A">
        <w:t xml:space="preserve"> dispute </w:t>
      </w:r>
      <w:r w:rsidR="00F80483">
        <w:t>arose</w:t>
      </w:r>
      <w:r w:rsidR="00F80483" w:rsidRPr="00C53A0A">
        <w:t xml:space="preserve"> </w:t>
      </w:r>
      <w:r w:rsidR="00F80483">
        <w:t xml:space="preserve">between </w:t>
      </w:r>
      <w:r w:rsidR="00F80483" w:rsidRPr="00941302">
        <w:rPr>
          <w:i/>
        </w:rPr>
        <w:t>Spanski Enterprises, Inc.</w:t>
      </w:r>
      <w:r w:rsidR="00F80483" w:rsidRPr="00C53A0A">
        <w:t xml:space="preserve">, a Canadian </w:t>
      </w:r>
      <w:r w:rsidR="0060461A">
        <w:t>television distributor</w:t>
      </w:r>
      <w:r w:rsidR="00F80483" w:rsidRPr="00C53A0A">
        <w:t xml:space="preserve">, and </w:t>
      </w:r>
      <w:r w:rsidR="00F80483" w:rsidRPr="00941302">
        <w:rPr>
          <w:i/>
        </w:rPr>
        <w:t>Telewizja Polska, S.A.</w:t>
      </w:r>
      <w:r w:rsidR="00261EA0">
        <w:t>, a Polish government-</w:t>
      </w:r>
      <w:r w:rsidR="00F80483" w:rsidRPr="00C53A0A">
        <w:t xml:space="preserve">owned corporation </w:t>
      </w:r>
      <w:r w:rsidR="00261EA0">
        <w:t>that operates</w:t>
      </w:r>
      <w:r w:rsidR="00F80483" w:rsidRPr="00C53A0A">
        <w:t xml:space="preserve"> several television channels in Poland. </w:t>
      </w:r>
      <w:r w:rsidR="00F80483" w:rsidRPr="00941302">
        <w:rPr>
          <w:i/>
        </w:rPr>
        <w:t>Spanski Enterprises</w:t>
      </w:r>
      <w:r w:rsidR="00F80483" w:rsidRPr="00C53A0A">
        <w:t xml:space="preserve"> obtained an exclusive license from </w:t>
      </w:r>
      <w:r w:rsidR="00F80483" w:rsidRPr="00941302">
        <w:rPr>
          <w:i/>
        </w:rPr>
        <w:t>Telewizja Polska</w:t>
      </w:r>
      <w:r w:rsidR="00F80483" w:rsidRPr="00C53A0A">
        <w:t xml:space="preserve"> to broadcast Polish television programming in North and South America; </w:t>
      </w:r>
      <w:r w:rsidR="00EA1EEF">
        <w:t xml:space="preserve">later </w:t>
      </w:r>
      <w:r w:rsidR="00F80483" w:rsidRPr="00C53A0A">
        <w:t xml:space="preserve">the </w:t>
      </w:r>
      <w:r w:rsidR="00EA1EEF">
        <w:t xml:space="preserve">parties updated the </w:t>
      </w:r>
      <w:r w:rsidR="00F80483" w:rsidRPr="00C53A0A">
        <w:t xml:space="preserve">license </w:t>
      </w:r>
      <w:r w:rsidR="00EA1EEF">
        <w:t>to include</w:t>
      </w:r>
      <w:r w:rsidR="00F80483" w:rsidRPr="00C53A0A">
        <w:t xml:space="preserve"> broadcast</w:t>
      </w:r>
      <w:r w:rsidR="00261EA0">
        <w:t>ing</w:t>
      </w:r>
      <w:r w:rsidR="00F80483" w:rsidRPr="00C53A0A">
        <w:t xml:space="preserve"> on the internet. </w:t>
      </w:r>
      <w:r w:rsidR="00EA1EEF">
        <w:t>However</w:t>
      </w:r>
      <w:r w:rsidR="00261EA0">
        <w:t xml:space="preserve">, </w:t>
      </w:r>
      <w:r w:rsidR="00BD3085">
        <w:t>approximately</w:t>
      </w:r>
      <w:r w:rsidR="004312A7">
        <w:t xml:space="preserve"> seven years </w:t>
      </w:r>
      <w:r w:rsidR="00BD3085">
        <w:t xml:space="preserve">into </w:t>
      </w:r>
      <w:r w:rsidR="004312A7">
        <w:t xml:space="preserve">the license, </w:t>
      </w:r>
      <w:r w:rsidR="00EA1EEF" w:rsidRPr="00941302">
        <w:rPr>
          <w:i/>
        </w:rPr>
        <w:t>Spanski Enterprises</w:t>
      </w:r>
      <w:r w:rsidR="00EA1EEF">
        <w:t xml:space="preserve"> </w:t>
      </w:r>
      <w:r w:rsidR="00F80483" w:rsidRPr="00C53A0A">
        <w:t xml:space="preserve">objected to the fact that internet users </w:t>
      </w:r>
      <w:r w:rsidR="00581C0D">
        <w:t>in</w:t>
      </w:r>
      <w:r w:rsidR="00581C0D" w:rsidRPr="00C53A0A">
        <w:t xml:space="preserve"> </w:t>
      </w:r>
      <w:r w:rsidR="00F80483" w:rsidRPr="00C53A0A">
        <w:t>North and South America could access</w:t>
      </w:r>
      <w:r w:rsidR="00581C0D">
        <w:t xml:space="preserve"> the</w:t>
      </w:r>
      <w:r w:rsidR="00F80483" w:rsidRPr="00C53A0A">
        <w:t xml:space="preserve"> </w:t>
      </w:r>
      <w:r w:rsidR="00F80483" w:rsidRPr="00941302">
        <w:rPr>
          <w:i/>
        </w:rPr>
        <w:t>Telewizja Polska</w:t>
      </w:r>
      <w:r w:rsidR="00F80483" w:rsidRPr="00C53A0A">
        <w:t xml:space="preserve"> website and watch </w:t>
      </w:r>
      <w:r w:rsidR="00735910">
        <w:t>content</w:t>
      </w:r>
      <w:r w:rsidR="00F80483" w:rsidRPr="00C53A0A">
        <w:t xml:space="preserve"> </w:t>
      </w:r>
      <w:r w:rsidR="00EF426E">
        <w:t>on the website</w:t>
      </w:r>
      <w:r w:rsidR="00F80483" w:rsidRPr="00C53A0A">
        <w:t xml:space="preserve"> </w:t>
      </w:r>
      <w:r w:rsidR="00581C0D">
        <w:t>for</w:t>
      </w:r>
      <w:r w:rsidR="00F80483" w:rsidRPr="00C53A0A">
        <w:t xml:space="preserve"> which </w:t>
      </w:r>
      <w:r w:rsidR="00F80483" w:rsidRPr="00941302">
        <w:rPr>
          <w:i/>
        </w:rPr>
        <w:t>Spanski Enterprises</w:t>
      </w:r>
      <w:r w:rsidR="00F80483" w:rsidRPr="00C53A0A">
        <w:t xml:space="preserve"> held </w:t>
      </w:r>
      <w:r w:rsidR="00581C0D">
        <w:t>an</w:t>
      </w:r>
      <w:r w:rsidR="00F80483" w:rsidRPr="00C53A0A">
        <w:t xml:space="preserve"> exclusive license. </w:t>
      </w:r>
    </w:p>
    <w:p w14:paraId="285C0F6E" w14:textId="77777777" w:rsidR="00F80483" w:rsidRPr="00C53A0A" w:rsidRDefault="00F80483" w:rsidP="00F80483">
      <w:r w:rsidRPr="00C53A0A">
        <w:t xml:space="preserve">The first </w:t>
      </w:r>
      <w:r w:rsidR="00735910" w:rsidRPr="00C53A0A">
        <w:t>l</w:t>
      </w:r>
      <w:r w:rsidR="00735910">
        <w:t>awsuit</w:t>
      </w:r>
      <w:r w:rsidR="00735910" w:rsidRPr="00C53A0A">
        <w:t xml:space="preserve"> </w:t>
      </w:r>
      <w:r w:rsidRPr="00C53A0A">
        <w:t xml:space="preserve">that </w:t>
      </w:r>
      <w:r w:rsidRPr="00941302">
        <w:rPr>
          <w:i/>
        </w:rPr>
        <w:t>Spanski Enterprises</w:t>
      </w:r>
      <w:r w:rsidRPr="00C53A0A">
        <w:t xml:space="preserve"> </w:t>
      </w:r>
      <w:r w:rsidR="00735910">
        <w:t>filed</w:t>
      </w:r>
      <w:r w:rsidR="00735910" w:rsidRPr="00C53A0A">
        <w:t xml:space="preserve"> </w:t>
      </w:r>
      <w:r w:rsidR="00964B28">
        <w:t>(</w:t>
      </w:r>
      <w:r w:rsidRPr="00C53A0A">
        <w:t>in 2007</w:t>
      </w:r>
      <w:r w:rsidR="00964B28">
        <w:t>)</w:t>
      </w:r>
      <w:r w:rsidRPr="00C53A0A">
        <w:t xml:space="preserve"> resulted in a </w:t>
      </w:r>
      <w:r w:rsidR="00964B28">
        <w:t xml:space="preserve">2009 </w:t>
      </w:r>
      <w:r w:rsidRPr="00C53A0A">
        <w:t>settlement agreement in which the parties agreed to “maintain and continue all Internet geo-blocking which is currently in effect, and […] use their best efforts to conform their respective future geo-blocking efforts to the latest widely disseminated and financially practicable geo-blocking technologies.”</w:t>
      </w:r>
      <w:bookmarkStart w:id="3" w:name="_Ref427140367"/>
      <w:r w:rsidRPr="00C53A0A">
        <w:rPr>
          <w:rStyle w:val="FootnoteReference"/>
          <w:rFonts w:cs="Times New Roman"/>
          <w:szCs w:val="24"/>
        </w:rPr>
        <w:footnoteReference w:id="8"/>
      </w:r>
      <w:bookmarkEnd w:id="3"/>
      <w:r w:rsidRPr="00C53A0A">
        <w:t xml:space="preserve"> </w:t>
      </w:r>
      <w:r w:rsidR="00964B28">
        <w:t>Then, in 2012,</w:t>
      </w:r>
      <w:r w:rsidRPr="00C53A0A">
        <w:t xml:space="preserve"> </w:t>
      </w:r>
      <w:r w:rsidRPr="00941302">
        <w:rPr>
          <w:i/>
        </w:rPr>
        <w:t>Spanski Enterprises</w:t>
      </w:r>
      <w:r w:rsidRPr="00C53A0A">
        <w:t xml:space="preserve"> returned to court with allegations that </w:t>
      </w:r>
      <w:r w:rsidRPr="00941302">
        <w:rPr>
          <w:i/>
        </w:rPr>
        <w:t>Telewizja Polska</w:t>
      </w:r>
      <w:r w:rsidRPr="00C53A0A">
        <w:t xml:space="preserve"> </w:t>
      </w:r>
      <w:r w:rsidR="00964B28">
        <w:t xml:space="preserve">had </w:t>
      </w:r>
      <w:r w:rsidRPr="00C53A0A">
        <w:t>“turned off the geoblocking feature and thereby intentionally made available to viewers in the United States via the Internet thousands of episodes of shows to which [</w:t>
      </w:r>
      <w:r w:rsidRPr="00941302">
        <w:rPr>
          <w:i/>
        </w:rPr>
        <w:t>Spanski Enterprises</w:t>
      </w:r>
      <w:r w:rsidRPr="00C53A0A">
        <w:t>] had the exclusive distribution rights in the United States.”</w:t>
      </w:r>
      <w:r w:rsidRPr="00C53A0A">
        <w:rPr>
          <w:rStyle w:val="FootnoteReference"/>
          <w:rFonts w:cs="Times New Roman"/>
          <w:szCs w:val="24"/>
        </w:rPr>
        <w:footnoteReference w:id="9"/>
      </w:r>
      <w:r>
        <w:t xml:space="preserve"> As of </w:t>
      </w:r>
      <w:r w:rsidR="0060461A">
        <w:t xml:space="preserve">September </w:t>
      </w:r>
      <w:r>
        <w:t>2015 the case was still pending before the U.S. District Court for the District of Columbia</w:t>
      </w:r>
      <w:r w:rsidR="0060461A">
        <w:t xml:space="preserve"> with </w:t>
      </w:r>
      <w:r w:rsidR="007263C4">
        <w:t>the</w:t>
      </w:r>
      <w:r w:rsidR="0060461A">
        <w:t xml:space="preserve"> trial date set for December 7, 2015</w:t>
      </w:r>
      <w:r>
        <w:t>.</w:t>
      </w:r>
      <w:r w:rsidR="00753ABA">
        <w:rPr>
          <w:rStyle w:val="FootnoteReference"/>
        </w:rPr>
        <w:footnoteReference w:id="10"/>
      </w:r>
    </w:p>
    <w:p w14:paraId="6EC8C474" w14:textId="77777777" w:rsidR="00F80483" w:rsidRDefault="00F80483" w:rsidP="00F80483">
      <w:r w:rsidRPr="00C53A0A">
        <w:t xml:space="preserve">If </w:t>
      </w:r>
      <w:r w:rsidRPr="00941302">
        <w:rPr>
          <w:i/>
        </w:rPr>
        <w:t>Telewizja Polska</w:t>
      </w:r>
      <w:r w:rsidRPr="00C53A0A">
        <w:t xml:space="preserve"> </w:t>
      </w:r>
      <w:r w:rsidR="003459F4">
        <w:t xml:space="preserve">did </w:t>
      </w:r>
      <w:r w:rsidRPr="00C53A0A">
        <w:t xml:space="preserve">indeed </w:t>
      </w:r>
      <w:r w:rsidR="003459F4">
        <w:t>disable</w:t>
      </w:r>
      <w:r w:rsidRPr="00C53A0A">
        <w:t xml:space="preserve"> geoblocking (</w:t>
      </w:r>
      <w:r w:rsidR="00A37DE2">
        <w:t xml:space="preserve">an allegation </w:t>
      </w:r>
      <w:r w:rsidR="007F7495">
        <w:t xml:space="preserve">it </w:t>
      </w:r>
      <w:r w:rsidR="00A37DE2">
        <w:t>denied</w:t>
      </w:r>
      <w:r w:rsidRPr="00C53A0A">
        <w:t xml:space="preserve">), it would likely violate the settlement agreement. The more difficult </w:t>
      </w:r>
      <w:r w:rsidR="00A37DE2">
        <w:t>question</w:t>
      </w:r>
      <w:r w:rsidRPr="00C53A0A">
        <w:t xml:space="preserve"> is whether </w:t>
      </w:r>
      <w:r w:rsidRPr="00941302">
        <w:rPr>
          <w:i/>
        </w:rPr>
        <w:t>Telewizja Polska</w:t>
      </w:r>
      <w:r w:rsidRPr="00C53A0A">
        <w:t xml:space="preserve">’s </w:t>
      </w:r>
      <w:r w:rsidR="00321C9F">
        <w:t xml:space="preserve">alleged </w:t>
      </w:r>
      <w:r w:rsidRPr="00C53A0A">
        <w:t>actions would violate U.S. copyright law</w:t>
      </w:r>
      <w:r w:rsidR="00462F33">
        <w:t xml:space="preserve"> – whether the use of </w:t>
      </w:r>
      <w:r w:rsidRPr="00C53A0A">
        <w:t xml:space="preserve">geoblocking </w:t>
      </w:r>
      <w:r w:rsidR="00462F33">
        <w:t xml:space="preserve">is </w:t>
      </w:r>
      <w:r w:rsidRPr="00C53A0A">
        <w:t xml:space="preserve">a reasonable measure that </w:t>
      </w:r>
      <w:r w:rsidR="00321C9F">
        <w:t>the law today</w:t>
      </w:r>
      <w:r w:rsidR="00321C9F" w:rsidRPr="00C53A0A">
        <w:t xml:space="preserve"> </w:t>
      </w:r>
      <w:r w:rsidRPr="00C53A0A">
        <w:t xml:space="preserve">should expect to be employed by content providers to avoid infringing </w:t>
      </w:r>
      <w:r w:rsidR="00321C9F">
        <w:t xml:space="preserve">the </w:t>
      </w:r>
      <w:r>
        <w:t>copyright</w:t>
      </w:r>
      <w:r w:rsidR="00321C9F">
        <w:t>s</w:t>
      </w:r>
      <w:r w:rsidRPr="00C53A0A">
        <w:t xml:space="preserve"> of others</w:t>
      </w:r>
      <w:r w:rsidR="00462F33">
        <w:t>.</w:t>
      </w:r>
      <w:r w:rsidRPr="00C53A0A">
        <w:t xml:space="preserve"> </w:t>
      </w:r>
      <w:r w:rsidRPr="00941302">
        <w:rPr>
          <w:i/>
        </w:rPr>
        <w:t>Spanski Enterprises</w:t>
      </w:r>
      <w:r w:rsidRPr="00C53A0A">
        <w:t xml:space="preserve"> </w:t>
      </w:r>
      <w:r>
        <w:t>claims</w:t>
      </w:r>
      <w:r w:rsidRPr="00C53A0A">
        <w:t xml:space="preserve"> that </w:t>
      </w:r>
      <w:r w:rsidRPr="00941302">
        <w:rPr>
          <w:i/>
        </w:rPr>
        <w:t>Telewizja Polska</w:t>
      </w:r>
      <w:r w:rsidRPr="00C53A0A">
        <w:t xml:space="preserve"> infringe</w:t>
      </w:r>
      <w:r w:rsidR="00321C9F">
        <w:t>d</w:t>
      </w:r>
      <w:r w:rsidRPr="00C53A0A">
        <w:t xml:space="preserve"> copyright under U.S. law; </w:t>
      </w:r>
      <w:r w:rsidRPr="00941302">
        <w:rPr>
          <w:i/>
        </w:rPr>
        <w:t>Telewizja Polska</w:t>
      </w:r>
      <w:r w:rsidRPr="00C53A0A">
        <w:t xml:space="preserve"> </w:t>
      </w:r>
      <w:r w:rsidR="00321C9F">
        <w:t>contends</w:t>
      </w:r>
      <w:r w:rsidRPr="00C53A0A">
        <w:t xml:space="preserve"> that its “obligation to geo-block </w:t>
      </w:r>
      <w:r w:rsidRPr="00C53A0A">
        <w:lastRenderedPageBreak/>
        <w:t>is a contractual covenant to protect the rights actually licensed to [</w:t>
      </w:r>
      <w:r w:rsidRPr="00941302">
        <w:rPr>
          <w:i/>
        </w:rPr>
        <w:t>Spanski Enterprises</w:t>
      </w:r>
      <w:r w:rsidRPr="00C53A0A">
        <w:t>] – it is not part of the licensed rights themselves.”</w:t>
      </w:r>
      <w:r w:rsidRPr="00C53A0A">
        <w:rPr>
          <w:rStyle w:val="FootnoteReference"/>
        </w:rPr>
        <w:footnoteReference w:id="11"/>
      </w:r>
    </w:p>
    <w:p w14:paraId="272579A6" w14:textId="77777777" w:rsidR="00F80483" w:rsidRDefault="00F80483" w:rsidP="00F80483">
      <w:r w:rsidRPr="00941302">
        <w:rPr>
          <w:i/>
        </w:rPr>
        <w:t>Telewizja Polska</w:t>
      </w:r>
      <w:r>
        <w:t xml:space="preserve"> </w:t>
      </w:r>
      <w:r w:rsidR="003153A8">
        <w:t>argues</w:t>
      </w:r>
      <w:r>
        <w:t xml:space="preserve"> that </w:t>
      </w:r>
      <w:r w:rsidR="00D6753B">
        <w:t>an</w:t>
      </w:r>
      <w:r>
        <w:t xml:space="preserve"> obligation to geoblock is a </w:t>
      </w:r>
      <w:r w:rsidR="00BA4D12">
        <w:t xml:space="preserve">contractual </w:t>
      </w:r>
      <w:r>
        <w:t>covenant</w:t>
      </w:r>
      <w:r w:rsidR="003153A8">
        <w:t>.</w:t>
      </w:r>
      <w:r w:rsidR="00D6753B">
        <w:t xml:space="preserve"> </w:t>
      </w:r>
      <w:r w:rsidR="003153A8">
        <w:t>I</w:t>
      </w:r>
      <w:r>
        <w:t xml:space="preserve">f </w:t>
      </w:r>
      <w:r w:rsidRPr="00941302">
        <w:rPr>
          <w:i/>
        </w:rPr>
        <w:t>Spanski Enterprises</w:t>
      </w:r>
      <w:r>
        <w:t xml:space="preserve"> </w:t>
      </w:r>
      <w:r w:rsidR="00D6753B">
        <w:t xml:space="preserve">can prove its </w:t>
      </w:r>
      <w:r>
        <w:t xml:space="preserve">allegations, a breach of a contractual covenant would result </w:t>
      </w:r>
      <w:r w:rsidR="003153A8">
        <w:t xml:space="preserve">only </w:t>
      </w:r>
      <w:r>
        <w:t>in monetary remedies for a violation of the agreement</w:t>
      </w:r>
      <w:r w:rsidR="00CE2FAA">
        <w:t>;</w:t>
      </w:r>
      <w:r>
        <w:t xml:space="preserve"> </w:t>
      </w:r>
      <w:r w:rsidR="00CE2FAA">
        <w:t>a</w:t>
      </w:r>
      <w:r>
        <w:t xml:space="preserve"> finding of copyright infringement would presumably be more costly for </w:t>
      </w:r>
      <w:r w:rsidRPr="00941302">
        <w:rPr>
          <w:i/>
        </w:rPr>
        <w:t>Telewizja Polska</w:t>
      </w:r>
      <w:r>
        <w:t xml:space="preserve">. </w:t>
      </w:r>
      <w:r w:rsidR="003153A8">
        <w:t>T</w:t>
      </w:r>
      <w:r>
        <w:t xml:space="preserve">he </w:t>
      </w:r>
      <w:r w:rsidR="003153A8">
        <w:t xml:space="preserve">outcome of the </w:t>
      </w:r>
      <w:r>
        <w:t xml:space="preserve">case </w:t>
      </w:r>
      <w:r w:rsidR="002159A7">
        <w:t>could</w:t>
      </w:r>
      <w:r w:rsidR="003153A8">
        <w:t xml:space="preserve"> </w:t>
      </w:r>
      <w:r>
        <w:t xml:space="preserve">be of general importance </w:t>
      </w:r>
      <w:r w:rsidR="00CD4E98">
        <w:t xml:space="preserve">for </w:t>
      </w:r>
      <w:r>
        <w:t xml:space="preserve">the future of geoblocking because it </w:t>
      </w:r>
      <w:r w:rsidR="003153A8">
        <w:t>sh</w:t>
      </w:r>
      <w:r>
        <w:t xml:space="preserve">ould clarify whether geoblocking is </w:t>
      </w:r>
      <w:r w:rsidRPr="002159A7">
        <w:rPr>
          <w:i/>
        </w:rPr>
        <w:t>the</w:t>
      </w:r>
      <w:r>
        <w:t xml:space="preserve"> </w:t>
      </w:r>
      <w:r w:rsidR="0087597D">
        <w:t xml:space="preserve">reasonable measure – </w:t>
      </w:r>
      <w:r w:rsidR="0087597D" w:rsidRPr="002159A7">
        <w:rPr>
          <w:i/>
        </w:rPr>
        <w:t>the</w:t>
      </w:r>
      <w:r w:rsidR="0087597D">
        <w:t xml:space="preserve"> </w:t>
      </w:r>
      <w:r>
        <w:t xml:space="preserve">standard </w:t>
      </w:r>
      <w:r w:rsidR="0087597D">
        <w:t xml:space="preserve">means </w:t>
      </w:r>
      <w:r>
        <w:t xml:space="preserve">that internet actors must employ to meet territorial limitations on rights and </w:t>
      </w:r>
      <w:r w:rsidR="003153A8">
        <w:t xml:space="preserve">responsibilities </w:t>
      </w:r>
      <w:r w:rsidR="005835C8">
        <w:t>imposed by law</w:t>
      </w:r>
      <w:r>
        <w:t>.</w:t>
      </w:r>
    </w:p>
    <w:p w14:paraId="63B8912C" w14:textId="77777777" w:rsidR="009216B7" w:rsidRDefault="009216B7" w:rsidP="00EB39CB"/>
    <w:p w14:paraId="3AA623D8" w14:textId="77777777" w:rsidR="00B848E3" w:rsidRDefault="00D41640" w:rsidP="00D41640">
      <w:pPr>
        <w:pStyle w:val="Heading2"/>
      </w:pPr>
      <w:r>
        <w:t>Minimum Standards for Geoblocking</w:t>
      </w:r>
    </w:p>
    <w:p w14:paraId="12B9EDAA" w14:textId="77777777" w:rsidR="008B317C" w:rsidRDefault="008B317C" w:rsidP="00EB39CB"/>
    <w:p w14:paraId="01DF3E38" w14:textId="77777777" w:rsidR="00D7425F" w:rsidRDefault="0032081A" w:rsidP="0032081A">
      <w:r>
        <w:t>M</w:t>
      </w:r>
      <w:r w:rsidRPr="00C53A0A">
        <w:t>inimum standards for geoblocking</w:t>
      </w:r>
      <w:r>
        <w:t xml:space="preserve"> – the hallmark of the second stage of the development in the relationship between geoblocking and legal compliance – have</w:t>
      </w:r>
      <w:r w:rsidR="003153A8">
        <w:t xml:space="preserve"> </w:t>
      </w:r>
      <w:r>
        <w:t xml:space="preserve">been </w:t>
      </w:r>
      <w:r w:rsidR="00ED2B4B">
        <w:t xml:space="preserve">the </w:t>
      </w:r>
      <w:r w:rsidR="003153A8">
        <w:t xml:space="preserve">subject of </w:t>
      </w:r>
      <w:r w:rsidR="007F7495">
        <w:t>debate</w:t>
      </w:r>
      <w:r>
        <w:t xml:space="preserve">. </w:t>
      </w:r>
      <w:r w:rsidR="00810B74">
        <w:t>A</w:t>
      </w:r>
      <w:r w:rsidR="00144DAA">
        <w:t xml:space="preserve"> range of </w:t>
      </w:r>
      <w:r w:rsidR="00C759EB">
        <w:t>geoblocking</w:t>
      </w:r>
      <w:r w:rsidR="00144DAA">
        <w:t xml:space="preserve"> tools exist</w:t>
      </w:r>
      <w:r w:rsidR="00C34CE8">
        <w:t>s</w:t>
      </w:r>
      <w:r w:rsidR="00144DAA">
        <w:t xml:space="preserve">, and more </w:t>
      </w:r>
      <w:r w:rsidR="003153A8">
        <w:t xml:space="preserve">advanced </w:t>
      </w:r>
      <w:r w:rsidR="00144DAA">
        <w:t xml:space="preserve">tools are </w:t>
      </w:r>
      <w:r w:rsidR="00C34CE8">
        <w:t xml:space="preserve">constantly </w:t>
      </w:r>
      <w:r w:rsidR="00144DAA">
        <w:t>being developed.</w:t>
      </w:r>
      <w:r w:rsidR="00144DAA">
        <w:rPr>
          <w:rStyle w:val="FootnoteReference"/>
        </w:rPr>
        <w:footnoteReference w:id="12"/>
      </w:r>
      <w:r w:rsidR="00144DAA">
        <w:t xml:space="preserve"> </w:t>
      </w:r>
      <w:r w:rsidR="003153A8">
        <w:t>The difficulty, of course, is setting minimal legal standards with sufficient precision</w:t>
      </w:r>
      <w:r w:rsidR="00073AEC">
        <w:t>,</w:t>
      </w:r>
      <w:r w:rsidR="003153A8">
        <w:t xml:space="preserve"> </w:t>
      </w:r>
      <w:r w:rsidR="00073AEC">
        <w:t xml:space="preserve">while still allowing </w:t>
      </w:r>
      <w:r w:rsidR="003153A8">
        <w:t xml:space="preserve">improvements in current tools and the development of new tools. </w:t>
      </w:r>
      <w:r w:rsidR="00C76477">
        <w:t xml:space="preserve">To facilitate </w:t>
      </w:r>
      <w:r w:rsidR="00FE0A52">
        <w:t>and propel</w:t>
      </w:r>
      <w:r w:rsidR="00C76477">
        <w:t xml:space="preserve"> improvements, minimum standards </w:t>
      </w:r>
      <w:r w:rsidR="00866C24">
        <w:t xml:space="preserve">must not </w:t>
      </w:r>
      <w:r w:rsidR="00FE0A52">
        <w:t xml:space="preserve">include </w:t>
      </w:r>
      <w:r w:rsidR="00C64FDE">
        <w:t xml:space="preserve">specific </w:t>
      </w:r>
      <w:r w:rsidR="00C76477">
        <w:t>technical details</w:t>
      </w:r>
      <w:r w:rsidR="00866C24">
        <w:t xml:space="preserve"> that would entrench old technology</w:t>
      </w:r>
      <w:r w:rsidR="00C76477">
        <w:t xml:space="preserve">; to </w:t>
      </w:r>
      <w:r w:rsidR="00FE0A52">
        <w:t xml:space="preserve">safeguard the potential </w:t>
      </w:r>
      <w:r w:rsidR="006F3586">
        <w:t>to develop new</w:t>
      </w:r>
      <w:r w:rsidR="00FE0A52">
        <w:t xml:space="preserve"> technology, minimum standards</w:t>
      </w:r>
      <w:r w:rsidR="00C80479">
        <w:t xml:space="preserve"> should follow the principle of technological neutrality.</w:t>
      </w:r>
    </w:p>
    <w:p w14:paraId="6C62AB4E" w14:textId="77777777" w:rsidR="00001101" w:rsidRDefault="006F3586" w:rsidP="0032081A">
      <w:r>
        <w:t>As mentioned earlier, minimum standards for geoblocking exist in contracts between parties that have agree</w:t>
      </w:r>
      <w:r w:rsidR="00246B6C">
        <w:t>d</w:t>
      </w:r>
      <w:r>
        <w:t xml:space="preserve"> to the use of geoblocking. </w:t>
      </w:r>
      <w:r w:rsidR="00187BBD">
        <w:t>For example,</w:t>
      </w:r>
      <w:r w:rsidR="00A445C0">
        <w:t xml:space="preserve"> </w:t>
      </w:r>
      <w:r w:rsidR="00187BBD">
        <w:t xml:space="preserve">the </w:t>
      </w:r>
      <w:r w:rsidR="00A445C0">
        <w:t xml:space="preserve">language </w:t>
      </w:r>
      <w:r w:rsidR="00246B6C">
        <w:t>of</w:t>
      </w:r>
      <w:r w:rsidR="00A445C0">
        <w:t xml:space="preserve"> the </w:t>
      </w:r>
      <w:r w:rsidR="00921FB8">
        <w:t xml:space="preserve">2009 </w:t>
      </w:r>
      <w:r w:rsidR="00A445C0">
        <w:t xml:space="preserve">settlement agreement between </w:t>
      </w:r>
      <w:r w:rsidR="00187BBD" w:rsidRPr="00765AFC">
        <w:rPr>
          <w:i/>
        </w:rPr>
        <w:t>Spanski Enterprises</w:t>
      </w:r>
      <w:r w:rsidR="00187BBD">
        <w:t xml:space="preserve"> and </w:t>
      </w:r>
      <w:r w:rsidR="00187BBD" w:rsidRPr="00765AFC">
        <w:rPr>
          <w:i/>
        </w:rPr>
        <w:t>Telewizja Polska</w:t>
      </w:r>
      <w:r w:rsidR="00187BBD">
        <w:t xml:space="preserve"> </w:t>
      </w:r>
      <w:r w:rsidR="00357C4A">
        <w:t>sets</w:t>
      </w:r>
      <w:r w:rsidR="00187BBD">
        <w:t xml:space="preserve"> a minimum standard for geoblocking</w:t>
      </w:r>
      <w:r w:rsidR="00A445C0">
        <w:t xml:space="preserve">; </w:t>
      </w:r>
      <w:r w:rsidR="00187BBD">
        <w:t>the</w:t>
      </w:r>
      <w:r w:rsidR="00A445C0">
        <w:t xml:space="preserve"> parties agreed </w:t>
      </w:r>
      <w:r w:rsidR="005F5866">
        <w:t>to</w:t>
      </w:r>
      <w:r w:rsidR="00A445C0">
        <w:t xml:space="preserve"> “</w:t>
      </w:r>
      <w:r w:rsidR="00A445C0" w:rsidRPr="00C53A0A">
        <w:t>the latest widely disseminated and financially practicable geo-blocking technologies</w:t>
      </w:r>
      <w:r w:rsidR="00A445C0">
        <w:t>.”</w:t>
      </w:r>
      <w:r w:rsidR="00A445C0">
        <w:rPr>
          <w:rStyle w:val="FootnoteReference"/>
        </w:rPr>
        <w:footnoteReference w:id="13"/>
      </w:r>
      <w:r w:rsidR="00187BBD">
        <w:t xml:space="preserve"> In a licensing agreement concluded between Sony and Netflix, the parties agreed </w:t>
      </w:r>
      <w:r w:rsidR="00925BCB">
        <w:t xml:space="preserve">on very general language according to which </w:t>
      </w:r>
      <w:r w:rsidR="00187BBD">
        <w:t xml:space="preserve">Netflix </w:t>
      </w:r>
      <w:r w:rsidR="00357C4A">
        <w:t>w</w:t>
      </w:r>
      <w:r w:rsidR="00925BCB">
        <w:t>ould</w:t>
      </w:r>
      <w:r w:rsidR="00187BBD">
        <w:t xml:space="preserve"> “utilize an industry standard geolocation service”</w:t>
      </w:r>
      <w:r w:rsidR="00187BBD">
        <w:rPr>
          <w:rStyle w:val="FootnoteReference"/>
        </w:rPr>
        <w:footnoteReference w:id="14"/>
      </w:r>
      <w:r w:rsidR="00187BBD">
        <w:t xml:space="preserve"> </w:t>
      </w:r>
      <w:r w:rsidR="00765AFC">
        <w:t>and</w:t>
      </w:r>
      <w:r w:rsidR="00187BBD">
        <w:t xml:space="preserve"> </w:t>
      </w:r>
      <w:r w:rsidR="00DC6155">
        <w:t>language that</w:t>
      </w:r>
      <w:r w:rsidR="00765AFC">
        <w:t xml:space="preserve"> </w:t>
      </w:r>
      <w:r w:rsidR="0098198A">
        <w:t xml:space="preserve">specified that the geolocation service </w:t>
      </w:r>
      <w:r w:rsidR="00DC6155">
        <w:t xml:space="preserve">employed </w:t>
      </w:r>
      <w:r w:rsidR="0098198A">
        <w:t xml:space="preserve">must, for example, “provide geographic location information based on DNS registrations, WHOIS databases and Internet subnet mapping” and </w:t>
      </w:r>
      <w:r w:rsidR="0098198A" w:rsidRPr="0098198A">
        <w:t xml:space="preserve">“provide geolocation bypass detection technology designed to detect IP addresses located in the Territory, but being used by </w:t>
      </w:r>
      <w:r w:rsidR="0098198A" w:rsidRPr="0098198A">
        <w:lastRenderedPageBreak/>
        <w:t>Registered Users outside the Territory</w:t>
      </w:r>
      <w:r w:rsidR="0098198A">
        <w:t>.</w:t>
      </w:r>
      <w:r w:rsidR="0098198A" w:rsidRPr="0098198A">
        <w:t>”</w:t>
      </w:r>
      <w:r w:rsidR="004C4704">
        <w:rPr>
          <w:rStyle w:val="FootnoteReference"/>
        </w:rPr>
        <w:footnoteReference w:id="15"/>
      </w:r>
      <w:r w:rsidR="00336E6E">
        <w:t xml:space="preserve"> </w:t>
      </w:r>
      <w:r w:rsidR="00357C4A">
        <w:t xml:space="preserve">For the purposes of legal compliance, courts </w:t>
      </w:r>
      <w:r w:rsidR="00C00077">
        <w:t>and regulators will play an important role in defining the minimum standards of geoblocking.</w:t>
      </w:r>
    </w:p>
    <w:p w14:paraId="2052BBB0" w14:textId="77777777" w:rsidR="008D70C9" w:rsidRDefault="00C35A20" w:rsidP="0032081A">
      <w:r>
        <w:t>The general understanding is that geoblocking cannot be perfect</w:t>
      </w:r>
      <w:r w:rsidR="002621D0">
        <w:t xml:space="preserve">; </w:t>
      </w:r>
      <w:r w:rsidR="00765AFC">
        <w:t>geoblocking</w:t>
      </w:r>
      <w:r w:rsidR="00923B7C">
        <w:t xml:space="preserve"> tools are not 100 </w:t>
      </w:r>
      <w:r w:rsidR="00DC6155">
        <w:t>percent</w:t>
      </w:r>
      <w:r w:rsidR="00923B7C">
        <w:t xml:space="preserve"> reliable, particularly given that users </w:t>
      </w:r>
      <w:r w:rsidR="00DC6155">
        <w:t xml:space="preserve">have access to readily available tools </w:t>
      </w:r>
      <w:r w:rsidR="00923B7C">
        <w:t xml:space="preserve">to </w:t>
      </w:r>
      <w:r w:rsidR="00765AFC">
        <w:t>circumvent</w:t>
      </w:r>
      <w:r w:rsidR="00923B7C">
        <w:t xml:space="preserve"> geoblocking.</w:t>
      </w:r>
      <w:r w:rsidR="00923B7C">
        <w:rPr>
          <w:rStyle w:val="FootnoteReference"/>
        </w:rPr>
        <w:footnoteReference w:id="16"/>
      </w:r>
      <w:r w:rsidR="002D4018">
        <w:t xml:space="preserve"> </w:t>
      </w:r>
      <w:r w:rsidR="00632E76">
        <w:t xml:space="preserve">For example, users </w:t>
      </w:r>
      <w:r w:rsidR="002E5CB5">
        <w:t>can</w:t>
      </w:r>
      <w:r w:rsidR="00632E76">
        <w:t xml:space="preserve"> use </w:t>
      </w:r>
      <w:r w:rsidR="00431E27">
        <w:t>VPNs</w:t>
      </w:r>
      <w:r w:rsidR="002E5CB5">
        <w:t>, such as Chameleon,</w:t>
      </w:r>
      <w:r w:rsidR="00632E76">
        <w:t xml:space="preserve"> </w:t>
      </w:r>
      <w:r w:rsidR="002E5CB5">
        <w:t xml:space="preserve">simpler tools, such as MyExpatNetwork, or more complicated tools, such as Tor, to bypass geoblocking and access content on the internet that is otherwise inaccessible to them because of their location. </w:t>
      </w:r>
      <w:r w:rsidR="001569E0">
        <w:t xml:space="preserve">Not only </w:t>
      </w:r>
      <w:r w:rsidR="00953441">
        <w:t xml:space="preserve">might </w:t>
      </w:r>
      <w:r w:rsidR="001569E0">
        <w:t>it</w:t>
      </w:r>
      <w:r w:rsidR="00953441">
        <w:t xml:space="preserve"> be unrealistic to expect </w:t>
      </w:r>
      <w:r w:rsidR="001569E0">
        <w:t xml:space="preserve">perfect </w:t>
      </w:r>
      <w:r w:rsidR="00953441">
        <w:t xml:space="preserve">geoblocking, it might also be </w:t>
      </w:r>
      <w:r w:rsidR="003A09A1">
        <w:t>illogical to require</w:t>
      </w:r>
      <w:r w:rsidR="007D4B77">
        <w:t xml:space="preserve"> perfect geoblocking </w:t>
      </w:r>
      <w:r w:rsidR="00953441">
        <w:t>for purposes of legal compliance.</w:t>
      </w:r>
      <w:r w:rsidR="005F63B0">
        <w:t xml:space="preserve"> </w:t>
      </w:r>
      <w:r w:rsidR="007D4B77">
        <w:t>The offline p</w:t>
      </w:r>
      <w:r w:rsidR="005F63B0">
        <w:t xml:space="preserve">hysical borders on which legal compliance relies </w:t>
      </w:r>
      <w:r w:rsidR="00FB09FD">
        <w:t xml:space="preserve">are not impermeable, and the law </w:t>
      </w:r>
      <w:r w:rsidR="007D4B77">
        <w:t>accepts</w:t>
      </w:r>
      <w:r w:rsidR="00FB09FD">
        <w:t xml:space="preserve"> </w:t>
      </w:r>
      <w:r w:rsidR="00357C4A">
        <w:t xml:space="preserve">some </w:t>
      </w:r>
      <w:r w:rsidR="00FB09FD">
        <w:t>cross-border spillover.</w:t>
      </w:r>
      <w:r w:rsidR="00FE3E12">
        <w:t xml:space="preserve"> </w:t>
      </w:r>
      <w:r w:rsidR="001C3474">
        <w:t xml:space="preserve">For example, countries recognize an intellectual property law </w:t>
      </w:r>
      <w:r w:rsidR="007D4B77">
        <w:t xml:space="preserve">exception </w:t>
      </w:r>
      <w:r w:rsidR="001C3474">
        <w:t xml:space="preserve">for </w:t>
      </w:r>
      <w:r w:rsidR="00765AFC">
        <w:t xml:space="preserve">small quantities of </w:t>
      </w:r>
      <w:r w:rsidR="001C3474">
        <w:t>materials protected by intellectual property rights that traveler</w:t>
      </w:r>
      <w:r w:rsidR="007D4B77">
        <w:t>s</w:t>
      </w:r>
      <w:r w:rsidR="001C3474">
        <w:t xml:space="preserve"> carry in </w:t>
      </w:r>
      <w:r w:rsidR="007D4B77">
        <w:t>their</w:t>
      </w:r>
      <w:r w:rsidR="001C3474">
        <w:t xml:space="preserve"> luggage for personal use.</w:t>
      </w:r>
      <w:r w:rsidR="00765AFC">
        <w:rPr>
          <w:rStyle w:val="FootnoteReference"/>
        </w:rPr>
        <w:footnoteReference w:id="17"/>
      </w:r>
      <w:r w:rsidR="007E39D8">
        <w:t xml:space="preserve"> Similarly, some leakage through national borders </w:t>
      </w:r>
      <w:r w:rsidR="00E5363F">
        <w:t>on the internet should be acceptable</w:t>
      </w:r>
      <w:r w:rsidR="007E39D8">
        <w:t xml:space="preserve">. </w:t>
      </w:r>
      <w:r w:rsidR="007D4B77">
        <w:t>The</w:t>
      </w:r>
      <w:r w:rsidR="005E0A20">
        <w:t xml:space="preserve"> question is what </w:t>
      </w:r>
      <w:r w:rsidR="007D4B77">
        <w:t>an</w:t>
      </w:r>
      <w:r w:rsidR="005E0A20">
        <w:t xml:space="preserve"> acceptable volume of leakage is</w:t>
      </w:r>
      <w:r w:rsidR="007D4B77">
        <w:t>;</w:t>
      </w:r>
      <w:r w:rsidR="005E0A20">
        <w:t xml:space="preserve"> </w:t>
      </w:r>
      <w:r w:rsidR="007D4B77">
        <w:t>the acceptable volume</w:t>
      </w:r>
      <w:r w:rsidR="005E0A20">
        <w:t xml:space="preserve"> may vary depending on the area of law and regulation.</w:t>
      </w:r>
      <w:r w:rsidR="008D70C9">
        <w:t xml:space="preserve"> </w:t>
      </w:r>
      <w:r w:rsidR="0028037C">
        <w:t>In other words, when does VPN or proxy use become too much?</w:t>
      </w:r>
    </w:p>
    <w:p w14:paraId="20F70C28" w14:textId="77777777" w:rsidR="0076580C" w:rsidRDefault="0028037C" w:rsidP="0032081A">
      <w:r>
        <w:t xml:space="preserve">The fact that geoblocking circumvention tools exist </w:t>
      </w:r>
      <w:r w:rsidR="0042594B">
        <w:t>does not mean that geoblocking is incapable of meeting some</w:t>
      </w:r>
      <w:r w:rsidR="0061070B">
        <w:t xml:space="preserve"> minimum standards of </w:t>
      </w:r>
      <w:r w:rsidR="0042594B">
        <w:t>territorial restrictions</w:t>
      </w:r>
      <w:r w:rsidR="00AE36FB">
        <w:t xml:space="preserve"> </w:t>
      </w:r>
      <w:r w:rsidR="00CB0BBE">
        <w:t xml:space="preserve">sufficient for </w:t>
      </w:r>
      <w:r w:rsidR="0061070B">
        <w:t>legal compliance</w:t>
      </w:r>
      <w:r w:rsidR="0042594B">
        <w:t xml:space="preserve">. </w:t>
      </w:r>
      <w:r w:rsidR="00BE357F">
        <w:t xml:space="preserve">The </w:t>
      </w:r>
      <w:r w:rsidR="00CB0BBE">
        <w:t xml:space="preserve">approaches that </w:t>
      </w:r>
      <w:r w:rsidR="00BE357F">
        <w:t xml:space="preserve">courts </w:t>
      </w:r>
      <w:r w:rsidR="00CB0BBE">
        <w:t>have taken to</w:t>
      </w:r>
      <w:r w:rsidR="00BE357F">
        <w:t xml:space="preserve"> </w:t>
      </w:r>
      <w:r w:rsidR="000D191D">
        <w:t xml:space="preserve">evaluate </w:t>
      </w:r>
      <w:r w:rsidR="0061070B">
        <w:t xml:space="preserve">the </w:t>
      </w:r>
      <w:r w:rsidR="00AE36FB">
        <w:t>effectiveness of technological protection measures designed to protect access to copyrighted works is instructive</w:t>
      </w:r>
      <w:r w:rsidR="007D2C8B">
        <w:t xml:space="preserve">, given that, </w:t>
      </w:r>
      <w:r w:rsidR="007E65BD">
        <w:t xml:space="preserve">in the case of technological protection measures, </w:t>
      </w:r>
      <w:r w:rsidR="00AE36FB">
        <w:t>tools also exist t</w:t>
      </w:r>
      <w:r w:rsidR="007E65BD">
        <w:t xml:space="preserve">hat enable </w:t>
      </w:r>
      <w:r w:rsidR="000A2706">
        <w:t>circumvention of</w:t>
      </w:r>
      <w:r w:rsidR="00AE36FB">
        <w:t xml:space="preserve"> these measures.</w:t>
      </w:r>
      <w:r w:rsidR="0061070B">
        <w:t xml:space="preserve"> For example, t</w:t>
      </w:r>
      <w:r w:rsidR="0042594B">
        <w:t xml:space="preserve">he Regional Court </w:t>
      </w:r>
      <w:r w:rsidR="007E65BD">
        <w:t xml:space="preserve">of </w:t>
      </w:r>
      <w:r w:rsidR="0042594B">
        <w:t>Munich</w:t>
      </w:r>
      <w:r w:rsidR="0061070B">
        <w:t xml:space="preserve">, </w:t>
      </w:r>
      <w:r>
        <w:t xml:space="preserve">in a discussion of </w:t>
      </w:r>
      <w:r w:rsidR="00672819">
        <w:t xml:space="preserve">the </w:t>
      </w:r>
      <w:r w:rsidR="00803C1E">
        <w:t>secondary liability of an online journal provider for providing a link to a</w:t>
      </w:r>
      <w:r w:rsidR="00672819">
        <w:t xml:space="preserve"> circumvention tool, </w:t>
      </w:r>
      <w:r w:rsidR="0042594B">
        <w:t xml:space="preserve">noted </w:t>
      </w:r>
      <w:r w:rsidR="00BE357F">
        <w:t>that</w:t>
      </w:r>
      <w:r w:rsidR="0042594B">
        <w:t xml:space="preserve"> </w:t>
      </w:r>
      <w:r w:rsidR="0042594B" w:rsidRPr="00DB6BF3">
        <w:rPr>
          <w:szCs w:val="24"/>
        </w:rPr>
        <w:t>the ineffectiveness of a technological measure cannot be concluded from the existence of a circumvention tool;</w:t>
      </w:r>
      <w:r w:rsidR="0042594B">
        <w:rPr>
          <w:szCs w:val="24"/>
        </w:rPr>
        <w:t xml:space="preserve"> it might be sufficient </w:t>
      </w:r>
      <w:r w:rsidR="001E28CF">
        <w:rPr>
          <w:szCs w:val="24"/>
        </w:rPr>
        <w:t xml:space="preserve">for </w:t>
      </w:r>
      <w:r w:rsidR="0042594B">
        <w:rPr>
          <w:szCs w:val="24"/>
        </w:rPr>
        <w:t xml:space="preserve">the measure </w:t>
      </w:r>
      <w:r w:rsidR="001E28CF">
        <w:rPr>
          <w:szCs w:val="24"/>
        </w:rPr>
        <w:t>to prevent</w:t>
      </w:r>
      <w:r w:rsidR="0042594B">
        <w:rPr>
          <w:szCs w:val="24"/>
        </w:rPr>
        <w:t xml:space="preserve"> </w:t>
      </w:r>
      <w:r w:rsidR="0042594B" w:rsidRPr="00BE357F">
        <w:rPr>
          <w:i/>
          <w:szCs w:val="24"/>
        </w:rPr>
        <w:t>average</w:t>
      </w:r>
      <w:r w:rsidR="0042594B">
        <w:rPr>
          <w:szCs w:val="24"/>
        </w:rPr>
        <w:t xml:space="preserve"> users from accessing </w:t>
      </w:r>
      <w:r w:rsidR="00BE357F">
        <w:rPr>
          <w:szCs w:val="24"/>
        </w:rPr>
        <w:t xml:space="preserve">protected </w:t>
      </w:r>
      <w:r w:rsidR="0042594B">
        <w:rPr>
          <w:szCs w:val="24"/>
        </w:rPr>
        <w:t>content.</w:t>
      </w:r>
      <w:r w:rsidR="0042594B">
        <w:rPr>
          <w:rStyle w:val="FootnoteReference"/>
          <w:szCs w:val="24"/>
        </w:rPr>
        <w:footnoteReference w:id="18"/>
      </w:r>
      <w:r w:rsidR="0076580C">
        <w:rPr>
          <w:szCs w:val="24"/>
        </w:rPr>
        <w:t xml:space="preserve"> </w:t>
      </w:r>
      <w:r w:rsidR="00BE357F">
        <w:rPr>
          <w:szCs w:val="24"/>
        </w:rPr>
        <w:t>The</w:t>
      </w:r>
      <w:r w:rsidR="0076580C">
        <w:rPr>
          <w:szCs w:val="24"/>
        </w:rPr>
        <w:t xml:space="preserve"> U.S. District Court for the Northern District of California rejected </w:t>
      </w:r>
      <w:r w:rsidR="001E28CF">
        <w:rPr>
          <w:szCs w:val="24"/>
        </w:rPr>
        <w:t>an</w:t>
      </w:r>
      <w:r w:rsidR="0076580C">
        <w:rPr>
          <w:szCs w:val="24"/>
        </w:rPr>
        <w:t xml:space="preserve"> argument </w:t>
      </w:r>
      <w:r w:rsidR="001E28CF">
        <w:rPr>
          <w:szCs w:val="24"/>
        </w:rPr>
        <w:t xml:space="preserve">proposing </w:t>
      </w:r>
      <w:r w:rsidR="0076580C">
        <w:rPr>
          <w:szCs w:val="24"/>
        </w:rPr>
        <w:t xml:space="preserve">that a measure </w:t>
      </w:r>
      <w:r w:rsidR="00C53717">
        <w:rPr>
          <w:szCs w:val="24"/>
        </w:rPr>
        <w:t>not</w:t>
      </w:r>
      <w:r w:rsidR="0076580C">
        <w:rPr>
          <w:szCs w:val="24"/>
        </w:rPr>
        <w:t xml:space="preserve"> be considered effective if </w:t>
      </w:r>
      <w:r w:rsidR="0061070B">
        <w:rPr>
          <w:szCs w:val="24"/>
        </w:rPr>
        <w:t>tools to circumvent the measure</w:t>
      </w:r>
      <w:r w:rsidR="0076580C">
        <w:rPr>
          <w:szCs w:val="24"/>
        </w:rPr>
        <w:t xml:space="preserve"> are </w:t>
      </w:r>
      <w:r w:rsidR="0076580C" w:rsidRPr="00F73821">
        <w:t>“widely available on the Internet.”</w:t>
      </w:r>
      <w:r w:rsidR="0076580C">
        <w:rPr>
          <w:rStyle w:val="FootnoteReference"/>
        </w:rPr>
        <w:footnoteReference w:id="19"/>
      </w:r>
      <w:r w:rsidR="0076580C">
        <w:t xml:space="preserve"> </w:t>
      </w:r>
      <w:r w:rsidR="0076580C" w:rsidRPr="00F73821">
        <w:t xml:space="preserve">The court </w:t>
      </w:r>
      <w:r w:rsidR="00DD721D">
        <w:t>said</w:t>
      </w:r>
      <w:r w:rsidR="0076580C" w:rsidRPr="00F73821">
        <w:t xml:space="preserve"> that the argument </w:t>
      </w:r>
      <w:r w:rsidR="00DD721D">
        <w:t>is</w:t>
      </w:r>
      <w:r w:rsidR="0076580C" w:rsidRPr="00F73821">
        <w:t xml:space="preserve"> “equivalent to a claim that, since it is easy to find skeleton keys on the black market, a deadbolt is not an effective lock to a door.”</w:t>
      </w:r>
      <w:r w:rsidR="00BE357F">
        <w:rPr>
          <w:rStyle w:val="FootnoteReference"/>
        </w:rPr>
        <w:footnoteReference w:id="20"/>
      </w:r>
    </w:p>
    <w:p w14:paraId="409A1D5E" w14:textId="77777777" w:rsidR="00BA3C9C" w:rsidRDefault="00BA3C9C" w:rsidP="0032081A"/>
    <w:p w14:paraId="736579E2" w14:textId="77777777" w:rsidR="00D41640" w:rsidRDefault="00D41640" w:rsidP="00D41640">
      <w:pPr>
        <w:pStyle w:val="Heading2"/>
      </w:pPr>
      <w:r>
        <w:t xml:space="preserve">Regulating the </w:t>
      </w:r>
      <w:r w:rsidR="0065380E">
        <w:t>Circumvention</w:t>
      </w:r>
      <w:r>
        <w:t xml:space="preserve"> of Geoblocking</w:t>
      </w:r>
    </w:p>
    <w:p w14:paraId="1701D208" w14:textId="77777777" w:rsidR="00D41640" w:rsidRDefault="00D41640" w:rsidP="00EB39CB"/>
    <w:p w14:paraId="3BE34B5B" w14:textId="77777777" w:rsidR="00B1534B" w:rsidRDefault="007A758D" w:rsidP="00D14880">
      <w:r>
        <w:t xml:space="preserve">In the third stage of the process, the law will start to respond to the easy availability of VPNs, proxies and other circumvention tools. Their widespread use, as shown throughout this book, </w:t>
      </w:r>
      <w:r w:rsidR="00A6111F">
        <w:lastRenderedPageBreak/>
        <w:t>suggest</w:t>
      </w:r>
      <w:r w:rsidR="00FA557F">
        <w:t>s</w:t>
      </w:r>
      <w:r w:rsidR="00A6111F">
        <w:t xml:space="preserve"> that </w:t>
      </w:r>
      <w:r w:rsidR="00312312">
        <w:t xml:space="preserve">ongoing </w:t>
      </w:r>
      <w:r w:rsidR="008B3E68">
        <w:t>evasion</w:t>
      </w:r>
      <w:r w:rsidR="00312312">
        <w:t>s</w:t>
      </w:r>
      <w:r w:rsidR="008B3E68">
        <w:t xml:space="preserve"> </w:t>
      </w:r>
      <w:r w:rsidR="00312312">
        <w:t>can no longer be considered</w:t>
      </w:r>
      <w:r w:rsidR="008B3E68">
        <w:t xml:space="preserve"> negligible spillover.</w:t>
      </w:r>
      <w:r w:rsidR="00606357">
        <w:rPr>
          <w:rStyle w:val="FootnoteReference"/>
        </w:rPr>
        <w:footnoteReference w:id="21"/>
      </w:r>
      <w:r w:rsidR="00AE28D5">
        <w:t xml:space="preserve"> </w:t>
      </w:r>
      <w:r w:rsidR="00D90BC9">
        <w:t>Some c</w:t>
      </w:r>
      <w:r w:rsidR="00117AB7">
        <w:t>ontent providers</w:t>
      </w:r>
      <w:r w:rsidR="00D351B2">
        <w:t xml:space="preserve"> now</w:t>
      </w:r>
      <w:r w:rsidR="00117AB7">
        <w:t xml:space="preserve"> include provisions in their terms of service that prohibit internet users from evading geoblocking. </w:t>
      </w:r>
      <w:r w:rsidR="00B34370">
        <w:t xml:space="preserve">For example, German television station </w:t>
      </w:r>
      <w:r w:rsidR="008C2BD0" w:rsidRPr="00342245">
        <w:rPr>
          <w:i/>
        </w:rPr>
        <w:t>Sat.1</w:t>
      </w:r>
      <w:r w:rsidR="00B34370">
        <w:t xml:space="preserve"> </w:t>
      </w:r>
      <w:r w:rsidR="00A16D22">
        <w:t xml:space="preserve">in </w:t>
      </w:r>
      <w:r w:rsidR="00D351B2">
        <w:t>its</w:t>
      </w:r>
      <w:r w:rsidR="00A16D22">
        <w:t xml:space="preserve"> terms of service for </w:t>
      </w:r>
      <w:r w:rsidR="00742BF9">
        <w:t xml:space="preserve">the </w:t>
      </w:r>
      <w:r w:rsidR="00A16D22">
        <w:t xml:space="preserve">use of its online video portal </w:t>
      </w:r>
      <w:r w:rsidR="00D351B2">
        <w:t>makes it a violation of the terms of service</w:t>
      </w:r>
      <w:r w:rsidR="00A16D22">
        <w:t xml:space="preserve"> </w:t>
      </w:r>
      <w:r w:rsidR="00D351B2">
        <w:t xml:space="preserve">for users </w:t>
      </w:r>
      <w:r w:rsidR="00A16D22">
        <w:t xml:space="preserve">to “alter, evade or otherwise disregard” the technical measures </w:t>
      </w:r>
      <w:r w:rsidR="0059515C">
        <w:t>that the station uses</w:t>
      </w:r>
      <w:r w:rsidR="00A16D22">
        <w:t xml:space="preserve"> to territorially limit the </w:t>
      </w:r>
      <w:r w:rsidR="00D90BC9">
        <w:t xml:space="preserve">access to </w:t>
      </w:r>
      <w:r w:rsidR="00A16D22">
        <w:t>content on the portal.</w:t>
      </w:r>
      <w:r w:rsidR="00A16D22">
        <w:rPr>
          <w:rStyle w:val="FootnoteReference"/>
        </w:rPr>
        <w:footnoteReference w:id="22"/>
      </w:r>
      <w:r w:rsidR="00D14880">
        <w:t xml:space="preserve"> If a user does use a VPN or other tool to </w:t>
      </w:r>
      <w:r w:rsidR="0059515C">
        <w:t>circumvent</w:t>
      </w:r>
      <w:r w:rsidR="00D14880">
        <w:t xml:space="preserve"> geoblo</w:t>
      </w:r>
      <w:r w:rsidR="0059515C">
        <w:t xml:space="preserve">cking, the user violates </w:t>
      </w:r>
      <w:r w:rsidR="00831E3B">
        <w:t xml:space="preserve">this </w:t>
      </w:r>
      <w:r w:rsidR="00D14880">
        <w:t xml:space="preserve">provision of </w:t>
      </w:r>
      <w:r w:rsidR="00831E3B">
        <w:t xml:space="preserve">the </w:t>
      </w:r>
      <w:r w:rsidR="00D14880">
        <w:t>terms of service and is in breach of</w:t>
      </w:r>
      <w:r w:rsidR="0007675C">
        <w:t xml:space="preserve"> his contract with </w:t>
      </w:r>
      <w:r w:rsidR="008C2BD0" w:rsidRPr="00342245">
        <w:rPr>
          <w:i/>
        </w:rPr>
        <w:t>Sat.1</w:t>
      </w:r>
      <w:r w:rsidR="00831E3B">
        <w:t>,</w:t>
      </w:r>
      <w:r w:rsidR="007500B2">
        <w:t xml:space="preserve"> thus exposing himself to </w:t>
      </w:r>
      <w:r w:rsidR="00831E3B">
        <w:t>a response</w:t>
      </w:r>
      <w:r w:rsidR="007500B2">
        <w:t xml:space="preserve"> by </w:t>
      </w:r>
      <w:r w:rsidR="008C2BD0" w:rsidRPr="00342245">
        <w:rPr>
          <w:i/>
        </w:rPr>
        <w:t>Sat.1</w:t>
      </w:r>
      <w:r w:rsidR="00831E3B">
        <w:t>,</w:t>
      </w:r>
      <w:r w:rsidR="007500B2">
        <w:t xml:space="preserve"> who may terminate the contract with the user</w:t>
      </w:r>
      <w:r w:rsidR="00831E3B">
        <w:t xml:space="preserve">, or, </w:t>
      </w:r>
      <w:r w:rsidR="007500B2">
        <w:t xml:space="preserve">although </w:t>
      </w:r>
      <w:r w:rsidR="00831E3B">
        <w:t>unlikely</w:t>
      </w:r>
      <w:r w:rsidR="007500B2">
        <w:t xml:space="preserve">, </w:t>
      </w:r>
      <w:r w:rsidR="00831E3B">
        <w:t>file suit</w:t>
      </w:r>
      <w:r w:rsidR="007500B2">
        <w:t xml:space="preserve"> against the user for </w:t>
      </w:r>
      <w:r w:rsidR="00831E3B">
        <w:t>violati</w:t>
      </w:r>
      <w:r w:rsidR="008A3327">
        <w:t>on of</w:t>
      </w:r>
      <w:r w:rsidR="007500B2">
        <w:t xml:space="preserve"> </w:t>
      </w:r>
      <w:r w:rsidR="00D90BC9">
        <w:t xml:space="preserve">the </w:t>
      </w:r>
      <w:r w:rsidR="007500B2">
        <w:t>contract.</w:t>
      </w:r>
    </w:p>
    <w:p w14:paraId="19CEC2B8" w14:textId="77777777" w:rsidR="00902F91" w:rsidRDefault="00D90BC9" w:rsidP="00D14880">
      <w:r>
        <w:t>A</w:t>
      </w:r>
      <w:r w:rsidR="00871B4E">
        <w:t xml:space="preserve">bsent a </w:t>
      </w:r>
      <w:r>
        <w:t xml:space="preserve">contractual </w:t>
      </w:r>
      <w:r w:rsidR="00871B4E">
        <w:t>provision</w:t>
      </w:r>
      <w:r>
        <w:t xml:space="preserve"> prohibiting circumvention</w:t>
      </w:r>
      <w:r w:rsidR="00871B4E">
        <w:t>, t</w:t>
      </w:r>
      <w:r w:rsidR="00F8368C">
        <w:t xml:space="preserve">he status of </w:t>
      </w:r>
      <w:r w:rsidR="0028037C">
        <w:t>geoblocking evasion</w:t>
      </w:r>
      <w:r w:rsidR="00F8368C">
        <w:t xml:space="preserve"> under the law of various countries is </w:t>
      </w:r>
      <w:r w:rsidR="00F70361">
        <w:t xml:space="preserve">currently </w:t>
      </w:r>
      <w:r w:rsidR="00F8368C">
        <w:t>unclear.</w:t>
      </w:r>
      <w:r w:rsidR="00E00F89">
        <w:rPr>
          <w:rStyle w:val="FootnoteReference"/>
        </w:rPr>
        <w:footnoteReference w:id="23"/>
      </w:r>
      <w:r w:rsidR="00396286">
        <w:t xml:space="preserve"> </w:t>
      </w:r>
      <w:r w:rsidR="00B06F1E">
        <w:t>S</w:t>
      </w:r>
      <w:r w:rsidR="00721148">
        <w:t xml:space="preserve">pecific legislation </w:t>
      </w:r>
      <w:r w:rsidR="00B06F1E">
        <w:t xml:space="preserve">on the evasion of geoblocking </w:t>
      </w:r>
      <w:r w:rsidR="00721148">
        <w:t xml:space="preserve">does not exist; whether </w:t>
      </w:r>
      <w:r w:rsidR="002E552F">
        <w:t xml:space="preserve">the evasion of </w:t>
      </w:r>
      <w:r w:rsidR="00721148">
        <w:t xml:space="preserve">geoblocking is covered by copyright law provisions on technological protection measures </w:t>
      </w:r>
      <w:r w:rsidR="00F87D46">
        <w:t xml:space="preserve">or retransmission </w:t>
      </w:r>
      <w:r w:rsidR="008851F6">
        <w:t>has been disputed,</w:t>
      </w:r>
      <w:r w:rsidR="00721148">
        <w:rPr>
          <w:rStyle w:val="FootnoteReference"/>
        </w:rPr>
        <w:footnoteReference w:id="24"/>
      </w:r>
      <w:r w:rsidR="00721148">
        <w:t xml:space="preserve"> </w:t>
      </w:r>
      <w:r w:rsidR="008851F6">
        <w:t xml:space="preserve">and anti-computer-hacking laws </w:t>
      </w:r>
      <w:r w:rsidR="00B223A8">
        <w:t>m</w:t>
      </w:r>
      <w:r>
        <w:t>ay</w:t>
      </w:r>
      <w:r w:rsidR="008851F6">
        <w:t xml:space="preserve"> be </w:t>
      </w:r>
      <w:r w:rsidR="00B223A8">
        <w:t>applicable in some countries</w:t>
      </w:r>
      <w:r w:rsidR="001521A0">
        <w:t>,</w:t>
      </w:r>
      <w:r w:rsidR="00B223A8">
        <w:t xml:space="preserve"> to a limited degree</w:t>
      </w:r>
      <w:r w:rsidR="008851F6">
        <w:t>.</w:t>
      </w:r>
      <w:r w:rsidR="008851F6">
        <w:rPr>
          <w:rStyle w:val="FootnoteReference"/>
        </w:rPr>
        <w:footnoteReference w:id="25"/>
      </w:r>
      <w:r w:rsidR="008851F6">
        <w:t xml:space="preserve"> </w:t>
      </w:r>
      <w:r w:rsidR="00EE2BB3">
        <w:t>In some countries</w:t>
      </w:r>
      <w:r w:rsidR="00B65A83">
        <w:t xml:space="preserve"> the </w:t>
      </w:r>
      <w:r w:rsidR="00EE2BB3">
        <w:t xml:space="preserve">providers of geoblocking </w:t>
      </w:r>
      <w:r w:rsidR="00913FC7">
        <w:t>circumvention</w:t>
      </w:r>
      <w:r w:rsidR="00EE2BB3">
        <w:t xml:space="preserve"> tools </w:t>
      </w:r>
      <w:r w:rsidR="001521A0">
        <w:t>could</w:t>
      </w:r>
      <w:r>
        <w:t xml:space="preserve"> </w:t>
      </w:r>
      <w:r w:rsidR="00EE2BB3">
        <w:t xml:space="preserve">be held liable </w:t>
      </w:r>
      <w:r>
        <w:t>for</w:t>
      </w:r>
      <w:r w:rsidR="00B223A8">
        <w:t xml:space="preserve"> facilitating access to restricted content</w:t>
      </w:r>
      <w:r w:rsidR="00EE2BB3">
        <w:t>.</w:t>
      </w:r>
      <w:r w:rsidR="00EE2BB3">
        <w:rPr>
          <w:rStyle w:val="FootnoteReference"/>
        </w:rPr>
        <w:footnoteReference w:id="26"/>
      </w:r>
      <w:r w:rsidR="00EE2BB3">
        <w:t xml:space="preserve"> </w:t>
      </w:r>
      <w:r w:rsidR="00BF53B8">
        <w:t>A</w:t>
      </w:r>
      <w:r w:rsidR="00396286">
        <w:t xml:space="preserve"> dispute that arose </w:t>
      </w:r>
      <w:r w:rsidR="00222C4D">
        <w:t xml:space="preserve">in New Zealand </w:t>
      </w:r>
      <w:r w:rsidR="00396286">
        <w:t xml:space="preserve">between </w:t>
      </w:r>
      <w:r w:rsidR="00702B0C">
        <w:t xml:space="preserve">the </w:t>
      </w:r>
      <w:r w:rsidR="00396286">
        <w:t xml:space="preserve">media companies </w:t>
      </w:r>
      <w:r w:rsidR="00396286" w:rsidRPr="00672819">
        <w:t>SKY</w:t>
      </w:r>
      <w:r w:rsidR="00396286" w:rsidRPr="00496577">
        <w:t xml:space="preserve">, </w:t>
      </w:r>
      <w:r w:rsidR="00396286" w:rsidRPr="00672819">
        <w:t>TVNZ</w:t>
      </w:r>
      <w:r w:rsidR="00396286" w:rsidRPr="00496577">
        <w:t xml:space="preserve">, </w:t>
      </w:r>
      <w:r w:rsidR="00396286" w:rsidRPr="00672819">
        <w:t>Lightbox</w:t>
      </w:r>
      <w:r w:rsidR="00396286" w:rsidRPr="00496577">
        <w:t xml:space="preserve">, and </w:t>
      </w:r>
      <w:r w:rsidR="00396286" w:rsidRPr="00672819">
        <w:t>MediaWorks</w:t>
      </w:r>
      <w:r w:rsidR="00396286" w:rsidRPr="00496577">
        <w:t xml:space="preserve"> on one side and </w:t>
      </w:r>
      <w:r w:rsidR="00396286" w:rsidRPr="00672819">
        <w:t>ByPass Network Services</w:t>
      </w:r>
      <w:r w:rsidR="00222C4D">
        <w:t xml:space="preserve"> on the other side</w:t>
      </w:r>
      <w:r w:rsidR="00396286">
        <w:t xml:space="preserve"> seemed to </w:t>
      </w:r>
      <w:r>
        <w:t xml:space="preserve">have </w:t>
      </w:r>
      <w:r w:rsidR="00396286">
        <w:t>provide</w:t>
      </w:r>
      <w:r>
        <w:t>d</w:t>
      </w:r>
      <w:r w:rsidR="00396286">
        <w:t xml:space="preserve"> impetus for a clarification – or at least a fruitful discussion – of the status of </w:t>
      </w:r>
      <w:r w:rsidR="00222C4D">
        <w:t>circumvention</w:t>
      </w:r>
      <w:r w:rsidR="00396286">
        <w:t xml:space="preserve"> of geoblocking in New Zealand</w:t>
      </w:r>
      <w:r w:rsidR="00D5375F">
        <w:t>.</w:t>
      </w:r>
      <w:bookmarkStart w:id="4" w:name="_Ref427225220"/>
      <w:r w:rsidR="00D5375F">
        <w:rPr>
          <w:rStyle w:val="FootnoteReference"/>
        </w:rPr>
        <w:footnoteReference w:id="27"/>
      </w:r>
      <w:bookmarkEnd w:id="4"/>
      <w:r w:rsidR="00396286">
        <w:t xml:space="preserve"> </w:t>
      </w:r>
      <w:r w:rsidR="00D5375F">
        <w:t>T</w:t>
      </w:r>
      <w:r w:rsidR="00396286">
        <w:t>he dispute</w:t>
      </w:r>
      <w:r w:rsidR="00F70361">
        <w:t xml:space="preserve"> </w:t>
      </w:r>
      <w:r w:rsidR="00496577">
        <w:t xml:space="preserve">over the Bypass </w:t>
      </w:r>
      <w:r w:rsidR="00D5375F" w:rsidRPr="00222C4D">
        <w:rPr>
          <w:i/>
        </w:rPr>
        <w:t>GlobalMode</w:t>
      </w:r>
      <w:r w:rsidR="00496577">
        <w:rPr>
          <w:i/>
        </w:rPr>
        <w:t xml:space="preserve"> </w:t>
      </w:r>
      <w:r w:rsidR="00496577">
        <w:t>product – a “geo-unblocking solution” for ISPs –</w:t>
      </w:r>
      <w:r w:rsidR="00D5375F">
        <w:t xml:space="preserve"> </w:t>
      </w:r>
      <w:r w:rsidR="007E5AC6">
        <w:t xml:space="preserve">was </w:t>
      </w:r>
      <w:r w:rsidR="00D5375F">
        <w:t xml:space="preserve">settled in June 2015 </w:t>
      </w:r>
      <w:r w:rsidR="007E5AC6">
        <w:t xml:space="preserve">and therefore provided no </w:t>
      </w:r>
      <w:r w:rsidR="00D5375F">
        <w:t xml:space="preserve">guidance </w:t>
      </w:r>
      <w:r w:rsidR="007E5AC6">
        <w:t>on</w:t>
      </w:r>
      <w:r w:rsidR="00D5375F">
        <w:t xml:space="preserve"> the status of </w:t>
      </w:r>
      <w:r w:rsidR="002E552F">
        <w:t xml:space="preserve">the evasion of </w:t>
      </w:r>
      <w:r w:rsidR="00D5375F">
        <w:t>geoblocking</w:t>
      </w:r>
      <w:r w:rsidR="007E5AC6">
        <w:t xml:space="preserve"> in New Zealand</w:t>
      </w:r>
      <w:r w:rsidR="00D5375F">
        <w:t xml:space="preserve">; nevertheless, it is notable that the practical result was the </w:t>
      </w:r>
      <w:r w:rsidR="002429D3">
        <w:t xml:space="preserve">promise to withdraw </w:t>
      </w:r>
      <w:r w:rsidR="00D5375F">
        <w:t xml:space="preserve">the geoblocking </w:t>
      </w:r>
      <w:r w:rsidR="002429D3">
        <w:t>circumvention</w:t>
      </w:r>
      <w:r w:rsidR="00D5375F">
        <w:t xml:space="preserve"> tool from the New Zealand market as of 1 September 2015.</w:t>
      </w:r>
      <w:r w:rsidR="00D5375F">
        <w:rPr>
          <w:rStyle w:val="FootnoteReference"/>
        </w:rPr>
        <w:footnoteReference w:id="28"/>
      </w:r>
    </w:p>
    <w:p w14:paraId="2C10CC76" w14:textId="77777777" w:rsidR="00B50E64" w:rsidRDefault="00113D7B" w:rsidP="00D14880">
      <w:r>
        <w:t xml:space="preserve">The development of approaches to geoblocking circumvention tools by legislators, </w:t>
      </w:r>
      <w:r w:rsidR="00342245">
        <w:t xml:space="preserve">courts, </w:t>
      </w:r>
      <w:r>
        <w:t>and agencies has</w:t>
      </w:r>
      <w:r w:rsidR="00B50E64">
        <w:t xml:space="preserve"> been complicated by the fact that </w:t>
      </w:r>
      <w:r w:rsidR="00F949C7">
        <w:t>many</w:t>
      </w:r>
      <w:r w:rsidR="00B50E64">
        <w:t xml:space="preserve"> </w:t>
      </w:r>
      <w:r w:rsidR="00F949C7">
        <w:t>existing</w:t>
      </w:r>
      <w:r w:rsidR="007E5AC6">
        <w:t xml:space="preserve"> circumvention</w:t>
      </w:r>
      <w:r w:rsidR="00F949C7">
        <w:t xml:space="preserve"> </w:t>
      </w:r>
      <w:r w:rsidR="00B50E64">
        <w:t xml:space="preserve">tools were developed </w:t>
      </w:r>
      <w:r w:rsidR="007069A9">
        <w:t xml:space="preserve">for and still serve </w:t>
      </w:r>
      <w:r w:rsidR="00B50E64">
        <w:t>another purpose – anonymization.</w:t>
      </w:r>
      <w:r w:rsidR="00B42FE4">
        <w:t xml:space="preserve"> </w:t>
      </w:r>
      <w:r w:rsidR="00F26D75">
        <w:t>Safeguarding</w:t>
      </w:r>
      <w:r w:rsidR="00B42FE4">
        <w:t xml:space="preserve"> privacy</w:t>
      </w:r>
      <w:r w:rsidR="00F26D75">
        <w:t>,</w:t>
      </w:r>
      <w:r w:rsidR="00B42FE4">
        <w:t xml:space="preserve"> </w:t>
      </w:r>
      <w:r w:rsidR="007069A9">
        <w:t xml:space="preserve">protecting </w:t>
      </w:r>
      <w:r w:rsidR="00B42FE4">
        <w:t xml:space="preserve">personal data, </w:t>
      </w:r>
      <w:r w:rsidR="007069A9">
        <w:t xml:space="preserve">and securing </w:t>
      </w:r>
      <w:r w:rsidR="00B42FE4">
        <w:t>the freedom of speech and the right to access in</w:t>
      </w:r>
      <w:r w:rsidR="00F26D75">
        <w:t xml:space="preserve">formation are among </w:t>
      </w:r>
      <w:r w:rsidR="00F26D75">
        <w:lastRenderedPageBreak/>
        <w:t xml:space="preserve">the </w:t>
      </w:r>
      <w:r w:rsidR="00B42FE4">
        <w:t xml:space="preserve">concerns </w:t>
      </w:r>
      <w:r>
        <w:t xml:space="preserve">that suggest that a simple proscription against geoblocking circumvention tools </w:t>
      </w:r>
      <w:r w:rsidR="000751FF">
        <w:t>might</w:t>
      </w:r>
      <w:r>
        <w:t xml:space="preserve"> be undesirable</w:t>
      </w:r>
      <w:r w:rsidR="00B42FE4">
        <w:t>.</w:t>
      </w:r>
    </w:p>
    <w:p w14:paraId="1B808683" w14:textId="77777777" w:rsidR="0032081A" w:rsidRDefault="0032081A" w:rsidP="00EB39CB"/>
    <w:p w14:paraId="2CB5198C" w14:textId="77777777" w:rsidR="00B848E3" w:rsidRDefault="006C7A8F" w:rsidP="006C7A8F">
      <w:pPr>
        <w:pStyle w:val="Heading2"/>
      </w:pPr>
      <w:r>
        <w:t>Conclusion</w:t>
      </w:r>
    </w:p>
    <w:p w14:paraId="3AA1CE0D" w14:textId="77777777" w:rsidR="006F2E46" w:rsidRDefault="006F2E46" w:rsidP="00FF240E"/>
    <w:p w14:paraId="6C6A996B" w14:textId="77777777" w:rsidR="00F01B99" w:rsidRDefault="006810F7" w:rsidP="00FF240E">
      <w:r>
        <w:t>In discussing</w:t>
      </w:r>
      <w:r w:rsidR="00FF240E" w:rsidRPr="00C53A0A">
        <w:t xml:space="preserve"> </w:t>
      </w:r>
      <w:r w:rsidR="00774026">
        <w:t xml:space="preserve">the three stages </w:t>
      </w:r>
      <w:r w:rsidR="00C8535A">
        <w:t xml:space="preserve">in </w:t>
      </w:r>
      <w:r w:rsidR="00774026">
        <w:t>t</w:t>
      </w:r>
      <w:r w:rsidR="00774026" w:rsidRPr="00C53A0A">
        <w:t xml:space="preserve">he </w:t>
      </w:r>
      <w:r w:rsidR="00774026">
        <w:t xml:space="preserve">development of the relationship between geoblocking and legal compliance </w:t>
      </w:r>
      <w:r>
        <w:t>this</w:t>
      </w:r>
      <w:r w:rsidR="00774026">
        <w:t xml:space="preserve"> chapter </w:t>
      </w:r>
      <w:r w:rsidR="00C8535A">
        <w:t>presumes</w:t>
      </w:r>
      <w:r w:rsidR="00774026">
        <w:t xml:space="preserve"> that geoblocking </w:t>
      </w:r>
      <w:r w:rsidR="00AF66F8">
        <w:t>will be more pervasive and eventually become the only means to achieve legal compliance</w:t>
      </w:r>
      <w:r w:rsidR="005C493B">
        <w:t>, including</w:t>
      </w:r>
      <w:r w:rsidR="00AF66F8">
        <w:t xml:space="preserve"> </w:t>
      </w:r>
      <w:r w:rsidR="005C493B">
        <w:t xml:space="preserve">compliance </w:t>
      </w:r>
      <w:r w:rsidR="00AF66F8">
        <w:t xml:space="preserve">with </w:t>
      </w:r>
      <w:r w:rsidR="005C493B">
        <w:t>territorial limitations of the law</w:t>
      </w:r>
      <w:r w:rsidR="00AF66F8">
        <w:t xml:space="preserve">. </w:t>
      </w:r>
      <w:r w:rsidR="00E60190">
        <w:t xml:space="preserve">The </w:t>
      </w:r>
      <w:r w:rsidR="00EA3616">
        <w:t xml:space="preserve">presumption </w:t>
      </w:r>
      <w:r w:rsidR="00E60190">
        <w:t xml:space="preserve">is rooted in the conviction that legal compliance on the internet cannot be achieved without </w:t>
      </w:r>
      <w:r w:rsidR="00AF66F8">
        <w:t>replicating</w:t>
      </w:r>
      <w:r w:rsidR="00E60190">
        <w:t xml:space="preserve"> national borders</w:t>
      </w:r>
      <w:r w:rsidR="00AF66F8">
        <w:t xml:space="preserve"> online</w:t>
      </w:r>
      <w:r w:rsidR="00E60190">
        <w:t xml:space="preserve">. </w:t>
      </w:r>
      <w:r w:rsidR="00F01B99">
        <w:t xml:space="preserve">A single global law that would eliminate the need for national borders is </w:t>
      </w:r>
      <w:r w:rsidR="006F2E46">
        <w:t xml:space="preserve">unlikely to develop anytime soon, and </w:t>
      </w:r>
      <w:r w:rsidR="00F01B99">
        <w:t>the alternative –</w:t>
      </w:r>
      <w:r w:rsidR="00560EAB">
        <w:t xml:space="preserve"> </w:t>
      </w:r>
      <w:r w:rsidR="00416069">
        <w:t xml:space="preserve">the harmonization of </w:t>
      </w:r>
      <w:r w:rsidR="00F01B99">
        <w:t xml:space="preserve">national laws – is unlikely to </w:t>
      </w:r>
      <w:r w:rsidR="004A3E8D">
        <w:t xml:space="preserve">result in </w:t>
      </w:r>
      <w:r w:rsidR="00F01B99">
        <w:t xml:space="preserve">the </w:t>
      </w:r>
      <w:r w:rsidR="004A3E8D">
        <w:t>uniformity necessary to make national borders obsolete for legal purposes.</w:t>
      </w:r>
      <w:r w:rsidR="00073F5F">
        <w:t xml:space="preserve"> </w:t>
      </w:r>
      <w:r w:rsidR="00606675">
        <w:t>Because</w:t>
      </w:r>
      <w:r w:rsidR="000818AF">
        <w:t xml:space="preserve"> differences among </w:t>
      </w:r>
      <w:r w:rsidR="00AF66F8">
        <w:t xml:space="preserve">national </w:t>
      </w:r>
      <w:r w:rsidR="00416069">
        <w:t>laws</w:t>
      </w:r>
      <w:r w:rsidR="00606675">
        <w:t xml:space="preserve"> persist</w:t>
      </w:r>
      <w:r w:rsidR="000818AF">
        <w:t xml:space="preserve">, </w:t>
      </w:r>
      <w:r w:rsidR="006E26F0">
        <w:t>a</w:t>
      </w:r>
      <w:r w:rsidR="000818AF">
        <w:t xml:space="preserve"> need for borders on the internet</w:t>
      </w:r>
      <w:r w:rsidR="006E26F0">
        <w:t>,</w:t>
      </w:r>
      <w:r w:rsidR="000818AF">
        <w:t xml:space="preserve"> and </w:t>
      </w:r>
      <w:r w:rsidR="00416069">
        <w:t>therefore</w:t>
      </w:r>
      <w:r w:rsidR="000818AF">
        <w:t xml:space="preserve"> for geoblocking</w:t>
      </w:r>
      <w:r w:rsidR="006E26F0">
        <w:t>,</w:t>
      </w:r>
      <w:r w:rsidR="000818AF">
        <w:t xml:space="preserve"> seems unavoidable.</w:t>
      </w:r>
    </w:p>
    <w:p w14:paraId="508C8FC3" w14:textId="77777777" w:rsidR="009F3DF9" w:rsidRDefault="006B7278" w:rsidP="00FF240E">
      <w:r>
        <w:t xml:space="preserve">There </w:t>
      </w:r>
      <w:r w:rsidR="00EA37F5">
        <w:t>is,</w:t>
      </w:r>
      <w:r>
        <w:t xml:space="preserve"> of course, </w:t>
      </w:r>
      <w:r w:rsidR="00EA37F5">
        <w:t>much opposition</w:t>
      </w:r>
      <w:r w:rsidR="001946F5">
        <w:t xml:space="preserve"> to geoblocking. </w:t>
      </w:r>
      <w:r w:rsidR="00251819">
        <w:t xml:space="preserve">Users complain about </w:t>
      </w:r>
      <w:r w:rsidR="006C48C2">
        <w:t xml:space="preserve">the </w:t>
      </w:r>
      <w:r w:rsidR="00251819">
        <w:t xml:space="preserve">inaccessibility of geoblocked content, and </w:t>
      </w:r>
      <w:r w:rsidR="006C48C2">
        <w:t xml:space="preserve">their increasing use </w:t>
      </w:r>
      <w:r w:rsidR="00251819">
        <w:t xml:space="preserve">of geoblocking circumvention tools evidences </w:t>
      </w:r>
      <w:r w:rsidR="006C48C2">
        <w:t>their</w:t>
      </w:r>
      <w:r w:rsidR="00251819">
        <w:t xml:space="preserve"> displeasure with territorial limitations.</w:t>
      </w:r>
      <w:r w:rsidR="00E62062">
        <w:t xml:space="preserve"> </w:t>
      </w:r>
      <w:r w:rsidR="00ED43C3">
        <w:t xml:space="preserve">In May 2015 the European Commission </w:t>
      </w:r>
      <w:r w:rsidR="00920B29">
        <w:t>criticized</w:t>
      </w:r>
      <w:r w:rsidR="00ED43C3">
        <w:t xml:space="preserve"> the use of geoblocking in the European Union in ‘A Digital Single Market Strategy for Europe – Analysis and Evidence’</w:t>
      </w:r>
      <w:bookmarkStart w:id="5" w:name="_Ref427226427"/>
      <w:r w:rsidR="00ED43C3">
        <w:rPr>
          <w:rStyle w:val="FootnoteReference"/>
        </w:rPr>
        <w:footnoteReference w:id="29"/>
      </w:r>
      <w:bookmarkEnd w:id="5"/>
      <w:r w:rsidR="00ED43C3">
        <w:t xml:space="preserve"> </w:t>
      </w:r>
      <w:r w:rsidR="00C57FCD">
        <w:t>and launched a related inquiry into the e-commerce sector.</w:t>
      </w:r>
      <w:r w:rsidR="00C57FCD">
        <w:rPr>
          <w:rStyle w:val="FootnoteReference"/>
        </w:rPr>
        <w:footnoteReference w:id="30"/>
      </w:r>
      <w:r w:rsidR="00AF7657">
        <w:t xml:space="preserve"> </w:t>
      </w:r>
      <w:r w:rsidR="00E5056A">
        <w:t>In the document t</w:t>
      </w:r>
      <w:r w:rsidR="00AF7657">
        <w:t xml:space="preserve">he Commission </w:t>
      </w:r>
      <w:r w:rsidR="00E5056A">
        <w:t>referred to</w:t>
      </w:r>
      <w:r w:rsidR="00AF7657">
        <w:t xml:space="preserve"> geoblocking as one of the “barriers that hold back cross-border e-commerce</w:t>
      </w:r>
      <w:r w:rsidR="004A2DB8">
        <w:t>.</w:t>
      </w:r>
      <w:r w:rsidR="00AF7657">
        <w:t>”</w:t>
      </w:r>
      <w:r w:rsidR="004A2DB8">
        <w:rPr>
          <w:rStyle w:val="FootnoteReference"/>
        </w:rPr>
        <w:footnoteReference w:id="31"/>
      </w:r>
      <w:r w:rsidR="00227ED2">
        <w:t xml:space="preserve"> </w:t>
      </w:r>
      <w:r w:rsidR="00A85067">
        <w:t xml:space="preserve">A </w:t>
      </w:r>
      <w:r w:rsidR="00227ED2">
        <w:t xml:space="preserve">preference for unencumbered cross-border access </w:t>
      </w:r>
      <w:r w:rsidR="00B01CCE">
        <w:t xml:space="preserve">to content </w:t>
      </w:r>
      <w:r w:rsidR="00227ED2">
        <w:t xml:space="preserve">on the internet is also apparent from the draft </w:t>
      </w:r>
      <w:r w:rsidR="000A1840">
        <w:t>‘</w:t>
      </w:r>
      <w:r w:rsidR="00227ED2">
        <w:t>Trade in Services Agreement</w:t>
      </w:r>
      <w:r w:rsidR="000A1840">
        <w:t>’</w:t>
      </w:r>
      <w:r w:rsidR="00227ED2">
        <w:rPr>
          <w:rStyle w:val="FootnoteReference"/>
        </w:rPr>
        <w:footnoteReference w:id="32"/>
      </w:r>
      <w:r w:rsidR="00B01CCE">
        <w:t xml:space="preserve"> that is being negotiated </w:t>
      </w:r>
      <w:r w:rsidR="009A3C05">
        <w:t>by a group of countries – members of the</w:t>
      </w:r>
      <w:r w:rsidR="00B01CCE">
        <w:t xml:space="preserve"> World Trade Organization.</w:t>
      </w:r>
      <w:r w:rsidR="00527FC0">
        <w:t xml:space="preserve"> However, </w:t>
      </w:r>
      <w:r w:rsidR="000076FF">
        <w:t xml:space="preserve">all official initiatives </w:t>
      </w:r>
      <w:r w:rsidR="000A1840">
        <w:t xml:space="preserve">throughout the world </w:t>
      </w:r>
      <w:r w:rsidR="000076FF">
        <w:t xml:space="preserve">concerning </w:t>
      </w:r>
      <w:r w:rsidR="00FD3F97">
        <w:t xml:space="preserve">cross-border access on the internet recognize that there are areas of law – such as intellectual property law and gambling law – in which countries will continue to have legitimate grounds for imposing restrictions on </w:t>
      </w:r>
      <w:r w:rsidR="00A85067">
        <w:t xml:space="preserve">the </w:t>
      </w:r>
      <w:r w:rsidR="00FD3F97">
        <w:t>cross-border flow</w:t>
      </w:r>
      <w:r w:rsidR="00A85067">
        <w:t>s</w:t>
      </w:r>
      <w:r w:rsidR="00FD3F97">
        <w:t xml:space="preserve"> of goods and services.</w:t>
      </w:r>
      <w:r w:rsidR="00595FDF">
        <w:rPr>
          <w:rStyle w:val="FootnoteReference"/>
        </w:rPr>
        <w:footnoteReference w:id="33"/>
      </w:r>
      <w:r w:rsidR="00075EC9">
        <w:t xml:space="preserve"> Although </w:t>
      </w:r>
      <w:r w:rsidR="000A1840">
        <w:t xml:space="preserve">some stakeholders desire </w:t>
      </w:r>
      <w:r w:rsidR="00A85067">
        <w:t xml:space="preserve">a </w:t>
      </w:r>
      <w:r w:rsidR="00075EC9">
        <w:t xml:space="preserve">liberalization of cross-border access to </w:t>
      </w:r>
      <w:r w:rsidR="00A85067">
        <w:t xml:space="preserve">internet </w:t>
      </w:r>
      <w:r w:rsidR="00075EC9">
        <w:t xml:space="preserve">content, </w:t>
      </w:r>
      <w:r w:rsidR="000A1840">
        <w:t xml:space="preserve">the fact cannot be ignored that </w:t>
      </w:r>
      <w:r w:rsidR="00075EC9">
        <w:t xml:space="preserve">countries </w:t>
      </w:r>
      <w:r w:rsidR="00A85067">
        <w:t xml:space="preserve">have major differences </w:t>
      </w:r>
      <w:r w:rsidR="000A1840">
        <w:t>in some areas of law</w:t>
      </w:r>
      <w:r w:rsidR="008D5B74">
        <w:t>,</w:t>
      </w:r>
      <w:r w:rsidR="000A1840">
        <w:t xml:space="preserve"> </w:t>
      </w:r>
      <w:r w:rsidR="00075EC9">
        <w:t xml:space="preserve">and </w:t>
      </w:r>
      <w:r w:rsidR="008D5B74">
        <w:t xml:space="preserve">therefore good reasons to </w:t>
      </w:r>
      <w:r w:rsidR="004B5AD0">
        <w:t>maintain</w:t>
      </w:r>
      <w:r w:rsidR="00075EC9">
        <w:t xml:space="preserve"> control </w:t>
      </w:r>
      <w:r w:rsidR="000D0DDE">
        <w:t xml:space="preserve">of </w:t>
      </w:r>
      <w:r w:rsidR="008D5B74">
        <w:t xml:space="preserve">content </w:t>
      </w:r>
      <w:r w:rsidR="004B5AD0">
        <w:t>flow</w:t>
      </w:r>
      <w:r w:rsidR="008D5B74">
        <w:t>s</w:t>
      </w:r>
      <w:r w:rsidR="00075EC9">
        <w:t>.</w:t>
      </w:r>
    </w:p>
    <w:p w14:paraId="3B740947" w14:textId="77777777" w:rsidR="00025075" w:rsidRDefault="00A4428C" w:rsidP="00EB39CB">
      <w:pPr>
        <w:rPr>
          <w:rFonts w:cs="Times New Roman"/>
          <w:szCs w:val="24"/>
        </w:rPr>
      </w:pPr>
      <w:r>
        <w:t>B</w:t>
      </w:r>
      <w:r w:rsidR="002C7A8F">
        <w:t xml:space="preserve">usiness models </w:t>
      </w:r>
      <w:r>
        <w:t>that</w:t>
      </w:r>
      <w:r w:rsidR="002C7A8F">
        <w:t xml:space="preserve"> respond to consumer demand for cross-border acc</w:t>
      </w:r>
      <w:r>
        <w:t>ess</w:t>
      </w:r>
      <w:r w:rsidR="008D5B74">
        <w:t xml:space="preserve"> </w:t>
      </w:r>
      <w:r w:rsidR="00286AB7">
        <w:t>will continue to emerge</w:t>
      </w:r>
      <w:r>
        <w:t xml:space="preserve">, and countries </w:t>
      </w:r>
      <w:r w:rsidR="00286AB7">
        <w:t>can</w:t>
      </w:r>
      <w:r>
        <w:t xml:space="preserve"> facilitate the development of new </w:t>
      </w:r>
      <w:r w:rsidR="00F961D9">
        <w:t xml:space="preserve">business </w:t>
      </w:r>
      <w:r>
        <w:t xml:space="preserve">models by providing </w:t>
      </w:r>
      <w:r w:rsidR="009872C5">
        <w:lastRenderedPageBreak/>
        <w:t xml:space="preserve">favorable </w:t>
      </w:r>
      <w:r w:rsidR="00E71D41">
        <w:t>legisl</w:t>
      </w:r>
      <w:r w:rsidR="009872C5">
        <w:t>ative and regulatory environment</w:t>
      </w:r>
      <w:r w:rsidR="00286AB7">
        <w:t>s</w:t>
      </w:r>
      <w:r w:rsidR="009872C5">
        <w:t>.</w:t>
      </w:r>
      <w:r w:rsidR="00C9569C">
        <w:t xml:space="preserve"> </w:t>
      </w:r>
      <w:r w:rsidR="00843238">
        <w:t xml:space="preserve">The </w:t>
      </w:r>
      <w:r w:rsidR="00843238">
        <w:rPr>
          <w:rFonts w:cs="Times New Roman"/>
          <w:szCs w:val="24"/>
        </w:rPr>
        <w:t>2014 European Union’s Collective Rights Management Directive</w:t>
      </w:r>
      <w:r w:rsidR="00E973FA">
        <w:rPr>
          <w:rStyle w:val="FootnoteReference"/>
          <w:rFonts w:cs="Times New Roman"/>
          <w:szCs w:val="24"/>
        </w:rPr>
        <w:footnoteReference w:id="34"/>
      </w:r>
      <w:r w:rsidR="00843238">
        <w:rPr>
          <w:rFonts w:cs="Times New Roman"/>
          <w:szCs w:val="24"/>
        </w:rPr>
        <w:t xml:space="preserve"> is </w:t>
      </w:r>
      <w:r w:rsidR="00286AB7">
        <w:rPr>
          <w:rFonts w:cs="Times New Roman"/>
          <w:szCs w:val="24"/>
        </w:rPr>
        <w:t>one</w:t>
      </w:r>
      <w:r w:rsidR="00843238">
        <w:rPr>
          <w:rFonts w:cs="Times New Roman"/>
          <w:szCs w:val="24"/>
        </w:rPr>
        <w:t xml:space="preserve"> effort to improve the environment for businesses </w:t>
      </w:r>
      <w:r w:rsidR="00286AB7">
        <w:rPr>
          <w:rFonts w:cs="Times New Roman"/>
          <w:szCs w:val="24"/>
        </w:rPr>
        <w:t>that</w:t>
      </w:r>
      <w:r w:rsidR="008B7E12">
        <w:rPr>
          <w:rFonts w:cs="Times New Roman"/>
          <w:szCs w:val="24"/>
        </w:rPr>
        <w:t xml:space="preserve"> seek</w:t>
      </w:r>
      <w:r w:rsidR="00843238">
        <w:rPr>
          <w:rFonts w:cs="Times New Roman"/>
          <w:szCs w:val="24"/>
        </w:rPr>
        <w:t xml:space="preserve"> to provide cross-border online access to music, at least within the </w:t>
      </w:r>
      <w:r w:rsidR="00286AB7">
        <w:rPr>
          <w:rFonts w:cs="Times New Roman"/>
          <w:szCs w:val="24"/>
        </w:rPr>
        <w:t xml:space="preserve">borders of the </w:t>
      </w:r>
      <w:r w:rsidR="00843238">
        <w:rPr>
          <w:rFonts w:cs="Times New Roman"/>
          <w:szCs w:val="24"/>
        </w:rPr>
        <w:t>European Union.</w:t>
      </w:r>
      <w:r w:rsidR="00233C7F">
        <w:rPr>
          <w:rFonts w:cs="Times New Roman"/>
          <w:szCs w:val="24"/>
        </w:rPr>
        <w:t xml:space="preserve"> </w:t>
      </w:r>
      <w:r w:rsidR="00EA3616">
        <w:t>Because some geoblocking is required by law, contracts will not be able to eliminate geoblocking entirely; however</w:t>
      </w:r>
      <w:r w:rsidR="00EA3616">
        <w:rPr>
          <w:rFonts w:cs="Times New Roman"/>
          <w:szCs w:val="24"/>
        </w:rPr>
        <w:t xml:space="preserve">, </w:t>
      </w:r>
      <w:r w:rsidR="00286AB7">
        <w:rPr>
          <w:rFonts w:cs="Times New Roman"/>
          <w:szCs w:val="24"/>
        </w:rPr>
        <w:t>contracting parties can eliminate some geoblocking</w:t>
      </w:r>
      <w:r w:rsidR="004E1574">
        <w:rPr>
          <w:rFonts w:cs="Times New Roman"/>
          <w:szCs w:val="24"/>
        </w:rPr>
        <w:t xml:space="preserve">, and </w:t>
      </w:r>
      <w:r w:rsidR="000A1840">
        <w:rPr>
          <w:rFonts w:cs="Times New Roman"/>
          <w:szCs w:val="24"/>
        </w:rPr>
        <w:t xml:space="preserve">limited </w:t>
      </w:r>
      <w:r w:rsidR="004E1574">
        <w:rPr>
          <w:rFonts w:cs="Times New Roman"/>
          <w:szCs w:val="24"/>
        </w:rPr>
        <w:t xml:space="preserve">geoblocking </w:t>
      </w:r>
      <w:r w:rsidR="00322ED8">
        <w:rPr>
          <w:rFonts w:cs="Times New Roman"/>
          <w:szCs w:val="24"/>
        </w:rPr>
        <w:t>evasion</w:t>
      </w:r>
      <w:r w:rsidR="00AB42B2">
        <w:rPr>
          <w:rFonts w:cs="Times New Roman"/>
          <w:szCs w:val="24"/>
        </w:rPr>
        <w:t xml:space="preserve"> could </w:t>
      </w:r>
      <w:r w:rsidR="00657C92">
        <w:rPr>
          <w:rFonts w:cs="Times New Roman"/>
          <w:szCs w:val="24"/>
        </w:rPr>
        <w:t>mitigate some of</w:t>
      </w:r>
      <w:r w:rsidR="00AB42B2">
        <w:rPr>
          <w:rFonts w:cs="Times New Roman"/>
          <w:szCs w:val="24"/>
        </w:rPr>
        <w:t xml:space="preserve"> the e</w:t>
      </w:r>
      <w:r w:rsidR="00F961D9">
        <w:rPr>
          <w:rFonts w:cs="Times New Roman"/>
          <w:szCs w:val="24"/>
        </w:rPr>
        <w:t xml:space="preserve">ffects of geoblocking where the </w:t>
      </w:r>
      <w:r w:rsidR="00657C92">
        <w:rPr>
          <w:rFonts w:cs="Times New Roman"/>
          <w:szCs w:val="24"/>
        </w:rPr>
        <w:t>use</w:t>
      </w:r>
      <w:r w:rsidR="00F961D9">
        <w:rPr>
          <w:rFonts w:cs="Times New Roman"/>
          <w:szCs w:val="24"/>
        </w:rPr>
        <w:t xml:space="preserve"> of geoblocking</w:t>
      </w:r>
      <w:r w:rsidR="00AB42B2">
        <w:rPr>
          <w:rFonts w:cs="Times New Roman"/>
          <w:szCs w:val="24"/>
        </w:rPr>
        <w:t xml:space="preserve"> exceed</w:t>
      </w:r>
      <w:r w:rsidR="00657C92">
        <w:rPr>
          <w:rFonts w:cs="Times New Roman"/>
          <w:szCs w:val="24"/>
        </w:rPr>
        <w:t>s</w:t>
      </w:r>
      <w:r w:rsidR="00AB42B2">
        <w:rPr>
          <w:rFonts w:cs="Times New Roman"/>
          <w:szCs w:val="24"/>
        </w:rPr>
        <w:t xml:space="preserve"> </w:t>
      </w:r>
      <w:r w:rsidR="00F961D9">
        <w:rPr>
          <w:rFonts w:cs="Times New Roman"/>
          <w:szCs w:val="24"/>
        </w:rPr>
        <w:t>what is required</w:t>
      </w:r>
      <w:r w:rsidR="00AB42B2">
        <w:rPr>
          <w:rFonts w:cs="Times New Roman"/>
          <w:szCs w:val="24"/>
        </w:rPr>
        <w:t xml:space="preserve"> by law.</w:t>
      </w:r>
      <w:r w:rsidR="00BD643E">
        <w:rPr>
          <w:rFonts w:cs="Times New Roman"/>
          <w:szCs w:val="24"/>
        </w:rPr>
        <w:t xml:space="preserve"> For example, a system of “digital passports” could facilitate access to users who travel abroad</w:t>
      </w:r>
      <w:r w:rsidR="000B0CC5">
        <w:rPr>
          <w:rFonts w:cs="Times New Roman"/>
          <w:szCs w:val="24"/>
        </w:rPr>
        <w:t>.</w:t>
      </w:r>
      <w:r w:rsidR="000B0CC5">
        <w:rPr>
          <w:rStyle w:val="FootnoteReference"/>
          <w:rFonts w:cs="Times New Roman"/>
          <w:szCs w:val="24"/>
        </w:rPr>
        <w:footnoteReference w:id="35"/>
      </w:r>
    </w:p>
    <w:p w14:paraId="6D94AFAC" w14:textId="77777777" w:rsidR="00AB42B2" w:rsidRPr="00AB42B2" w:rsidRDefault="00AB42B2" w:rsidP="00EB39CB">
      <w:pPr>
        <w:rPr>
          <w:rFonts w:cs="Times New Roman"/>
          <w:szCs w:val="24"/>
        </w:rPr>
      </w:pPr>
    </w:p>
    <w:p w14:paraId="7C24533D" w14:textId="77777777" w:rsidR="00025075" w:rsidRPr="00C53A0A" w:rsidRDefault="00025075" w:rsidP="00EB39CB"/>
    <w:p w14:paraId="189A51CF" w14:textId="77777777" w:rsidR="005A7329" w:rsidRDefault="005A7329" w:rsidP="001752F3">
      <w:pPr>
        <w:pStyle w:val="Heading2"/>
      </w:pPr>
      <w:r>
        <w:t>Reference List</w:t>
      </w:r>
    </w:p>
    <w:p w14:paraId="73413568" w14:textId="77777777" w:rsidR="001752F3" w:rsidRDefault="001752F3" w:rsidP="00DA7767"/>
    <w:p w14:paraId="27AAD45D" w14:textId="77777777" w:rsidR="00657179" w:rsidRPr="00F41A90" w:rsidRDefault="000729E6" w:rsidP="00DA7767">
      <w:pPr>
        <w:rPr>
          <w:szCs w:val="24"/>
        </w:rPr>
      </w:pPr>
      <w:r>
        <w:t>‘</w:t>
      </w:r>
      <w:r w:rsidR="00657179">
        <w:t>A Digital Single Market Strategy for Europe – Analysis and Evidence</w:t>
      </w:r>
      <w:r>
        <w:t>’</w:t>
      </w:r>
      <w:r w:rsidR="00657179">
        <w:t>, European Commission, SWD</w:t>
      </w:r>
      <w:r w:rsidR="00BF19D1">
        <w:t xml:space="preserve"> </w:t>
      </w:r>
      <w:r w:rsidR="00657179">
        <w:t>(2015) 100 final, 6 May 2015.</w:t>
      </w:r>
    </w:p>
    <w:p w14:paraId="5FA1B7BE" w14:textId="77777777" w:rsidR="00F41A90" w:rsidRDefault="00F41A90" w:rsidP="00DA7767">
      <w:pPr>
        <w:rPr>
          <w:rFonts w:cs="Times New Roman"/>
          <w:szCs w:val="24"/>
        </w:rPr>
      </w:pPr>
      <w:r w:rsidRPr="00F41A90">
        <w:rPr>
          <w:rFonts w:cs="Times New Roman"/>
          <w:szCs w:val="24"/>
        </w:rPr>
        <w:t>Agreement on Trade-Related Aspects of Intellectual Property Rights, WTO, 1994</w:t>
      </w:r>
      <w:r>
        <w:rPr>
          <w:rFonts w:cs="Times New Roman"/>
          <w:szCs w:val="24"/>
        </w:rPr>
        <w:t>.</w:t>
      </w:r>
    </w:p>
    <w:p w14:paraId="5A12EA8F" w14:textId="77777777" w:rsidR="00C724FC" w:rsidRDefault="00C724FC" w:rsidP="00DA7767">
      <w:r>
        <w:t xml:space="preserve">Baker, Liana B., and </w:t>
      </w:r>
      <w:r w:rsidR="00BF19D1">
        <w:t xml:space="preserve">Yinka </w:t>
      </w:r>
      <w:r>
        <w:t xml:space="preserve">Adegoke. ‘Olympics Fans Find Ways to Circumvent NBC’s Online Control’, </w:t>
      </w:r>
      <w:r>
        <w:rPr>
          <w:i/>
        </w:rPr>
        <w:t>Reuters</w:t>
      </w:r>
      <w:r>
        <w:t xml:space="preserve">, 31 July 2012, </w:t>
      </w:r>
      <w:r w:rsidRPr="000729E6">
        <w:t>http://www.reuters.com/article/2012/07/31/us-olympics-tech-workaround-idUSBRE86U02R20120731</w:t>
      </w:r>
      <w:r>
        <w:t>.</w:t>
      </w:r>
    </w:p>
    <w:p w14:paraId="22BD576D" w14:textId="77777777" w:rsidR="00C57FCD" w:rsidRPr="003F4452" w:rsidRDefault="00C57FCD" w:rsidP="00DA7767">
      <w:pPr>
        <w:rPr>
          <w:szCs w:val="24"/>
        </w:rPr>
      </w:pPr>
      <w:r>
        <w:t xml:space="preserve">Commission Decision of 6 May 2015 initiating an inquiry into the e-commerce </w:t>
      </w:r>
      <w:r w:rsidR="00F644B0">
        <w:t xml:space="preserve">sector pursuant </w:t>
      </w:r>
      <w:r w:rsidR="00F644B0" w:rsidRPr="003F4452">
        <w:rPr>
          <w:szCs w:val="24"/>
        </w:rPr>
        <w:t>to Article 17 of</w:t>
      </w:r>
      <w:r w:rsidRPr="003F4452">
        <w:rPr>
          <w:szCs w:val="24"/>
        </w:rPr>
        <w:t xml:space="preserve"> Council Regulation (EC) No 1/2003.</w:t>
      </w:r>
    </w:p>
    <w:p w14:paraId="54CFC484" w14:textId="77777777" w:rsidR="003F4452" w:rsidRPr="003F4452" w:rsidRDefault="003F4452" w:rsidP="00DA7767">
      <w:pPr>
        <w:rPr>
          <w:szCs w:val="24"/>
        </w:rPr>
      </w:pPr>
      <w:r w:rsidRPr="003F4452">
        <w:rPr>
          <w:rFonts w:cs="Times New Roman"/>
          <w:szCs w:val="24"/>
        </w:rPr>
        <w:t>Directive 2014/26/EU of the European Parliament and of the Council of 26 February 2014 on collective management of copyright and related rights and multi-territorial licensing of rights in musical works for online use in the internal market.</w:t>
      </w:r>
    </w:p>
    <w:p w14:paraId="41B2E694" w14:textId="77777777" w:rsidR="00227ED2" w:rsidRPr="00F41A90" w:rsidRDefault="00227ED2" w:rsidP="00DA7767">
      <w:pPr>
        <w:rPr>
          <w:szCs w:val="24"/>
        </w:rPr>
      </w:pPr>
      <w:r>
        <w:t>Draft Trade in Services Agreement (TiSA), Annex on Electronic Commerce, 16 September 2013.</w:t>
      </w:r>
    </w:p>
    <w:p w14:paraId="07448174" w14:textId="77777777" w:rsidR="00A034A4" w:rsidRDefault="00A034A4" w:rsidP="00DA7767">
      <w:r>
        <w:t xml:space="preserve">Geist, Michael. ‘Cyberlaw 2.0’, </w:t>
      </w:r>
      <w:r w:rsidRPr="00F014D7">
        <w:rPr>
          <w:i/>
        </w:rPr>
        <w:t>Boston College Law Review</w:t>
      </w:r>
      <w:r>
        <w:t xml:space="preserve"> 44 (2003): 335-347</w:t>
      </w:r>
    </w:p>
    <w:p w14:paraId="6A26EFC4" w14:textId="77777777" w:rsidR="00187BBD" w:rsidRDefault="00187BBD" w:rsidP="00DA7767">
      <w:r>
        <w:t>Geist,</w:t>
      </w:r>
      <w:r w:rsidR="004B39C3">
        <w:t xml:space="preserve"> Michael.</w:t>
      </w:r>
      <w:r>
        <w:t xml:space="preserve"> ‘Nobody’s Perfect: Leaked Contract Reveals Sony Requires Netflix to Geo-Block But Acknowledges Technology is Imperfect’, Michael Geist’s blog, 17 April 2015, </w:t>
      </w:r>
      <w:r w:rsidRPr="000729E6">
        <w:t>http://www.michaelgeist.ca/2015/04/nobodys-perfect-leaked-contract-reveals-sony-requires-netflix-to-geo-block-but-acknowledges-technology-is-imperfect/</w:t>
      </w:r>
      <w:r>
        <w:t>.</w:t>
      </w:r>
    </w:p>
    <w:p w14:paraId="72C92DFB" w14:textId="77777777" w:rsidR="00474220" w:rsidRDefault="00474220" w:rsidP="00DA7767">
      <w:r>
        <w:lastRenderedPageBreak/>
        <w:t xml:space="preserve">Gell, Aaron. ‘Reinventing the Web: A New App Lets You Watch Whatever TV Program You Want, Including the Olympics, Anywhere in the World’, </w:t>
      </w:r>
      <w:r>
        <w:rPr>
          <w:i/>
        </w:rPr>
        <w:t>Business Insider</w:t>
      </w:r>
      <w:r>
        <w:t xml:space="preserve">, 25 January 2014, </w:t>
      </w:r>
      <w:r w:rsidRPr="000729E6">
        <w:t>http://www.businessinsider.com/hola-tv-watch-olympics-vpn-blocker-netflix-world-2014-1</w:t>
      </w:r>
      <w:r>
        <w:t>.</w:t>
      </w:r>
    </w:p>
    <w:p w14:paraId="2AF5F916" w14:textId="77777777" w:rsidR="00D026BC" w:rsidRDefault="00D026BC" w:rsidP="00DA7767">
      <w:r w:rsidRPr="00D3023A">
        <w:rPr>
          <w:rFonts w:cs="Times New Roman"/>
        </w:rPr>
        <w:t>General Agreement on Trade in Services</w:t>
      </w:r>
      <w:r w:rsidR="00E27324">
        <w:rPr>
          <w:rFonts w:cs="Times New Roman"/>
        </w:rPr>
        <w:t>.</w:t>
      </w:r>
    </w:p>
    <w:p w14:paraId="3961810E" w14:textId="77777777" w:rsidR="0097496D" w:rsidRDefault="0097496D" w:rsidP="00DA7767">
      <w:r>
        <w:t xml:space="preserve">Goldsmith, Jack L., and </w:t>
      </w:r>
      <w:r w:rsidR="00BF19D1">
        <w:t xml:space="preserve">Tim </w:t>
      </w:r>
      <w:r>
        <w:t>Wu</w:t>
      </w:r>
      <w:r w:rsidR="001A43C3">
        <w:t>.</w:t>
      </w:r>
      <w:r>
        <w:t xml:space="preserve"> </w:t>
      </w:r>
      <w:r>
        <w:rPr>
          <w:i/>
        </w:rPr>
        <w:t>Who Controls the Internet?: Illusions of A Borderless World</w:t>
      </w:r>
      <w:r>
        <w:t xml:space="preserve">, </w:t>
      </w:r>
      <w:r w:rsidR="00243B40">
        <w:t xml:space="preserve">New York: </w:t>
      </w:r>
      <w:r>
        <w:t>Oxford University Press, 2006.</w:t>
      </w:r>
    </w:p>
    <w:p w14:paraId="6CA0DB89" w14:textId="77777777" w:rsidR="00AA37E9" w:rsidRDefault="00AA37E9" w:rsidP="00DA7767">
      <w:r>
        <w:t xml:space="preserve">Hilliard, Christopher. ‘Evaluating the Legitimacy of Geo-Location Circumvention in the Context of Technical Protection Measures’, </w:t>
      </w:r>
      <w:r>
        <w:rPr>
          <w:i/>
        </w:rPr>
        <w:t>Queen Mary Journal of Intellectual Property</w:t>
      </w:r>
      <w:r>
        <w:t xml:space="preserve"> 5(2) (2015): 157-182.</w:t>
      </w:r>
    </w:p>
    <w:p w14:paraId="721314B9" w14:textId="77777777" w:rsidR="00473801" w:rsidRDefault="00473801" w:rsidP="00DA7767">
      <w:r>
        <w:t>Jazette Enterprises Ltd. v. Commonwealth of Kentucky, Court of Appeals of Kentucky, 2014 WL 689044, 21 February 2014.</w:t>
      </w:r>
    </w:p>
    <w:p w14:paraId="610EE415" w14:textId="77777777" w:rsidR="00DA7767" w:rsidRDefault="00DA7767" w:rsidP="00DA7767">
      <w:r>
        <w:t xml:space="preserve">Kirk, Jeremy. </w:t>
      </w:r>
      <w:r w:rsidR="004B39C3">
        <w:t>‘</w:t>
      </w:r>
      <w:r w:rsidRPr="004B39C3">
        <w:t>Geoblocking Question Unresolved After New Zealand Lawsuit Ends</w:t>
      </w:r>
      <w:r w:rsidR="004B39C3">
        <w:t>’</w:t>
      </w:r>
      <w:r>
        <w:t xml:space="preserve">, PCWorld, 23 June 2015, </w:t>
      </w:r>
      <w:r w:rsidR="00187BBD" w:rsidRPr="000729E6">
        <w:t>http://www.pcworld.com/article/2939972/geoblocking-question-unresolved-after-new-zealand-lawsuit-ends.html</w:t>
      </w:r>
      <w:r w:rsidR="00187BBD">
        <w:t xml:space="preserve">. </w:t>
      </w:r>
    </w:p>
    <w:p w14:paraId="1350E29B" w14:textId="77777777" w:rsidR="006E4F49" w:rsidRDefault="006E4F49" w:rsidP="00DA7767">
      <w:r>
        <w:t xml:space="preserve">Muir, James A., and </w:t>
      </w:r>
      <w:r w:rsidR="00BF19D1">
        <w:t xml:space="preserve">Paul C. </w:t>
      </w:r>
      <w:r>
        <w:t>Van Oorschot</w:t>
      </w:r>
      <w:r w:rsidR="00BF19D1">
        <w:t>.</w:t>
      </w:r>
      <w:r>
        <w:t xml:space="preserve"> ‘Internet Geolocation: Evasion and Counterevasion’, </w:t>
      </w:r>
      <w:r w:rsidRPr="00144DAA">
        <w:rPr>
          <w:i/>
        </w:rPr>
        <w:t>ACM Computing Surveys</w:t>
      </w:r>
      <w:r>
        <w:t xml:space="preserve"> 4 (December 2009).</w:t>
      </w:r>
    </w:p>
    <w:p w14:paraId="21121A25" w14:textId="77777777" w:rsidR="009308ED" w:rsidRDefault="009308ED" w:rsidP="00DA7767">
      <w:r w:rsidRPr="00D3023A">
        <w:rPr>
          <w:rFonts w:cs="Times New Roman"/>
        </w:rPr>
        <w:t>North American Free Trade Agreement</w:t>
      </w:r>
      <w:r>
        <w:rPr>
          <w:rFonts w:cs="Times New Roman"/>
        </w:rPr>
        <w:t>.</w:t>
      </w:r>
    </w:p>
    <w:p w14:paraId="4E81BC02" w14:textId="77777777" w:rsidR="0042594B" w:rsidRDefault="0042594B" w:rsidP="00DA7767">
      <w:r w:rsidRPr="00F73821">
        <w:t>Oberlandesgericht Münche</w:t>
      </w:r>
      <w:r>
        <w:t xml:space="preserve">n I, 21 O 6742/07, 14 November </w:t>
      </w:r>
      <w:r w:rsidRPr="00F73821">
        <w:t>2007</w:t>
      </w:r>
      <w:r>
        <w:t>.</w:t>
      </w:r>
    </w:p>
    <w:p w14:paraId="621665E7" w14:textId="77777777" w:rsidR="0010135D" w:rsidRDefault="0010135D" w:rsidP="00DA7767">
      <w:r w:rsidRPr="00D3023A">
        <w:rPr>
          <w:rFonts w:cs="Times New Roman"/>
        </w:rPr>
        <w:t>Oberlandesgericht Mü</w:t>
      </w:r>
      <w:r w:rsidR="00434DBE">
        <w:rPr>
          <w:rFonts w:cs="Times New Roman"/>
        </w:rPr>
        <w:t xml:space="preserve">nster, 13 B 775/09, 3 December </w:t>
      </w:r>
      <w:r w:rsidRPr="00D3023A">
        <w:rPr>
          <w:rFonts w:cs="Times New Roman"/>
        </w:rPr>
        <w:t>2009</w:t>
      </w:r>
      <w:r>
        <w:rPr>
          <w:rFonts w:cs="Times New Roman"/>
        </w:rPr>
        <w:t>.</w:t>
      </w:r>
    </w:p>
    <w:p w14:paraId="10502C35" w14:textId="77777777" w:rsidR="0029131A" w:rsidRDefault="0029131A" w:rsidP="00DA7767">
      <w:r w:rsidRPr="00F73821">
        <w:t xml:space="preserve">Oberverwaltungsgericht Nordrhein-Westfalen, 13 B 646/10, </w:t>
      </w:r>
      <w:r>
        <w:t xml:space="preserve">2 July </w:t>
      </w:r>
      <w:r w:rsidRPr="00F73821">
        <w:t>2010</w:t>
      </w:r>
      <w:r>
        <w:t xml:space="preserve">. </w:t>
      </w:r>
    </w:p>
    <w:p w14:paraId="6EBCA632" w14:textId="77777777" w:rsidR="0029131A" w:rsidRDefault="0029131A" w:rsidP="00DA7767">
      <w:r w:rsidRPr="00F73821">
        <w:t>Oberverwaltungsgericht Nordrhein-W</w:t>
      </w:r>
      <w:r>
        <w:t xml:space="preserve">estfalen, 13 B 676/10, 13 July </w:t>
      </w:r>
      <w:r w:rsidRPr="00F73821">
        <w:t>2010</w:t>
      </w:r>
      <w:r>
        <w:t>.</w:t>
      </w:r>
    </w:p>
    <w:p w14:paraId="5640CE2A" w14:textId="77777777" w:rsidR="00BD4939" w:rsidRDefault="00BD4939" w:rsidP="00DA7767">
      <w:r>
        <w:t>Scarlet Extended SA v. SABAM, CJEU, C-70/10, 24 November 2011.</w:t>
      </w:r>
    </w:p>
    <w:p w14:paraId="0F3200CB" w14:textId="77777777" w:rsidR="005A7329" w:rsidRDefault="00DA7767" w:rsidP="00DA7767">
      <w:r>
        <w:t xml:space="preserve">Spanski Enterprises, Inc. v. Telewizja Polska, S.A., D.D.C., 1:12-cv-00957-TSC, document 1, Complaint, </w:t>
      </w:r>
      <w:r w:rsidR="00DF49D1">
        <w:t xml:space="preserve">11 June </w:t>
      </w:r>
      <w:r>
        <w:t>2012</w:t>
      </w:r>
      <w:r w:rsidR="00187BBD">
        <w:t>.</w:t>
      </w:r>
    </w:p>
    <w:p w14:paraId="0C5535EE" w14:textId="77777777" w:rsidR="00DF49D1" w:rsidRDefault="00DF49D1" w:rsidP="00DA7767">
      <w:r>
        <w:t>Spanski Enterprises, Inc. v. Telewizja Polska, S.A., D.D.C., 1:12-cv-00957-TSC, document 29, Defendant’s Consolidated Memorandum of Points and Authorities, 27 February 2015</w:t>
      </w:r>
      <w:r w:rsidR="00187BBD">
        <w:t>.</w:t>
      </w:r>
    </w:p>
    <w:p w14:paraId="3C029832" w14:textId="77777777" w:rsidR="00AF1A2F" w:rsidRDefault="00AF1A2F" w:rsidP="00DA7767">
      <w:r>
        <w:t>Spanski Enterprises, Inc. v. Telewizja Polska, S.A., D.D.C., 1:12-cv-00957-TSC, document 37, Amended Pretrial Order, 20 August 2015.</w:t>
      </w:r>
    </w:p>
    <w:p w14:paraId="4A957A80" w14:textId="77777777" w:rsidR="00923B7C" w:rsidRDefault="00923B7C" w:rsidP="00DA7767">
      <w:pPr>
        <w:rPr>
          <w:rFonts w:cs="Times New Roman"/>
          <w:szCs w:val="24"/>
        </w:rPr>
      </w:pPr>
      <w:r w:rsidRPr="00923B7C">
        <w:rPr>
          <w:rFonts w:cs="Times New Roman"/>
          <w:szCs w:val="24"/>
        </w:rPr>
        <w:t xml:space="preserve">Svantesson, </w:t>
      </w:r>
      <w:r w:rsidR="00041214" w:rsidRPr="00923B7C">
        <w:rPr>
          <w:rFonts w:cs="Times New Roman"/>
          <w:szCs w:val="24"/>
        </w:rPr>
        <w:t xml:space="preserve">Dan Jerker B. </w:t>
      </w:r>
      <w:r w:rsidRPr="00923B7C">
        <w:rPr>
          <w:rFonts w:cs="Times New Roman"/>
          <w:szCs w:val="24"/>
        </w:rPr>
        <w:t>‘</w:t>
      </w:r>
      <w:r w:rsidRPr="00923B7C">
        <w:rPr>
          <w:rFonts w:cs="Times New Roman"/>
          <w:iCs/>
          <w:szCs w:val="24"/>
        </w:rPr>
        <w:t>Geo-Location Technologies and Other Means of Pla</w:t>
      </w:r>
      <w:r>
        <w:rPr>
          <w:rFonts w:cs="Times New Roman"/>
          <w:iCs/>
          <w:szCs w:val="24"/>
        </w:rPr>
        <w:t xml:space="preserve">cing Borders on the </w:t>
      </w:r>
      <w:r w:rsidRPr="00923B7C">
        <w:rPr>
          <w:rFonts w:cs="Times New Roman"/>
          <w:iCs/>
          <w:szCs w:val="24"/>
        </w:rPr>
        <w:t>Borderless Internet</w:t>
      </w:r>
      <w:r w:rsidRPr="00923B7C">
        <w:rPr>
          <w:rFonts w:cs="Times New Roman"/>
          <w:szCs w:val="24"/>
        </w:rPr>
        <w:t xml:space="preserve">’, </w:t>
      </w:r>
      <w:r w:rsidRPr="00923B7C">
        <w:rPr>
          <w:rFonts w:cs="Times New Roman"/>
          <w:i/>
          <w:szCs w:val="24"/>
        </w:rPr>
        <w:t>The John Marshall Journal of Information Technology &amp; Privacy Law</w:t>
      </w:r>
      <w:r w:rsidRPr="00923B7C">
        <w:rPr>
          <w:rFonts w:cs="Times New Roman"/>
          <w:szCs w:val="24"/>
        </w:rPr>
        <w:t xml:space="preserve"> 23 (2004):</w:t>
      </w:r>
      <w:r w:rsidR="00683BC1">
        <w:rPr>
          <w:rFonts w:cs="Times New Roman"/>
          <w:szCs w:val="24"/>
        </w:rPr>
        <w:t xml:space="preserve"> 101.</w:t>
      </w:r>
    </w:p>
    <w:p w14:paraId="63894D26" w14:textId="77777777" w:rsidR="00292E69" w:rsidRPr="00923B7C" w:rsidRDefault="00292E69" w:rsidP="00DA7767">
      <w:pPr>
        <w:rPr>
          <w:szCs w:val="24"/>
        </w:rPr>
      </w:pPr>
      <w:r w:rsidRPr="00D3023A">
        <w:rPr>
          <w:rFonts w:cs="Times New Roman"/>
        </w:rPr>
        <w:t>Treaty on the Functioning of the European Union</w:t>
      </w:r>
      <w:r>
        <w:rPr>
          <w:rFonts w:cs="Times New Roman"/>
        </w:rPr>
        <w:t>.</w:t>
      </w:r>
    </w:p>
    <w:p w14:paraId="2561A40A" w14:textId="77777777" w:rsidR="005D36DE" w:rsidRDefault="005D36DE" w:rsidP="00DA7767">
      <w:r>
        <w:lastRenderedPageBreak/>
        <w:t xml:space="preserve">Trimble, Marketa. ‘The Future of Cybertravel: Legal Implications of the Evasion of Geolocation’, </w:t>
      </w:r>
      <w:r>
        <w:rPr>
          <w:i/>
        </w:rPr>
        <w:t>Fordham Intellectual Property, Media &amp; Entertainment Law Journal</w:t>
      </w:r>
      <w:r>
        <w:t xml:space="preserve"> 22</w:t>
      </w:r>
      <w:r w:rsidR="00BF19D1">
        <w:t>.</w:t>
      </w:r>
      <w:r>
        <w:t>3 (Spring, 2012): 567-657.</w:t>
      </w:r>
    </w:p>
    <w:p w14:paraId="2DDEE96D" w14:textId="77777777" w:rsidR="00BD643E" w:rsidRDefault="00BD643E" w:rsidP="00DA7767">
      <w:r>
        <w:t xml:space="preserve">Trimble, Marketa. </w:t>
      </w:r>
      <w:r w:rsidRPr="00BD643E">
        <w:t>‘Local Hosting and the Draft “Trade in Services Agreement”’</w:t>
      </w:r>
      <w:r>
        <w:t xml:space="preserve">, Technology &amp; Marketing Law Blog, 22 September 2015, </w:t>
      </w:r>
      <w:r w:rsidRPr="000729E6">
        <w:t>http://blog.ericgoldman.org/archives/2015/09/local-hosting-and-the-draft-trade-in-services-agreement-guest-blog-post.htm</w:t>
      </w:r>
      <w:r w:rsidR="00BF19D1">
        <w:t>.</w:t>
      </w:r>
    </w:p>
    <w:p w14:paraId="5BADD39C" w14:textId="77777777" w:rsidR="00697A11" w:rsidRPr="00C53A0A" w:rsidRDefault="00697A11" w:rsidP="00DA7767">
      <w:r>
        <w:t xml:space="preserve">Trimble, Marketa. ‘The Multiplicity of Copyright Laws on the Internet’, </w:t>
      </w:r>
      <w:r w:rsidRPr="00697A11">
        <w:rPr>
          <w:i/>
        </w:rPr>
        <w:t>Fordham Intellectual Property, Media &amp; Entertainment Law Journal</w:t>
      </w:r>
      <w:r w:rsidR="00021B90">
        <w:t xml:space="preserve"> </w:t>
      </w:r>
      <w:r w:rsidR="00BF19D1">
        <w:t xml:space="preserve">25.2 </w:t>
      </w:r>
      <w:r w:rsidR="00021B90">
        <w:t>(2015): 339-405.</w:t>
      </w:r>
    </w:p>
    <w:sectPr w:rsidR="00697A11" w:rsidRPr="00C53A0A" w:rsidSect="000D58D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7C31C" w14:textId="77777777" w:rsidR="0094475B" w:rsidRDefault="0094475B" w:rsidP="00C52432">
      <w:pPr>
        <w:spacing w:after="0"/>
      </w:pPr>
      <w:r>
        <w:separator/>
      </w:r>
    </w:p>
  </w:endnote>
  <w:endnote w:type="continuationSeparator" w:id="0">
    <w:p w14:paraId="1C13AF4B" w14:textId="77777777" w:rsidR="0094475B" w:rsidRDefault="0094475B" w:rsidP="00C524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314455"/>
      <w:docPartObj>
        <w:docPartGallery w:val="Page Numbers (Bottom of Page)"/>
        <w:docPartUnique/>
      </w:docPartObj>
    </w:sdtPr>
    <w:sdtEndPr>
      <w:rPr>
        <w:noProof/>
      </w:rPr>
    </w:sdtEndPr>
    <w:sdtContent>
      <w:p w14:paraId="2172990E" w14:textId="77777777" w:rsidR="009329CB" w:rsidRDefault="009329CB">
        <w:pPr>
          <w:pStyle w:val="Footer"/>
          <w:jc w:val="center"/>
        </w:pPr>
      </w:p>
      <w:p w14:paraId="44665F77" w14:textId="77777777" w:rsidR="009329CB" w:rsidRDefault="009329CB">
        <w:pPr>
          <w:pStyle w:val="Footer"/>
          <w:jc w:val="center"/>
        </w:pPr>
      </w:p>
      <w:p w14:paraId="2669269B" w14:textId="77777777" w:rsidR="009329CB" w:rsidRDefault="009329CB">
        <w:pPr>
          <w:pStyle w:val="Footer"/>
          <w:jc w:val="center"/>
        </w:pPr>
        <w:r>
          <w:fldChar w:fldCharType="begin"/>
        </w:r>
        <w:r>
          <w:instrText xml:space="preserve"> PAGE   \* MERGEFORMAT </w:instrText>
        </w:r>
        <w:r>
          <w:fldChar w:fldCharType="separate"/>
        </w:r>
        <w:r w:rsidR="001438E9">
          <w:rPr>
            <w:noProof/>
          </w:rPr>
          <w:t>2</w:t>
        </w:r>
        <w:r>
          <w:rPr>
            <w:noProof/>
          </w:rPr>
          <w:fldChar w:fldCharType="end"/>
        </w:r>
      </w:p>
    </w:sdtContent>
  </w:sdt>
  <w:p w14:paraId="2AFAE200" w14:textId="77777777" w:rsidR="009329CB" w:rsidRDefault="009329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AB97E" w14:textId="77777777" w:rsidR="0094475B" w:rsidRDefault="0094475B" w:rsidP="00C52432">
      <w:pPr>
        <w:spacing w:after="0"/>
      </w:pPr>
      <w:r>
        <w:separator/>
      </w:r>
    </w:p>
  </w:footnote>
  <w:footnote w:type="continuationSeparator" w:id="0">
    <w:p w14:paraId="388A2835" w14:textId="77777777" w:rsidR="0094475B" w:rsidRDefault="0094475B" w:rsidP="00C52432">
      <w:pPr>
        <w:spacing w:after="0"/>
      </w:pPr>
      <w:r>
        <w:continuationSeparator/>
      </w:r>
    </w:p>
  </w:footnote>
  <w:footnote w:id="1">
    <w:p w14:paraId="547AB603" w14:textId="77777777" w:rsidR="009329CB" w:rsidRDefault="009329CB">
      <w:pPr>
        <w:pStyle w:val="FootnoteText"/>
      </w:pPr>
      <w:r>
        <w:rPr>
          <w:rStyle w:val="FootnoteReference"/>
        </w:rPr>
        <w:footnoteRef/>
      </w:r>
      <w:r>
        <w:t xml:space="preserve"> Marketa Trimble, ‘The Multiplicity of Copy</w:t>
      </w:r>
      <w:r w:rsidR="00BF19D1">
        <w:t>right Laws on the Internet’,</w:t>
      </w:r>
      <w:r>
        <w:t xml:space="preserve"> </w:t>
      </w:r>
      <w:r w:rsidRPr="00697A11">
        <w:rPr>
          <w:i/>
        </w:rPr>
        <w:t>Fordham Intellectual Property, Media &amp; Entertainment Law Journal</w:t>
      </w:r>
      <w:r>
        <w:t xml:space="preserve"> </w:t>
      </w:r>
      <w:r w:rsidR="00BF19D1">
        <w:t xml:space="preserve">25.2 </w:t>
      </w:r>
      <w:r>
        <w:t>(Winter, 2015): 345-346.</w:t>
      </w:r>
    </w:p>
  </w:footnote>
  <w:footnote w:id="2">
    <w:p w14:paraId="02A56ADC" w14:textId="77777777" w:rsidR="009329CB" w:rsidRPr="0097496D" w:rsidRDefault="009329CB">
      <w:pPr>
        <w:pStyle w:val="FootnoteText"/>
      </w:pPr>
      <w:r>
        <w:rPr>
          <w:rStyle w:val="FootnoteReference"/>
        </w:rPr>
        <w:footnoteRef/>
      </w:r>
      <w:r>
        <w:t xml:space="preserve"> Jack L. Goldsmith and Tim Wu, </w:t>
      </w:r>
      <w:r>
        <w:rPr>
          <w:i/>
        </w:rPr>
        <w:t>Who Controls the Internet?: Illusions of A Borderless World</w:t>
      </w:r>
      <w:r>
        <w:t>, New York: Oxford University Press, 2006, at p. viii and 152.</w:t>
      </w:r>
    </w:p>
  </w:footnote>
  <w:footnote w:id="3">
    <w:p w14:paraId="1F011E44" w14:textId="77777777" w:rsidR="009329CB" w:rsidRPr="000D5613" w:rsidRDefault="009329CB">
      <w:pPr>
        <w:pStyle w:val="FootnoteText"/>
      </w:pPr>
      <w:r>
        <w:rPr>
          <w:rStyle w:val="FootnoteReference"/>
        </w:rPr>
        <w:footnoteRef/>
      </w:r>
      <w:r>
        <w:t xml:space="preserve"> On other methods of imposing borders on the internet </w:t>
      </w:r>
      <w:r>
        <w:rPr>
          <w:i/>
        </w:rPr>
        <w:t>see</w:t>
      </w:r>
      <w:r>
        <w:t xml:space="preserve"> Marketa Trimble, ‘The Future of Cybertravel: Legal Implications of the Evasion of Geolocation’, </w:t>
      </w:r>
      <w:r>
        <w:rPr>
          <w:i/>
        </w:rPr>
        <w:t>Fordham Intellectual Property, Media &amp; Entertainment Law Journal</w:t>
      </w:r>
      <w:r>
        <w:t xml:space="preserve"> 22</w:t>
      </w:r>
      <w:r w:rsidR="00BF19D1">
        <w:t>.</w:t>
      </w:r>
      <w:r>
        <w:t>3 (2012): 583-585.</w:t>
      </w:r>
    </w:p>
  </w:footnote>
  <w:footnote w:id="4">
    <w:p w14:paraId="08F2CDDB" w14:textId="77777777" w:rsidR="009329CB" w:rsidRPr="00F014D7" w:rsidRDefault="009329CB">
      <w:pPr>
        <w:pStyle w:val="FootnoteText"/>
      </w:pPr>
      <w:r>
        <w:rPr>
          <w:rStyle w:val="FootnoteReference"/>
        </w:rPr>
        <w:footnoteRef/>
      </w:r>
      <w:r>
        <w:t xml:space="preserve"> Michael Geist, ‘Cyberlaw 2.0’, </w:t>
      </w:r>
      <w:r w:rsidRPr="00F014D7">
        <w:rPr>
          <w:i/>
        </w:rPr>
        <w:t>Boston College Law Review</w:t>
      </w:r>
      <w:r>
        <w:t xml:space="preserve"> 44 (2003): 335-347.</w:t>
      </w:r>
    </w:p>
  </w:footnote>
  <w:footnote w:id="5">
    <w:p w14:paraId="65D0090C" w14:textId="77777777" w:rsidR="009329CB" w:rsidRPr="005D36DE" w:rsidRDefault="009329CB">
      <w:pPr>
        <w:pStyle w:val="FootnoteText"/>
      </w:pPr>
      <w:r>
        <w:rPr>
          <w:rStyle w:val="FootnoteReference"/>
        </w:rPr>
        <w:footnoteRef/>
      </w:r>
      <w:r>
        <w:t xml:space="preserve"> On the various reasons for which parties turn to geolocation and geoblocking </w:t>
      </w:r>
      <w:r>
        <w:rPr>
          <w:i/>
        </w:rPr>
        <w:t>see</w:t>
      </w:r>
      <w:r>
        <w:t xml:space="preserve"> Trimble, </w:t>
      </w:r>
      <w:r>
        <w:rPr>
          <w:i/>
        </w:rPr>
        <w:t xml:space="preserve">supra </w:t>
      </w:r>
      <w:r>
        <w:t xml:space="preserve">note </w:t>
      </w:r>
      <w:r>
        <w:fldChar w:fldCharType="begin"/>
      </w:r>
      <w:r>
        <w:instrText xml:space="preserve"> NOTEREF _Ref427221223 \h </w:instrText>
      </w:r>
      <w:r>
        <w:fldChar w:fldCharType="separate"/>
      </w:r>
      <w:r w:rsidR="00BD643E">
        <w:t>3</w:t>
      </w:r>
      <w:r>
        <w:fldChar w:fldCharType="end"/>
      </w:r>
      <w:r>
        <w:t>, pp. 586-589.</w:t>
      </w:r>
    </w:p>
  </w:footnote>
  <w:footnote w:id="6">
    <w:p w14:paraId="78F7FDED" w14:textId="77777777" w:rsidR="009329CB" w:rsidRPr="00A700D5" w:rsidRDefault="009329CB">
      <w:pPr>
        <w:pStyle w:val="FootnoteText"/>
        <w:rPr>
          <w:rFonts w:cs="Times New Roman"/>
        </w:rPr>
      </w:pPr>
      <w:r w:rsidRPr="00A700D5">
        <w:rPr>
          <w:rStyle w:val="FootnoteReference"/>
          <w:rFonts w:cs="Times New Roman"/>
        </w:rPr>
        <w:footnoteRef/>
      </w:r>
      <w:r w:rsidRPr="00A700D5">
        <w:rPr>
          <w:rFonts w:cs="Times New Roman"/>
        </w:rPr>
        <w:t xml:space="preserve"> </w:t>
      </w:r>
      <w:r w:rsidRPr="00D3023A">
        <w:rPr>
          <w:rFonts w:cs="Times New Roman"/>
        </w:rPr>
        <w:t>Oberlandesgericht Mü</w:t>
      </w:r>
      <w:r>
        <w:rPr>
          <w:rFonts w:cs="Times New Roman"/>
        </w:rPr>
        <w:t xml:space="preserve">nster, 13 B 775/09, 3 December </w:t>
      </w:r>
      <w:r w:rsidRPr="00D3023A">
        <w:rPr>
          <w:rFonts w:cs="Times New Roman"/>
        </w:rPr>
        <w:t>2009</w:t>
      </w:r>
      <w:r>
        <w:rPr>
          <w:rFonts w:cs="Times New Roman"/>
        </w:rPr>
        <w:t xml:space="preserve">; </w:t>
      </w:r>
      <w:r w:rsidRPr="00F73821">
        <w:t xml:space="preserve">Oberverwaltungsgericht Nordrhein-Westfalen, 13 B 646/10, </w:t>
      </w:r>
      <w:r>
        <w:t xml:space="preserve">2 July </w:t>
      </w:r>
      <w:r w:rsidRPr="00F73821">
        <w:t>2010</w:t>
      </w:r>
      <w:r>
        <w:t xml:space="preserve">; </w:t>
      </w:r>
      <w:r w:rsidRPr="00F73821">
        <w:t>Oberverwaltungsgericht Nordrhein-W</w:t>
      </w:r>
      <w:r>
        <w:t xml:space="preserve">estfalen, 13 B 676/10, 13 July </w:t>
      </w:r>
      <w:r w:rsidRPr="00F73821">
        <w:t>2010</w:t>
      </w:r>
      <w:r>
        <w:t>.</w:t>
      </w:r>
    </w:p>
  </w:footnote>
  <w:footnote w:id="7">
    <w:p w14:paraId="5CD574DE" w14:textId="77777777" w:rsidR="009329CB" w:rsidRDefault="009329CB">
      <w:pPr>
        <w:pStyle w:val="FootnoteText"/>
      </w:pPr>
      <w:r>
        <w:rPr>
          <w:rStyle w:val="FootnoteReference"/>
        </w:rPr>
        <w:footnoteRef/>
      </w:r>
      <w:r>
        <w:t xml:space="preserve"> Jazette Enterprises Ltd. v. Commonwealth of Kentucky, Court of Appeals of Kentucky, 2014 WL 689044, 21 February 2014, p. 2.</w:t>
      </w:r>
    </w:p>
  </w:footnote>
  <w:footnote w:id="8">
    <w:p w14:paraId="03F14796" w14:textId="77777777" w:rsidR="009329CB" w:rsidRDefault="009329CB" w:rsidP="00F80483">
      <w:pPr>
        <w:pStyle w:val="FootnoteText"/>
      </w:pPr>
      <w:r>
        <w:rPr>
          <w:rStyle w:val="FootnoteReference"/>
        </w:rPr>
        <w:footnoteRef/>
      </w:r>
      <w:r>
        <w:t xml:space="preserve"> Spanski Enterprises, Inc. v. Telewizja Polska, S.A., D.D.C., 1:12-cv-00957-TSC, document 1, Complaint, 11 June 2012, p. 4.</w:t>
      </w:r>
    </w:p>
  </w:footnote>
  <w:footnote w:id="9">
    <w:p w14:paraId="5A53FE49" w14:textId="77777777" w:rsidR="009329CB" w:rsidRDefault="009329CB" w:rsidP="00F80483">
      <w:pPr>
        <w:pStyle w:val="FootnoteText"/>
      </w:pPr>
      <w:r>
        <w:rPr>
          <w:rStyle w:val="FootnoteReference"/>
        </w:rPr>
        <w:footnoteRef/>
      </w:r>
      <w:r>
        <w:t xml:space="preserve"> </w:t>
      </w:r>
      <w:r w:rsidRPr="00231634">
        <w:rPr>
          <w:i/>
        </w:rPr>
        <w:t>Id.</w:t>
      </w:r>
      <w:r>
        <w:t>, pp. 4-5.</w:t>
      </w:r>
    </w:p>
  </w:footnote>
  <w:footnote w:id="10">
    <w:p w14:paraId="634F2A95" w14:textId="77777777" w:rsidR="00753ABA" w:rsidRDefault="00753ABA">
      <w:pPr>
        <w:pStyle w:val="FootnoteText"/>
      </w:pPr>
      <w:r>
        <w:rPr>
          <w:rStyle w:val="FootnoteReference"/>
        </w:rPr>
        <w:footnoteRef/>
      </w:r>
      <w:r>
        <w:t xml:space="preserve"> Spanski Enterprises, Inc. v. Telewizja Polska, S.A., D.D.C., 1:12-cv-00957-TSC, document 37, Amended Pretrial Order, 20 August 2015</w:t>
      </w:r>
      <w:r w:rsidR="00AB5147">
        <w:t>, p. 1</w:t>
      </w:r>
      <w:r>
        <w:t>.</w:t>
      </w:r>
    </w:p>
  </w:footnote>
  <w:footnote w:id="11">
    <w:p w14:paraId="6F217DD4" w14:textId="77777777" w:rsidR="009329CB" w:rsidRDefault="009329CB" w:rsidP="00F80483">
      <w:pPr>
        <w:pStyle w:val="FootnoteText"/>
      </w:pPr>
      <w:r>
        <w:rPr>
          <w:rStyle w:val="FootnoteReference"/>
        </w:rPr>
        <w:footnoteRef/>
      </w:r>
      <w:r>
        <w:t xml:space="preserve"> Spanski Enterprises, Inc. v. Telewizja Polska, S.A., D.D.C., 1:12-cv-00957-TSC, document 29, Defendant’s Consolidated Memorandum of Points and Authorities, 27 February 2015, p. 4. For</w:t>
      </w:r>
      <w:r w:rsidR="000729E6">
        <w:t xml:space="preserve"> the</w:t>
      </w:r>
      <w:r>
        <w:t xml:space="preserve"> purposes of the present discussion we leave aside the question whether the agreement’s provision on geoblocking was a covenant or a condition.</w:t>
      </w:r>
    </w:p>
  </w:footnote>
  <w:footnote w:id="12">
    <w:p w14:paraId="72E516D6" w14:textId="77777777" w:rsidR="009329CB" w:rsidRDefault="009329CB">
      <w:pPr>
        <w:pStyle w:val="FootnoteText"/>
      </w:pPr>
      <w:r>
        <w:rPr>
          <w:rStyle w:val="FootnoteReference"/>
        </w:rPr>
        <w:footnoteRef/>
      </w:r>
      <w:r>
        <w:t xml:space="preserve"> James A. Muir and Paul C. Van Oorschot, ‘Internet Geolocation: Evasion and Counterevasion’, </w:t>
      </w:r>
      <w:r w:rsidRPr="00144DAA">
        <w:rPr>
          <w:i/>
        </w:rPr>
        <w:t>ACM Computing Surveys</w:t>
      </w:r>
      <w:r>
        <w:t xml:space="preserve"> 4 (December 2009).</w:t>
      </w:r>
    </w:p>
  </w:footnote>
  <w:footnote w:id="13">
    <w:p w14:paraId="59AA1470" w14:textId="77777777" w:rsidR="009329CB" w:rsidRPr="00A445C0" w:rsidRDefault="009329CB">
      <w:pPr>
        <w:pStyle w:val="FootnoteText"/>
      </w:pPr>
      <w:r>
        <w:rPr>
          <w:rStyle w:val="FootnoteReference"/>
        </w:rPr>
        <w:footnoteRef/>
      </w:r>
      <w:r>
        <w:t xml:space="preserve"> </w:t>
      </w:r>
      <w:r>
        <w:rPr>
          <w:i/>
        </w:rPr>
        <w:t>Supra</w:t>
      </w:r>
      <w:r>
        <w:t xml:space="preserve"> note </w:t>
      </w:r>
      <w:r>
        <w:fldChar w:fldCharType="begin"/>
      </w:r>
      <w:r>
        <w:instrText xml:space="preserve"> NOTEREF _Ref427140367 \h </w:instrText>
      </w:r>
      <w:r>
        <w:fldChar w:fldCharType="separate"/>
      </w:r>
      <w:r w:rsidR="00BD643E">
        <w:t>8</w:t>
      </w:r>
      <w:r>
        <w:fldChar w:fldCharType="end"/>
      </w:r>
      <w:r>
        <w:t>.</w:t>
      </w:r>
    </w:p>
  </w:footnote>
  <w:footnote w:id="14">
    <w:p w14:paraId="6CDF00E6" w14:textId="77777777" w:rsidR="009329CB" w:rsidRDefault="009329CB">
      <w:pPr>
        <w:pStyle w:val="FootnoteText"/>
      </w:pPr>
      <w:r>
        <w:rPr>
          <w:rStyle w:val="FootnoteReference"/>
        </w:rPr>
        <w:footnoteRef/>
      </w:r>
      <w:r>
        <w:t xml:space="preserve"> Michael Geist, ‘Nobody’s Perfect: Leaked Contract Reveals Sony Requires Netflix to Geo-Block But Acknowledges Technology is Imperfect’, Michael Geist’s blog, 17 April 2015, </w:t>
      </w:r>
      <w:r w:rsidRPr="000729E6">
        <w:t>http://www.michaelgeist.ca/2015/04/nobodys-perfect-leaked-contract-reveals-sony-requires-netflix-to-geo-block-but-acknowledges-technology-is-imperfect/</w:t>
      </w:r>
      <w:r>
        <w:t xml:space="preserve">. </w:t>
      </w:r>
    </w:p>
  </w:footnote>
  <w:footnote w:id="15">
    <w:p w14:paraId="42326D31" w14:textId="77777777" w:rsidR="009329CB" w:rsidRPr="004C4704" w:rsidRDefault="009329CB">
      <w:pPr>
        <w:pStyle w:val="FootnoteText"/>
      </w:pPr>
      <w:r>
        <w:rPr>
          <w:rStyle w:val="FootnoteReference"/>
        </w:rPr>
        <w:footnoteRef/>
      </w:r>
      <w:r>
        <w:t xml:space="preserve"> </w:t>
      </w:r>
      <w:r>
        <w:rPr>
          <w:i/>
        </w:rPr>
        <w:t>Id.</w:t>
      </w:r>
    </w:p>
  </w:footnote>
  <w:footnote w:id="16">
    <w:p w14:paraId="2393D189" w14:textId="77777777" w:rsidR="009329CB" w:rsidRDefault="009329CB">
      <w:pPr>
        <w:pStyle w:val="FootnoteText"/>
      </w:pPr>
      <w:r>
        <w:rPr>
          <w:rStyle w:val="FootnoteReference"/>
        </w:rPr>
        <w:footnoteRef/>
      </w:r>
      <w:r>
        <w:t xml:space="preserve"> </w:t>
      </w:r>
      <w:r w:rsidRPr="00923B7C">
        <w:rPr>
          <w:rFonts w:cs="Times New Roman"/>
        </w:rPr>
        <w:t xml:space="preserve">Dan Jerker B. Svantesson, </w:t>
      </w:r>
      <w:r>
        <w:rPr>
          <w:rFonts w:cs="Times New Roman"/>
        </w:rPr>
        <w:t>‘</w:t>
      </w:r>
      <w:r w:rsidRPr="00923B7C">
        <w:rPr>
          <w:rFonts w:cs="Times New Roman"/>
          <w:iCs/>
        </w:rPr>
        <w:t>Geo-Location Technologies and Other Means of Pla</w:t>
      </w:r>
      <w:r>
        <w:rPr>
          <w:rFonts w:cs="Times New Roman"/>
          <w:iCs/>
        </w:rPr>
        <w:t xml:space="preserve">cing Borders on the </w:t>
      </w:r>
      <w:r w:rsidRPr="00923B7C">
        <w:rPr>
          <w:rFonts w:cs="Times New Roman"/>
          <w:iCs/>
        </w:rPr>
        <w:t>Borderless Internet</w:t>
      </w:r>
      <w:r>
        <w:rPr>
          <w:rFonts w:cs="Times New Roman"/>
        </w:rPr>
        <w:t xml:space="preserve">’, </w:t>
      </w:r>
      <w:r>
        <w:rPr>
          <w:rFonts w:cs="Times New Roman"/>
          <w:i/>
        </w:rPr>
        <w:t xml:space="preserve">The John Marshall Journal of Information Technology &amp; Privacy </w:t>
      </w:r>
      <w:r w:rsidRPr="00923B7C">
        <w:rPr>
          <w:rFonts w:cs="Times New Roman"/>
          <w:i/>
        </w:rPr>
        <w:t>Law</w:t>
      </w:r>
      <w:r>
        <w:rPr>
          <w:rFonts w:cs="Times New Roman"/>
        </w:rPr>
        <w:t xml:space="preserve"> </w:t>
      </w:r>
      <w:r w:rsidRPr="00923B7C">
        <w:rPr>
          <w:rFonts w:cs="Times New Roman"/>
        </w:rPr>
        <w:t>23</w:t>
      </w:r>
      <w:r>
        <w:rPr>
          <w:rFonts w:cs="Times New Roman"/>
        </w:rPr>
        <w:t xml:space="preserve"> (2004): 111 ff</w:t>
      </w:r>
      <w:r w:rsidRPr="00923B7C">
        <w:rPr>
          <w:rFonts w:cs="Times New Roman"/>
        </w:rPr>
        <w:t>.</w:t>
      </w:r>
    </w:p>
  </w:footnote>
  <w:footnote w:id="17">
    <w:p w14:paraId="78DA3B59" w14:textId="77777777" w:rsidR="009329CB" w:rsidRDefault="009329CB">
      <w:pPr>
        <w:pStyle w:val="FootnoteText"/>
      </w:pPr>
      <w:r>
        <w:rPr>
          <w:rStyle w:val="FootnoteReference"/>
        </w:rPr>
        <w:footnoteRef/>
      </w:r>
      <w:r>
        <w:t xml:space="preserve"> </w:t>
      </w:r>
      <w:r w:rsidRPr="00C636C7">
        <w:rPr>
          <w:rFonts w:cs="Times New Roman"/>
        </w:rPr>
        <w:t>Agreement on Trade-Related Aspects of Intellectual Property Rights</w:t>
      </w:r>
      <w:r>
        <w:rPr>
          <w:rFonts w:cs="Times New Roman"/>
        </w:rPr>
        <w:t>, WTO,</w:t>
      </w:r>
      <w:r w:rsidRPr="00C636C7">
        <w:rPr>
          <w:rFonts w:cs="Times New Roman"/>
        </w:rPr>
        <w:t xml:space="preserve"> 1994, Article 60</w:t>
      </w:r>
      <w:r>
        <w:rPr>
          <w:rFonts w:cs="Times New Roman"/>
        </w:rPr>
        <w:t>.</w:t>
      </w:r>
    </w:p>
  </w:footnote>
  <w:footnote w:id="18">
    <w:p w14:paraId="6723C994" w14:textId="77777777" w:rsidR="009329CB" w:rsidRDefault="009329CB">
      <w:pPr>
        <w:pStyle w:val="FootnoteText"/>
      </w:pPr>
      <w:r>
        <w:rPr>
          <w:rStyle w:val="FootnoteReference"/>
        </w:rPr>
        <w:footnoteRef/>
      </w:r>
      <w:r>
        <w:t xml:space="preserve"> </w:t>
      </w:r>
      <w:r w:rsidRPr="00F73821">
        <w:t>Oberlandesgericht Münche</w:t>
      </w:r>
      <w:r>
        <w:t xml:space="preserve">n I, 21 O 6742/07, 14 November </w:t>
      </w:r>
      <w:r w:rsidRPr="00F73821">
        <w:t>2007</w:t>
      </w:r>
      <w:r>
        <w:t>.</w:t>
      </w:r>
    </w:p>
  </w:footnote>
  <w:footnote w:id="19">
    <w:p w14:paraId="62F92388" w14:textId="77777777" w:rsidR="009329CB" w:rsidRDefault="009329CB">
      <w:pPr>
        <w:pStyle w:val="FootnoteText"/>
      </w:pPr>
      <w:r>
        <w:rPr>
          <w:rStyle w:val="FootnoteReference"/>
        </w:rPr>
        <w:footnoteRef/>
      </w:r>
      <w:r>
        <w:t xml:space="preserve"> </w:t>
      </w:r>
      <w:r w:rsidRPr="00F73821">
        <w:rPr>
          <w:i/>
        </w:rPr>
        <w:t>321 Studios v. Metro Goldwyn Mayer Studios, Inc.</w:t>
      </w:r>
      <w:r w:rsidRPr="00F73821">
        <w:t>, 307 F.Supp.2d 1085</w:t>
      </w:r>
      <w:r>
        <w:t>, 1095</w:t>
      </w:r>
      <w:r w:rsidRPr="00F73821">
        <w:t xml:space="preserve"> (N.D.Ca. 2004)</w:t>
      </w:r>
      <w:r>
        <w:t>.</w:t>
      </w:r>
    </w:p>
  </w:footnote>
  <w:footnote w:id="20">
    <w:p w14:paraId="0AD50069" w14:textId="77777777" w:rsidR="009329CB" w:rsidRPr="00BE357F" w:rsidRDefault="009329CB">
      <w:pPr>
        <w:pStyle w:val="FootnoteText"/>
      </w:pPr>
      <w:r>
        <w:rPr>
          <w:rStyle w:val="FootnoteReference"/>
        </w:rPr>
        <w:footnoteRef/>
      </w:r>
      <w:r>
        <w:t xml:space="preserve"> </w:t>
      </w:r>
      <w:r>
        <w:rPr>
          <w:i/>
        </w:rPr>
        <w:t>Id.</w:t>
      </w:r>
    </w:p>
  </w:footnote>
  <w:footnote w:id="21">
    <w:p w14:paraId="287D741E" w14:textId="77777777" w:rsidR="009329CB" w:rsidRPr="00483C75" w:rsidRDefault="009329CB">
      <w:pPr>
        <w:pStyle w:val="FootnoteText"/>
      </w:pPr>
      <w:r>
        <w:rPr>
          <w:rStyle w:val="FootnoteReference"/>
        </w:rPr>
        <w:footnoteRef/>
      </w:r>
      <w:r>
        <w:t xml:space="preserve"> For example, Liana B. Baker and Yinka Adegoke, ‘Olympics Fans Find Ways to Circumvent NBC’s Online Control’, </w:t>
      </w:r>
      <w:r>
        <w:rPr>
          <w:i/>
        </w:rPr>
        <w:t>Reuters</w:t>
      </w:r>
      <w:r>
        <w:t xml:space="preserve">, 31 July 2012, </w:t>
      </w:r>
      <w:r w:rsidRPr="000729E6">
        <w:t>http://www.reuters.com/article/2012/07/31/us-olympics-tech-workaround-idUSBRE86U02R20120731</w:t>
      </w:r>
      <w:r>
        <w:t xml:space="preserve">; Aaron Gell, ‘Reinventing the Web: A New App Lets You Watch Whatever TV Program You Want, Including the Olympics, Anywhere in the World’, </w:t>
      </w:r>
      <w:r>
        <w:rPr>
          <w:i/>
        </w:rPr>
        <w:t>Business Insider</w:t>
      </w:r>
      <w:r>
        <w:t xml:space="preserve">, 25 January 2014, </w:t>
      </w:r>
      <w:r w:rsidRPr="000729E6">
        <w:t>http://www.businessinsider.com/hola-tv-watch-olympics-vpn-blocker-netflix-world-2014-1</w:t>
      </w:r>
      <w:r>
        <w:t xml:space="preserve">. </w:t>
      </w:r>
    </w:p>
  </w:footnote>
  <w:footnote w:id="22">
    <w:p w14:paraId="6FDC70AC" w14:textId="77777777" w:rsidR="009329CB" w:rsidRDefault="009329CB">
      <w:pPr>
        <w:pStyle w:val="FootnoteText"/>
      </w:pPr>
      <w:r>
        <w:rPr>
          <w:rStyle w:val="FootnoteReference"/>
        </w:rPr>
        <w:footnoteRef/>
      </w:r>
      <w:r>
        <w:t xml:space="preserve"> Nutzungsbedingunen f</w:t>
      </w:r>
      <w:r>
        <w:rPr>
          <w:rFonts w:cs="Times New Roman"/>
        </w:rPr>
        <w:t>ü</w:t>
      </w:r>
      <w:r>
        <w:t xml:space="preserve">r die Nutzung des Videoportals von Sat.1, § 4.1(g), </w:t>
      </w:r>
      <w:r w:rsidRPr="000729E6">
        <w:t>http://www.sat1.de/service/nutzungsbedingungen/nutzungsbedingungen-fuer-die-nutzung-des-videoportals-von-sat-1</w:t>
      </w:r>
      <w:r>
        <w:t xml:space="preserve">. </w:t>
      </w:r>
    </w:p>
  </w:footnote>
  <w:footnote w:id="23">
    <w:p w14:paraId="76DB6527" w14:textId="77777777" w:rsidR="009329CB" w:rsidRPr="00E00F89" w:rsidRDefault="009329CB">
      <w:pPr>
        <w:pStyle w:val="FootnoteText"/>
      </w:pPr>
      <w:r>
        <w:rPr>
          <w:rStyle w:val="FootnoteReference"/>
        </w:rPr>
        <w:footnoteRef/>
      </w:r>
      <w:r>
        <w:t xml:space="preserve"> Trimble, </w:t>
      </w:r>
      <w:r>
        <w:rPr>
          <w:i/>
        </w:rPr>
        <w:t>supra</w:t>
      </w:r>
      <w:r>
        <w:t xml:space="preserve"> note </w:t>
      </w:r>
      <w:r>
        <w:fldChar w:fldCharType="begin"/>
      </w:r>
      <w:r>
        <w:instrText xml:space="preserve"> NOTEREF _Ref427221223 \h </w:instrText>
      </w:r>
      <w:r>
        <w:fldChar w:fldCharType="separate"/>
      </w:r>
      <w:r w:rsidR="00BD643E">
        <w:t>3</w:t>
      </w:r>
      <w:r>
        <w:fldChar w:fldCharType="end"/>
      </w:r>
      <w:r>
        <w:t>.</w:t>
      </w:r>
    </w:p>
  </w:footnote>
  <w:footnote w:id="24">
    <w:p w14:paraId="59C46DF2" w14:textId="77777777" w:rsidR="009329CB" w:rsidRPr="00AA37E9" w:rsidRDefault="009329CB">
      <w:pPr>
        <w:pStyle w:val="FootnoteText"/>
      </w:pPr>
      <w:r>
        <w:rPr>
          <w:rStyle w:val="FootnoteReference"/>
        </w:rPr>
        <w:footnoteRef/>
      </w:r>
      <w:r>
        <w:t xml:space="preserve"> </w:t>
      </w:r>
      <w:r>
        <w:rPr>
          <w:i/>
        </w:rPr>
        <w:t>Id.</w:t>
      </w:r>
      <w:r>
        <w:t xml:space="preserve">, pp. 612-620 and 630-634; Christopher Hilliard, ‘Evaluating the Legitimacy of Geo-Location Circumvention in the Context of Technical Protection Measures’, </w:t>
      </w:r>
      <w:r>
        <w:rPr>
          <w:i/>
        </w:rPr>
        <w:t>Queen Mary Journal of Intellectual Property</w:t>
      </w:r>
      <w:r>
        <w:t xml:space="preserve"> 5(2) (2015): 157-182.</w:t>
      </w:r>
    </w:p>
  </w:footnote>
  <w:footnote w:id="25">
    <w:p w14:paraId="5FBAC297" w14:textId="77777777" w:rsidR="009329CB" w:rsidRPr="008851F6" w:rsidRDefault="009329CB">
      <w:pPr>
        <w:pStyle w:val="FootnoteText"/>
      </w:pPr>
      <w:r>
        <w:rPr>
          <w:rStyle w:val="FootnoteReference"/>
        </w:rPr>
        <w:footnoteRef/>
      </w:r>
      <w:r>
        <w:t xml:space="preserve"> Trimble, </w:t>
      </w:r>
      <w:r>
        <w:rPr>
          <w:i/>
        </w:rPr>
        <w:t>supra</w:t>
      </w:r>
      <w:r>
        <w:t xml:space="preserve"> note </w:t>
      </w:r>
      <w:r>
        <w:fldChar w:fldCharType="begin"/>
      </w:r>
      <w:r>
        <w:instrText xml:space="preserve"> NOTEREF _Ref427221223 \h </w:instrText>
      </w:r>
      <w:r>
        <w:fldChar w:fldCharType="separate"/>
      </w:r>
      <w:r w:rsidR="00BD643E">
        <w:t>3</w:t>
      </w:r>
      <w:r>
        <w:fldChar w:fldCharType="end"/>
      </w:r>
      <w:r>
        <w:t>, pp. 625-627 and 630.</w:t>
      </w:r>
    </w:p>
  </w:footnote>
  <w:footnote w:id="26">
    <w:p w14:paraId="1AC8075B" w14:textId="77777777" w:rsidR="009329CB" w:rsidRDefault="009329CB">
      <w:pPr>
        <w:pStyle w:val="FootnoteText"/>
      </w:pPr>
      <w:r>
        <w:rPr>
          <w:rStyle w:val="FootnoteReference"/>
        </w:rPr>
        <w:footnoteRef/>
      </w:r>
      <w:r>
        <w:t xml:space="preserve"> </w:t>
      </w:r>
      <w:r>
        <w:rPr>
          <w:i/>
        </w:rPr>
        <w:t>Id.</w:t>
      </w:r>
      <w:r>
        <w:t>, pp. 628-630.</w:t>
      </w:r>
    </w:p>
  </w:footnote>
  <w:footnote w:id="27">
    <w:p w14:paraId="06CEE223" w14:textId="77777777" w:rsidR="009329CB" w:rsidRDefault="009329CB" w:rsidP="00D5375F">
      <w:pPr>
        <w:pStyle w:val="FootnoteText"/>
      </w:pPr>
      <w:r>
        <w:rPr>
          <w:rStyle w:val="FootnoteReference"/>
        </w:rPr>
        <w:footnoteRef/>
      </w:r>
      <w:r>
        <w:t xml:space="preserve"> Jeremy Kirk, ‘</w:t>
      </w:r>
      <w:r w:rsidRPr="004B39C3">
        <w:t>Geoblocking Question Unresolved After New Zealand Lawsuit Ends</w:t>
      </w:r>
      <w:r>
        <w:t xml:space="preserve">’, PCWorld, 23 June 2015, </w:t>
      </w:r>
      <w:r w:rsidRPr="000729E6">
        <w:t>http://www.pcworld.com/article/2939972/geoblocking-question-unresolved-after-new-zealand-lawsuit-ends.html</w:t>
      </w:r>
      <w:r>
        <w:t>.</w:t>
      </w:r>
    </w:p>
  </w:footnote>
  <w:footnote w:id="28">
    <w:p w14:paraId="49C61568" w14:textId="77777777" w:rsidR="009329CB" w:rsidRPr="00E36F4D" w:rsidRDefault="009329CB">
      <w:pPr>
        <w:pStyle w:val="FootnoteText"/>
      </w:pPr>
      <w:r>
        <w:rPr>
          <w:rStyle w:val="FootnoteReference"/>
        </w:rPr>
        <w:footnoteRef/>
      </w:r>
      <w:r>
        <w:t xml:space="preserve"> </w:t>
      </w:r>
      <w:r>
        <w:rPr>
          <w:i/>
        </w:rPr>
        <w:t>Supra</w:t>
      </w:r>
      <w:r>
        <w:t xml:space="preserve"> note </w:t>
      </w:r>
      <w:r>
        <w:fldChar w:fldCharType="begin"/>
      </w:r>
      <w:r>
        <w:instrText xml:space="preserve"> NOTEREF _Ref427225220 \h </w:instrText>
      </w:r>
      <w:r>
        <w:fldChar w:fldCharType="separate"/>
      </w:r>
      <w:r w:rsidR="00BD643E">
        <w:t>30</w:t>
      </w:r>
      <w:r>
        <w:fldChar w:fldCharType="end"/>
      </w:r>
      <w:r>
        <w:t>.</w:t>
      </w:r>
    </w:p>
  </w:footnote>
  <w:footnote w:id="29">
    <w:p w14:paraId="4F301591" w14:textId="77777777" w:rsidR="009329CB" w:rsidRDefault="009329CB" w:rsidP="00ED43C3">
      <w:pPr>
        <w:pStyle w:val="FootnoteText"/>
      </w:pPr>
      <w:r>
        <w:rPr>
          <w:rStyle w:val="FootnoteReference"/>
        </w:rPr>
        <w:footnoteRef/>
      </w:r>
      <w:r>
        <w:t xml:space="preserve"> A Digital Single Market Strategy for Europe – Analysis and Evidence, European Commission, SWD(2015) 100 final, 6 May 2015, pp. 21-25.</w:t>
      </w:r>
    </w:p>
  </w:footnote>
  <w:footnote w:id="30">
    <w:p w14:paraId="02B82CE7" w14:textId="77777777" w:rsidR="009329CB" w:rsidRDefault="009329CB">
      <w:pPr>
        <w:pStyle w:val="FootnoteText"/>
      </w:pPr>
      <w:r>
        <w:rPr>
          <w:rStyle w:val="FootnoteReference"/>
        </w:rPr>
        <w:footnoteRef/>
      </w:r>
      <w:r>
        <w:t xml:space="preserve"> Commission Decision of 6 May 2015 initiating an inquiry into the e-commerce sector pursuant to Article 17 of Council Regulation (EC) No 1/2003.</w:t>
      </w:r>
    </w:p>
  </w:footnote>
  <w:footnote w:id="31">
    <w:p w14:paraId="6E9F497F" w14:textId="77777777" w:rsidR="009329CB" w:rsidRPr="004A2DB8" w:rsidRDefault="009329CB">
      <w:pPr>
        <w:pStyle w:val="FootnoteText"/>
      </w:pPr>
      <w:r>
        <w:rPr>
          <w:rStyle w:val="FootnoteReference"/>
        </w:rPr>
        <w:footnoteRef/>
      </w:r>
      <w:r>
        <w:t xml:space="preserve"> </w:t>
      </w:r>
      <w:r>
        <w:rPr>
          <w:i/>
        </w:rPr>
        <w:t xml:space="preserve">Supra </w:t>
      </w:r>
      <w:r>
        <w:t xml:space="preserve">note </w:t>
      </w:r>
      <w:r>
        <w:fldChar w:fldCharType="begin"/>
      </w:r>
      <w:r>
        <w:instrText xml:space="preserve"> NOTEREF _Ref427226427 \h </w:instrText>
      </w:r>
      <w:r>
        <w:fldChar w:fldCharType="separate"/>
      </w:r>
      <w:r w:rsidR="00BD643E">
        <w:t>33</w:t>
      </w:r>
      <w:r>
        <w:fldChar w:fldCharType="end"/>
      </w:r>
      <w:r>
        <w:t>, p. 3.</w:t>
      </w:r>
    </w:p>
  </w:footnote>
  <w:footnote w:id="32">
    <w:p w14:paraId="6FD37417" w14:textId="77777777" w:rsidR="005C493B" w:rsidRPr="005C493B" w:rsidRDefault="009329CB">
      <w:pPr>
        <w:pStyle w:val="FootnoteText"/>
      </w:pPr>
      <w:r>
        <w:rPr>
          <w:rStyle w:val="FootnoteReference"/>
        </w:rPr>
        <w:footnoteRef/>
      </w:r>
      <w:r>
        <w:t xml:space="preserve"> Draft Trade in Services Agreement (TiSA), Annex on Electronic Commerce, 16 September 2013.</w:t>
      </w:r>
      <w:r w:rsidR="005C493B">
        <w:t xml:space="preserve"> </w:t>
      </w:r>
      <w:r w:rsidR="005C493B">
        <w:rPr>
          <w:i/>
        </w:rPr>
        <w:t>See also</w:t>
      </w:r>
      <w:r w:rsidR="005C493B">
        <w:t xml:space="preserve"> Marketa Trimble, </w:t>
      </w:r>
      <w:r w:rsidR="005C493B" w:rsidRPr="00BD643E">
        <w:t>Local Hosting and the Draft “Trade in Services Agreement”</w:t>
      </w:r>
      <w:r w:rsidR="005C493B">
        <w:t xml:space="preserve">, Technology &amp; Marketing Law Blog, 22 September 2015, </w:t>
      </w:r>
      <w:r w:rsidR="005C493B" w:rsidRPr="000729E6">
        <w:t>http://blog.ericgoldman.org/archives/2015/09/local-hosting-and-the-draft-trade-in-services-agreement-guest-blog-post.htm</w:t>
      </w:r>
      <w:r w:rsidR="005C493B">
        <w:t>.</w:t>
      </w:r>
    </w:p>
  </w:footnote>
  <w:footnote w:id="33">
    <w:p w14:paraId="1E1976F1" w14:textId="77777777" w:rsidR="009329CB" w:rsidRDefault="009329CB">
      <w:pPr>
        <w:pStyle w:val="FootnoteText"/>
      </w:pPr>
      <w:r>
        <w:rPr>
          <w:rStyle w:val="FootnoteReference"/>
        </w:rPr>
        <w:footnoteRef/>
      </w:r>
      <w:r>
        <w:t xml:space="preserve"> For example </w:t>
      </w:r>
      <w:r w:rsidRPr="00D3023A">
        <w:rPr>
          <w:rFonts w:cs="Times New Roman"/>
        </w:rPr>
        <w:t>General Agreement on Trade in Services, Article XIV(a); North American Free Trade Agreement, Chapter 21; Treaty on the Functioning of the European Union, Article 36</w:t>
      </w:r>
      <w:r>
        <w:rPr>
          <w:rFonts w:cs="Times New Roman"/>
        </w:rPr>
        <w:t>.</w:t>
      </w:r>
    </w:p>
  </w:footnote>
  <w:footnote w:id="34">
    <w:p w14:paraId="51F4B445" w14:textId="77777777" w:rsidR="009329CB" w:rsidRDefault="009329CB">
      <w:pPr>
        <w:pStyle w:val="FootnoteText"/>
      </w:pPr>
      <w:r>
        <w:rPr>
          <w:rStyle w:val="FootnoteReference"/>
        </w:rPr>
        <w:footnoteRef/>
      </w:r>
      <w:r>
        <w:t xml:space="preserve"> </w:t>
      </w:r>
      <w:r w:rsidRPr="00C636C7">
        <w:rPr>
          <w:rFonts w:cs="Times New Roman"/>
        </w:rPr>
        <w:t>Directive 2014/26/EU of the European Parliament and of the Council of 26 February 2014 on collective management of copyright and related rights and multi-territorial licensing of rights in musical works for online use in the internal market</w:t>
      </w:r>
      <w:r>
        <w:rPr>
          <w:rFonts w:cs="Times New Roman"/>
        </w:rPr>
        <w:t>.</w:t>
      </w:r>
    </w:p>
  </w:footnote>
  <w:footnote w:id="35">
    <w:p w14:paraId="33B4A82A" w14:textId="77777777" w:rsidR="000B0CC5" w:rsidRPr="000B0CC5" w:rsidRDefault="000B0CC5">
      <w:pPr>
        <w:pStyle w:val="FootnoteText"/>
      </w:pPr>
      <w:r>
        <w:rPr>
          <w:rStyle w:val="FootnoteReference"/>
        </w:rPr>
        <w:footnoteRef/>
      </w:r>
      <w:r>
        <w:t xml:space="preserve"> Trimble, </w:t>
      </w:r>
      <w:r>
        <w:rPr>
          <w:i/>
        </w:rPr>
        <w:t xml:space="preserve">supra </w:t>
      </w:r>
      <w:r>
        <w:t xml:space="preserve">note </w:t>
      </w:r>
      <w:r>
        <w:fldChar w:fldCharType="begin"/>
      </w:r>
      <w:r>
        <w:instrText xml:space="preserve"> NOTEREF _Ref427221223 \h </w:instrText>
      </w:r>
      <w:r>
        <w:fldChar w:fldCharType="separate"/>
      </w:r>
      <w:r>
        <w:t>3</w:t>
      </w:r>
      <w:r>
        <w:fldChar w:fldCharType="end"/>
      </w:r>
      <w:r>
        <w:t xml:space="preserve">, p. </w:t>
      </w:r>
      <w:r w:rsidR="002C0122">
        <w:t>639.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FB6"/>
    <w:rsid w:val="00001101"/>
    <w:rsid w:val="000051FA"/>
    <w:rsid w:val="000076FF"/>
    <w:rsid w:val="00011FB1"/>
    <w:rsid w:val="0001506A"/>
    <w:rsid w:val="000202FD"/>
    <w:rsid w:val="000209E0"/>
    <w:rsid w:val="00021B90"/>
    <w:rsid w:val="00025075"/>
    <w:rsid w:val="000308FF"/>
    <w:rsid w:val="00031BC2"/>
    <w:rsid w:val="000339F3"/>
    <w:rsid w:val="00041148"/>
    <w:rsid w:val="00041214"/>
    <w:rsid w:val="00043DDF"/>
    <w:rsid w:val="0004609F"/>
    <w:rsid w:val="00052C8B"/>
    <w:rsid w:val="0005607D"/>
    <w:rsid w:val="0005702A"/>
    <w:rsid w:val="0006600C"/>
    <w:rsid w:val="00067C7B"/>
    <w:rsid w:val="00067DB8"/>
    <w:rsid w:val="000729E6"/>
    <w:rsid w:val="00073AEC"/>
    <w:rsid w:val="00073F5F"/>
    <w:rsid w:val="000751FF"/>
    <w:rsid w:val="00075EC9"/>
    <w:rsid w:val="0007675C"/>
    <w:rsid w:val="000818AF"/>
    <w:rsid w:val="00087753"/>
    <w:rsid w:val="00087A2E"/>
    <w:rsid w:val="000933D6"/>
    <w:rsid w:val="00093A6F"/>
    <w:rsid w:val="000942A7"/>
    <w:rsid w:val="0009624C"/>
    <w:rsid w:val="00096E66"/>
    <w:rsid w:val="000A11A7"/>
    <w:rsid w:val="000A1840"/>
    <w:rsid w:val="000A2706"/>
    <w:rsid w:val="000A6421"/>
    <w:rsid w:val="000B059A"/>
    <w:rsid w:val="000B0CC5"/>
    <w:rsid w:val="000B2BCC"/>
    <w:rsid w:val="000B6019"/>
    <w:rsid w:val="000C6A7B"/>
    <w:rsid w:val="000C7C1F"/>
    <w:rsid w:val="000D034F"/>
    <w:rsid w:val="000D0DDE"/>
    <w:rsid w:val="000D191D"/>
    <w:rsid w:val="000D37AA"/>
    <w:rsid w:val="000D450F"/>
    <w:rsid w:val="000D54F6"/>
    <w:rsid w:val="000D5613"/>
    <w:rsid w:val="000D58DC"/>
    <w:rsid w:val="000D7E11"/>
    <w:rsid w:val="000E08E4"/>
    <w:rsid w:val="000E27F2"/>
    <w:rsid w:val="000E2BAB"/>
    <w:rsid w:val="000E5D45"/>
    <w:rsid w:val="000F0739"/>
    <w:rsid w:val="000F243A"/>
    <w:rsid w:val="000F54DD"/>
    <w:rsid w:val="00101292"/>
    <w:rsid w:val="0010135D"/>
    <w:rsid w:val="001042B5"/>
    <w:rsid w:val="001071B0"/>
    <w:rsid w:val="00107CCD"/>
    <w:rsid w:val="00112C46"/>
    <w:rsid w:val="00112F6F"/>
    <w:rsid w:val="001138D0"/>
    <w:rsid w:val="00113D7B"/>
    <w:rsid w:val="00115B77"/>
    <w:rsid w:val="00115E2F"/>
    <w:rsid w:val="00117AB7"/>
    <w:rsid w:val="001254CC"/>
    <w:rsid w:val="001274E5"/>
    <w:rsid w:val="001277B1"/>
    <w:rsid w:val="00127844"/>
    <w:rsid w:val="00127AB8"/>
    <w:rsid w:val="00132CB7"/>
    <w:rsid w:val="00134FF5"/>
    <w:rsid w:val="001360AB"/>
    <w:rsid w:val="00142B6F"/>
    <w:rsid w:val="00142BCE"/>
    <w:rsid w:val="00142DBD"/>
    <w:rsid w:val="001438E9"/>
    <w:rsid w:val="00144301"/>
    <w:rsid w:val="00144DAA"/>
    <w:rsid w:val="00146115"/>
    <w:rsid w:val="001521A0"/>
    <w:rsid w:val="001569E0"/>
    <w:rsid w:val="00157BA9"/>
    <w:rsid w:val="001607E4"/>
    <w:rsid w:val="00160915"/>
    <w:rsid w:val="00161343"/>
    <w:rsid w:val="00163FDA"/>
    <w:rsid w:val="00165E3E"/>
    <w:rsid w:val="001673A4"/>
    <w:rsid w:val="001736C4"/>
    <w:rsid w:val="0017422B"/>
    <w:rsid w:val="001752F3"/>
    <w:rsid w:val="001808C5"/>
    <w:rsid w:val="0018353F"/>
    <w:rsid w:val="001848B4"/>
    <w:rsid w:val="00187BBD"/>
    <w:rsid w:val="00192156"/>
    <w:rsid w:val="00192806"/>
    <w:rsid w:val="001936E6"/>
    <w:rsid w:val="00194547"/>
    <w:rsid w:val="001946F5"/>
    <w:rsid w:val="00196316"/>
    <w:rsid w:val="0019686C"/>
    <w:rsid w:val="001A285D"/>
    <w:rsid w:val="001A43C3"/>
    <w:rsid w:val="001B5005"/>
    <w:rsid w:val="001B6430"/>
    <w:rsid w:val="001B78C3"/>
    <w:rsid w:val="001C2307"/>
    <w:rsid w:val="001C25DD"/>
    <w:rsid w:val="001C3474"/>
    <w:rsid w:val="001C6BA9"/>
    <w:rsid w:val="001C6D2D"/>
    <w:rsid w:val="001D244A"/>
    <w:rsid w:val="001D31BE"/>
    <w:rsid w:val="001D37B2"/>
    <w:rsid w:val="001D4AA0"/>
    <w:rsid w:val="001D7D38"/>
    <w:rsid w:val="001E0FB3"/>
    <w:rsid w:val="001E1389"/>
    <w:rsid w:val="001E28CF"/>
    <w:rsid w:val="001E35B6"/>
    <w:rsid w:val="001E689B"/>
    <w:rsid w:val="001F3BAF"/>
    <w:rsid w:val="001F5A35"/>
    <w:rsid w:val="002030E5"/>
    <w:rsid w:val="002131AE"/>
    <w:rsid w:val="002159A7"/>
    <w:rsid w:val="002213E5"/>
    <w:rsid w:val="00222C4D"/>
    <w:rsid w:val="00224FE7"/>
    <w:rsid w:val="00225AC4"/>
    <w:rsid w:val="00227ED2"/>
    <w:rsid w:val="00230C1A"/>
    <w:rsid w:val="00230E20"/>
    <w:rsid w:val="00231390"/>
    <w:rsid w:val="00231634"/>
    <w:rsid w:val="00232507"/>
    <w:rsid w:val="00233C7F"/>
    <w:rsid w:val="00234C93"/>
    <w:rsid w:val="002407E7"/>
    <w:rsid w:val="002408E4"/>
    <w:rsid w:val="002429D3"/>
    <w:rsid w:val="00243B40"/>
    <w:rsid w:val="002467FB"/>
    <w:rsid w:val="00246B6C"/>
    <w:rsid w:val="00247092"/>
    <w:rsid w:val="00250F8C"/>
    <w:rsid w:val="00251270"/>
    <w:rsid w:val="00251819"/>
    <w:rsid w:val="00257DEF"/>
    <w:rsid w:val="00260545"/>
    <w:rsid w:val="00261EA0"/>
    <w:rsid w:val="002621D0"/>
    <w:rsid w:val="00264CCE"/>
    <w:rsid w:val="00265FBE"/>
    <w:rsid w:val="00274E49"/>
    <w:rsid w:val="002774D8"/>
    <w:rsid w:val="0028037C"/>
    <w:rsid w:val="002815DF"/>
    <w:rsid w:val="002819D9"/>
    <w:rsid w:val="00284A88"/>
    <w:rsid w:val="00286AB7"/>
    <w:rsid w:val="00287E00"/>
    <w:rsid w:val="002901F9"/>
    <w:rsid w:val="00290D56"/>
    <w:rsid w:val="0029131A"/>
    <w:rsid w:val="00292E69"/>
    <w:rsid w:val="002949B1"/>
    <w:rsid w:val="00296E9E"/>
    <w:rsid w:val="002A0356"/>
    <w:rsid w:val="002A3A00"/>
    <w:rsid w:val="002A534E"/>
    <w:rsid w:val="002B0D64"/>
    <w:rsid w:val="002B2C77"/>
    <w:rsid w:val="002B638E"/>
    <w:rsid w:val="002B7A4E"/>
    <w:rsid w:val="002C0122"/>
    <w:rsid w:val="002C1FD8"/>
    <w:rsid w:val="002C6AC0"/>
    <w:rsid w:val="002C7A8F"/>
    <w:rsid w:val="002D004E"/>
    <w:rsid w:val="002D4018"/>
    <w:rsid w:val="002D5F26"/>
    <w:rsid w:val="002D7C83"/>
    <w:rsid w:val="002E430E"/>
    <w:rsid w:val="002E552F"/>
    <w:rsid w:val="002E5BA3"/>
    <w:rsid w:val="002E5CB5"/>
    <w:rsid w:val="002E7EA7"/>
    <w:rsid w:val="002F2C8D"/>
    <w:rsid w:val="002F6F50"/>
    <w:rsid w:val="00300896"/>
    <w:rsid w:val="00302138"/>
    <w:rsid w:val="0030737B"/>
    <w:rsid w:val="003118A7"/>
    <w:rsid w:val="00312312"/>
    <w:rsid w:val="003153A8"/>
    <w:rsid w:val="0031730B"/>
    <w:rsid w:val="00317417"/>
    <w:rsid w:val="0032081A"/>
    <w:rsid w:val="00320E17"/>
    <w:rsid w:val="00321C9F"/>
    <w:rsid w:val="00322389"/>
    <w:rsid w:val="00322525"/>
    <w:rsid w:val="00322ED8"/>
    <w:rsid w:val="003235F5"/>
    <w:rsid w:val="003259E3"/>
    <w:rsid w:val="00335338"/>
    <w:rsid w:val="00336E6E"/>
    <w:rsid w:val="003400DF"/>
    <w:rsid w:val="00340327"/>
    <w:rsid w:val="00342245"/>
    <w:rsid w:val="003459CF"/>
    <w:rsid w:val="003459F4"/>
    <w:rsid w:val="00346C0E"/>
    <w:rsid w:val="003505CC"/>
    <w:rsid w:val="00353C72"/>
    <w:rsid w:val="0035765D"/>
    <w:rsid w:val="00357C4A"/>
    <w:rsid w:val="00362CC1"/>
    <w:rsid w:val="003639FA"/>
    <w:rsid w:val="0036546F"/>
    <w:rsid w:val="00365610"/>
    <w:rsid w:val="00365ECF"/>
    <w:rsid w:val="003705C6"/>
    <w:rsid w:val="0037556C"/>
    <w:rsid w:val="00383122"/>
    <w:rsid w:val="0038664B"/>
    <w:rsid w:val="00390759"/>
    <w:rsid w:val="00393C22"/>
    <w:rsid w:val="00394772"/>
    <w:rsid w:val="00396286"/>
    <w:rsid w:val="003A09A1"/>
    <w:rsid w:val="003A343A"/>
    <w:rsid w:val="003A3A70"/>
    <w:rsid w:val="003A5AB0"/>
    <w:rsid w:val="003B04B9"/>
    <w:rsid w:val="003B0A48"/>
    <w:rsid w:val="003B570E"/>
    <w:rsid w:val="003C11DB"/>
    <w:rsid w:val="003C266F"/>
    <w:rsid w:val="003D21D9"/>
    <w:rsid w:val="003D3324"/>
    <w:rsid w:val="003D36FB"/>
    <w:rsid w:val="003D64DA"/>
    <w:rsid w:val="003D67DE"/>
    <w:rsid w:val="003E032F"/>
    <w:rsid w:val="003E0992"/>
    <w:rsid w:val="003E20B7"/>
    <w:rsid w:val="003E2308"/>
    <w:rsid w:val="003E2A8D"/>
    <w:rsid w:val="003F05BB"/>
    <w:rsid w:val="003F08B4"/>
    <w:rsid w:val="003F0F76"/>
    <w:rsid w:val="003F4452"/>
    <w:rsid w:val="003F5766"/>
    <w:rsid w:val="003F6AAE"/>
    <w:rsid w:val="0041031A"/>
    <w:rsid w:val="004139EA"/>
    <w:rsid w:val="00415702"/>
    <w:rsid w:val="00416069"/>
    <w:rsid w:val="00417A1F"/>
    <w:rsid w:val="004233DA"/>
    <w:rsid w:val="0042594B"/>
    <w:rsid w:val="004312A7"/>
    <w:rsid w:val="00431E27"/>
    <w:rsid w:val="00434CCC"/>
    <w:rsid w:val="00434DBE"/>
    <w:rsid w:val="00435084"/>
    <w:rsid w:val="00436BC3"/>
    <w:rsid w:val="00437A25"/>
    <w:rsid w:val="00443D62"/>
    <w:rsid w:val="0044674D"/>
    <w:rsid w:val="004527A0"/>
    <w:rsid w:val="0045326A"/>
    <w:rsid w:val="00453D34"/>
    <w:rsid w:val="00453D38"/>
    <w:rsid w:val="00454718"/>
    <w:rsid w:val="00454CED"/>
    <w:rsid w:val="00455C43"/>
    <w:rsid w:val="0046150C"/>
    <w:rsid w:val="00462F33"/>
    <w:rsid w:val="00463007"/>
    <w:rsid w:val="00464E23"/>
    <w:rsid w:val="004668B2"/>
    <w:rsid w:val="00473801"/>
    <w:rsid w:val="00474220"/>
    <w:rsid w:val="004742BE"/>
    <w:rsid w:val="00475EA2"/>
    <w:rsid w:val="00476EA0"/>
    <w:rsid w:val="00477B1D"/>
    <w:rsid w:val="00482B91"/>
    <w:rsid w:val="00483C75"/>
    <w:rsid w:val="00485AD0"/>
    <w:rsid w:val="00491463"/>
    <w:rsid w:val="0049148C"/>
    <w:rsid w:val="00493954"/>
    <w:rsid w:val="00496577"/>
    <w:rsid w:val="004A1C67"/>
    <w:rsid w:val="004A2DB8"/>
    <w:rsid w:val="004A319C"/>
    <w:rsid w:val="004A3E8D"/>
    <w:rsid w:val="004A3EE2"/>
    <w:rsid w:val="004A7D23"/>
    <w:rsid w:val="004A7FA4"/>
    <w:rsid w:val="004B1B41"/>
    <w:rsid w:val="004B39C3"/>
    <w:rsid w:val="004B5832"/>
    <w:rsid w:val="004B5AD0"/>
    <w:rsid w:val="004C4704"/>
    <w:rsid w:val="004D0876"/>
    <w:rsid w:val="004D301A"/>
    <w:rsid w:val="004D4ACE"/>
    <w:rsid w:val="004D5FD2"/>
    <w:rsid w:val="004D7E16"/>
    <w:rsid w:val="004E13A8"/>
    <w:rsid w:val="004E1574"/>
    <w:rsid w:val="004E3961"/>
    <w:rsid w:val="004E5065"/>
    <w:rsid w:val="004F1857"/>
    <w:rsid w:val="004F28C5"/>
    <w:rsid w:val="004F5401"/>
    <w:rsid w:val="004F71BA"/>
    <w:rsid w:val="004F7601"/>
    <w:rsid w:val="005005E6"/>
    <w:rsid w:val="00502DD4"/>
    <w:rsid w:val="0051148A"/>
    <w:rsid w:val="00513DE9"/>
    <w:rsid w:val="0051404D"/>
    <w:rsid w:val="00514D8D"/>
    <w:rsid w:val="00522A3E"/>
    <w:rsid w:val="00523694"/>
    <w:rsid w:val="00524BFE"/>
    <w:rsid w:val="00525597"/>
    <w:rsid w:val="00525D06"/>
    <w:rsid w:val="00526A23"/>
    <w:rsid w:val="005277A5"/>
    <w:rsid w:val="00527FC0"/>
    <w:rsid w:val="00533106"/>
    <w:rsid w:val="0053518D"/>
    <w:rsid w:val="00537942"/>
    <w:rsid w:val="00540CAF"/>
    <w:rsid w:val="00544ABC"/>
    <w:rsid w:val="005475B6"/>
    <w:rsid w:val="00551B79"/>
    <w:rsid w:val="00551CDA"/>
    <w:rsid w:val="00553359"/>
    <w:rsid w:val="00553562"/>
    <w:rsid w:val="00553631"/>
    <w:rsid w:val="005576FC"/>
    <w:rsid w:val="005603C2"/>
    <w:rsid w:val="00560EAB"/>
    <w:rsid w:val="00565F0D"/>
    <w:rsid w:val="00566464"/>
    <w:rsid w:val="00566B81"/>
    <w:rsid w:val="005670B9"/>
    <w:rsid w:val="005705D2"/>
    <w:rsid w:val="00572135"/>
    <w:rsid w:val="00575BF0"/>
    <w:rsid w:val="005762F1"/>
    <w:rsid w:val="00577272"/>
    <w:rsid w:val="00577EB4"/>
    <w:rsid w:val="0058096C"/>
    <w:rsid w:val="00580CE3"/>
    <w:rsid w:val="00581C0D"/>
    <w:rsid w:val="0058231C"/>
    <w:rsid w:val="005835C8"/>
    <w:rsid w:val="005846AB"/>
    <w:rsid w:val="0059515C"/>
    <w:rsid w:val="00595FDF"/>
    <w:rsid w:val="005A0FAA"/>
    <w:rsid w:val="005A3706"/>
    <w:rsid w:val="005A4D96"/>
    <w:rsid w:val="005A7329"/>
    <w:rsid w:val="005A780E"/>
    <w:rsid w:val="005A7E83"/>
    <w:rsid w:val="005B4C0D"/>
    <w:rsid w:val="005B6521"/>
    <w:rsid w:val="005B7D72"/>
    <w:rsid w:val="005C0FAC"/>
    <w:rsid w:val="005C493B"/>
    <w:rsid w:val="005C6BCE"/>
    <w:rsid w:val="005D0532"/>
    <w:rsid w:val="005D36DE"/>
    <w:rsid w:val="005D5691"/>
    <w:rsid w:val="005E0A20"/>
    <w:rsid w:val="005E19CF"/>
    <w:rsid w:val="005E1B6C"/>
    <w:rsid w:val="005E53A0"/>
    <w:rsid w:val="005E6374"/>
    <w:rsid w:val="005F0E99"/>
    <w:rsid w:val="005F1854"/>
    <w:rsid w:val="005F19CD"/>
    <w:rsid w:val="005F41BA"/>
    <w:rsid w:val="005F5866"/>
    <w:rsid w:val="005F5AF2"/>
    <w:rsid w:val="005F63B0"/>
    <w:rsid w:val="0060461A"/>
    <w:rsid w:val="00606357"/>
    <w:rsid w:val="00606675"/>
    <w:rsid w:val="00610182"/>
    <w:rsid w:val="0061070B"/>
    <w:rsid w:val="0061078B"/>
    <w:rsid w:val="00612893"/>
    <w:rsid w:val="00613582"/>
    <w:rsid w:val="00621453"/>
    <w:rsid w:val="00624183"/>
    <w:rsid w:val="00625799"/>
    <w:rsid w:val="00631546"/>
    <w:rsid w:val="00632E76"/>
    <w:rsid w:val="00634544"/>
    <w:rsid w:val="0063626D"/>
    <w:rsid w:val="006364C1"/>
    <w:rsid w:val="006444F1"/>
    <w:rsid w:val="00646DEA"/>
    <w:rsid w:val="0064745B"/>
    <w:rsid w:val="00650FB6"/>
    <w:rsid w:val="0065380E"/>
    <w:rsid w:val="00654360"/>
    <w:rsid w:val="00657179"/>
    <w:rsid w:val="00657C92"/>
    <w:rsid w:val="006613BA"/>
    <w:rsid w:val="00662456"/>
    <w:rsid w:val="006629AF"/>
    <w:rsid w:val="00665DBD"/>
    <w:rsid w:val="00666FA4"/>
    <w:rsid w:val="00671EA1"/>
    <w:rsid w:val="00672819"/>
    <w:rsid w:val="00674414"/>
    <w:rsid w:val="006810F7"/>
    <w:rsid w:val="00683BC1"/>
    <w:rsid w:val="00686604"/>
    <w:rsid w:val="00692C60"/>
    <w:rsid w:val="006932A0"/>
    <w:rsid w:val="006965FC"/>
    <w:rsid w:val="00697A11"/>
    <w:rsid w:val="006A0CB2"/>
    <w:rsid w:val="006A401B"/>
    <w:rsid w:val="006A44F8"/>
    <w:rsid w:val="006A4C89"/>
    <w:rsid w:val="006A4F92"/>
    <w:rsid w:val="006B395F"/>
    <w:rsid w:val="006B7278"/>
    <w:rsid w:val="006C2C34"/>
    <w:rsid w:val="006C48C2"/>
    <w:rsid w:val="006C5B84"/>
    <w:rsid w:val="006C5B9E"/>
    <w:rsid w:val="006C7A8F"/>
    <w:rsid w:val="006D0E52"/>
    <w:rsid w:val="006D474C"/>
    <w:rsid w:val="006E26F0"/>
    <w:rsid w:val="006E4F49"/>
    <w:rsid w:val="006F096F"/>
    <w:rsid w:val="006F0FEC"/>
    <w:rsid w:val="006F2E46"/>
    <w:rsid w:val="006F3586"/>
    <w:rsid w:val="006F540A"/>
    <w:rsid w:val="006F7945"/>
    <w:rsid w:val="00702B0C"/>
    <w:rsid w:val="00703D73"/>
    <w:rsid w:val="007057E5"/>
    <w:rsid w:val="007069A9"/>
    <w:rsid w:val="007114AE"/>
    <w:rsid w:val="007116DB"/>
    <w:rsid w:val="00712BFE"/>
    <w:rsid w:val="00717561"/>
    <w:rsid w:val="007179F7"/>
    <w:rsid w:val="00721148"/>
    <w:rsid w:val="0072172E"/>
    <w:rsid w:val="007263C4"/>
    <w:rsid w:val="00731458"/>
    <w:rsid w:val="00734DFB"/>
    <w:rsid w:val="00734F97"/>
    <w:rsid w:val="00735910"/>
    <w:rsid w:val="00740889"/>
    <w:rsid w:val="00740C57"/>
    <w:rsid w:val="00742BF9"/>
    <w:rsid w:val="0074313C"/>
    <w:rsid w:val="007500B2"/>
    <w:rsid w:val="00753881"/>
    <w:rsid w:val="00753ABA"/>
    <w:rsid w:val="00753DE8"/>
    <w:rsid w:val="00757666"/>
    <w:rsid w:val="00761600"/>
    <w:rsid w:val="00764273"/>
    <w:rsid w:val="0076580C"/>
    <w:rsid w:val="00765AFC"/>
    <w:rsid w:val="00771307"/>
    <w:rsid w:val="007732AC"/>
    <w:rsid w:val="0077347C"/>
    <w:rsid w:val="00774026"/>
    <w:rsid w:val="00776903"/>
    <w:rsid w:val="00782826"/>
    <w:rsid w:val="007871E3"/>
    <w:rsid w:val="00795027"/>
    <w:rsid w:val="00796EBF"/>
    <w:rsid w:val="00797431"/>
    <w:rsid w:val="007A018D"/>
    <w:rsid w:val="007A01BE"/>
    <w:rsid w:val="007A3323"/>
    <w:rsid w:val="007A3E2E"/>
    <w:rsid w:val="007A758D"/>
    <w:rsid w:val="007B10F8"/>
    <w:rsid w:val="007B179A"/>
    <w:rsid w:val="007C1693"/>
    <w:rsid w:val="007C31EE"/>
    <w:rsid w:val="007C34B7"/>
    <w:rsid w:val="007C4C6C"/>
    <w:rsid w:val="007C7A1A"/>
    <w:rsid w:val="007D2C8B"/>
    <w:rsid w:val="007D2FB4"/>
    <w:rsid w:val="007D31A5"/>
    <w:rsid w:val="007D4B77"/>
    <w:rsid w:val="007E39D8"/>
    <w:rsid w:val="007E5AC6"/>
    <w:rsid w:val="007E5C38"/>
    <w:rsid w:val="007E65BD"/>
    <w:rsid w:val="007F2946"/>
    <w:rsid w:val="007F31F4"/>
    <w:rsid w:val="007F3363"/>
    <w:rsid w:val="007F6265"/>
    <w:rsid w:val="007F7495"/>
    <w:rsid w:val="00800DFB"/>
    <w:rsid w:val="00802287"/>
    <w:rsid w:val="00803C1E"/>
    <w:rsid w:val="008041B3"/>
    <w:rsid w:val="00804298"/>
    <w:rsid w:val="0080670A"/>
    <w:rsid w:val="008069B5"/>
    <w:rsid w:val="008077EF"/>
    <w:rsid w:val="00810052"/>
    <w:rsid w:val="00810B74"/>
    <w:rsid w:val="00811CD6"/>
    <w:rsid w:val="008233CE"/>
    <w:rsid w:val="0082427D"/>
    <w:rsid w:val="00825AC1"/>
    <w:rsid w:val="00825F2E"/>
    <w:rsid w:val="00826E2A"/>
    <w:rsid w:val="00831D78"/>
    <w:rsid w:val="00831E3B"/>
    <w:rsid w:val="0083359F"/>
    <w:rsid w:val="00834AC7"/>
    <w:rsid w:val="0084051F"/>
    <w:rsid w:val="00840A1F"/>
    <w:rsid w:val="00843238"/>
    <w:rsid w:val="00843A6C"/>
    <w:rsid w:val="008447B1"/>
    <w:rsid w:val="0084509E"/>
    <w:rsid w:val="008456FA"/>
    <w:rsid w:val="00846376"/>
    <w:rsid w:val="00860E9E"/>
    <w:rsid w:val="0086111C"/>
    <w:rsid w:val="00861C6C"/>
    <w:rsid w:val="008650F1"/>
    <w:rsid w:val="00866C24"/>
    <w:rsid w:val="00871B4E"/>
    <w:rsid w:val="00872A16"/>
    <w:rsid w:val="0087597D"/>
    <w:rsid w:val="00880F7E"/>
    <w:rsid w:val="00883ED3"/>
    <w:rsid w:val="00884538"/>
    <w:rsid w:val="008851F6"/>
    <w:rsid w:val="00891331"/>
    <w:rsid w:val="00896076"/>
    <w:rsid w:val="00896E8D"/>
    <w:rsid w:val="008A2099"/>
    <w:rsid w:val="008A3327"/>
    <w:rsid w:val="008B1763"/>
    <w:rsid w:val="008B317C"/>
    <w:rsid w:val="008B3E68"/>
    <w:rsid w:val="008B565C"/>
    <w:rsid w:val="008B7E12"/>
    <w:rsid w:val="008C0DA4"/>
    <w:rsid w:val="008C22EE"/>
    <w:rsid w:val="008C2BD0"/>
    <w:rsid w:val="008C4506"/>
    <w:rsid w:val="008D0146"/>
    <w:rsid w:val="008D2EB8"/>
    <w:rsid w:val="008D4B0B"/>
    <w:rsid w:val="008D5B74"/>
    <w:rsid w:val="008D5DA0"/>
    <w:rsid w:val="008D70C9"/>
    <w:rsid w:val="008D7D5D"/>
    <w:rsid w:val="008E00B5"/>
    <w:rsid w:val="008E3A04"/>
    <w:rsid w:val="008E443F"/>
    <w:rsid w:val="008F6B89"/>
    <w:rsid w:val="008F73A2"/>
    <w:rsid w:val="00900788"/>
    <w:rsid w:val="009011E6"/>
    <w:rsid w:val="00902A0C"/>
    <w:rsid w:val="00902F91"/>
    <w:rsid w:val="009047A7"/>
    <w:rsid w:val="00906717"/>
    <w:rsid w:val="00907F3B"/>
    <w:rsid w:val="009110C4"/>
    <w:rsid w:val="00913FC7"/>
    <w:rsid w:val="00914BCE"/>
    <w:rsid w:val="00915E1C"/>
    <w:rsid w:val="00920B29"/>
    <w:rsid w:val="009216B7"/>
    <w:rsid w:val="00921DC8"/>
    <w:rsid w:val="00921F40"/>
    <w:rsid w:val="00921FB8"/>
    <w:rsid w:val="00923B7C"/>
    <w:rsid w:val="009257FD"/>
    <w:rsid w:val="00925BCB"/>
    <w:rsid w:val="00925DF4"/>
    <w:rsid w:val="009267FA"/>
    <w:rsid w:val="009308ED"/>
    <w:rsid w:val="009329CB"/>
    <w:rsid w:val="00932E62"/>
    <w:rsid w:val="00941302"/>
    <w:rsid w:val="00942397"/>
    <w:rsid w:val="009424E9"/>
    <w:rsid w:val="00942750"/>
    <w:rsid w:val="00943446"/>
    <w:rsid w:val="00944633"/>
    <w:rsid w:val="0094475B"/>
    <w:rsid w:val="00946C94"/>
    <w:rsid w:val="00953441"/>
    <w:rsid w:val="00953E93"/>
    <w:rsid w:val="009559BF"/>
    <w:rsid w:val="00955A1A"/>
    <w:rsid w:val="00964B28"/>
    <w:rsid w:val="00966A3E"/>
    <w:rsid w:val="00967105"/>
    <w:rsid w:val="009720F1"/>
    <w:rsid w:val="0097496D"/>
    <w:rsid w:val="00977B0C"/>
    <w:rsid w:val="00980B4D"/>
    <w:rsid w:val="0098198A"/>
    <w:rsid w:val="00984B4D"/>
    <w:rsid w:val="0098507E"/>
    <w:rsid w:val="00986C29"/>
    <w:rsid w:val="009872C5"/>
    <w:rsid w:val="00990758"/>
    <w:rsid w:val="00991C3A"/>
    <w:rsid w:val="00991C94"/>
    <w:rsid w:val="00992895"/>
    <w:rsid w:val="00993F1E"/>
    <w:rsid w:val="00996B54"/>
    <w:rsid w:val="00996FF9"/>
    <w:rsid w:val="009A09A8"/>
    <w:rsid w:val="009A0D60"/>
    <w:rsid w:val="009A1809"/>
    <w:rsid w:val="009A33A9"/>
    <w:rsid w:val="009A3C05"/>
    <w:rsid w:val="009A6CDD"/>
    <w:rsid w:val="009A75AF"/>
    <w:rsid w:val="009B611C"/>
    <w:rsid w:val="009D0D3B"/>
    <w:rsid w:val="009D51C6"/>
    <w:rsid w:val="009D7DE5"/>
    <w:rsid w:val="009E0C9E"/>
    <w:rsid w:val="009E249C"/>
    <w:rsid w:val="009E54CB"/>
    <w:rsid w:val="009F0888"/>
    <w:rsid w:val="009F0A8F"/>
    <w:rsid w:val="009F2A56"/>
    <w:rsid w:val="009F3DF9"/>
    <w:rsid w:val="009F480E"/>
    <w:rsid w:val="009F61BD"/>
    <w:rsid w:val="00A03253"/>
    <w:rsid w:val="00A034A4"/>
    <w:rsid w:val="00A050C5"/>
    <w:rsid w:val="00A1048B"/>
    <w:rsid w:val="00A110BB"/>
    <w:rsid w:val="00A13665"/>
    <w:rsid w:val="00A160FA"/>
    <w:rsid w:val="00A16349"/>
    <w:rsid w:val="00A16D22"/>
    <w:rsid w:val="00A216E4"/>
    <w:rsid w:val="00A2547B"/>
    <w:rsid w:val="00A261E0"/>
    <w:rsid w:val="00A264E2"/>
    <w:rsid w:val="00A33B33"/>
    <w:rsid w:val="00A37DE2"/>
    <w:rsid w:val="00A4428C"/>
    <w:rsid w:val="00A445C0"/>
    <w:rsid w:val="00A44B16"/>
    <w:rsid w:val="00A463D9"/>
    <w:rsid w:val="00A56B10"/>
    <w:rsid w:val="00A6111F"/>
    <w:rsid w:val="00A61400"/>
    <w:rsid w:val="00A62554"/>
    <w:rsid w:val="00A64720"/>
    <w:rsid w:val="00A668AA"/>
    <w:rsid w:val="00A66EB7"/>
    <w:rsid w:val="00A67B7A"/>
    <w:rsid w:val="00A700D5"/>
    <w:rsid w:val="00A70A86"/>
    <w:rsid w:val="00A7159A"/>
    <w:rsid w:val="00A7171A"/>
    <w:rsid w:val="00A71785"/>
    <w:rsid w:val="00A72E35"/>
    <w:rsid w:val="00A77C8D"/>
    <w:rsid w:val="00A829FF"/>
    <w:rsid w:val="00A843FD"/>
    <w:rsid w:val="00A85067"/>
    <w:rsid w:val="00A8701F"/>
    <w:rsid w:val="00A915B9"/>
    <w:rsid w:val="00A951FF"/>
    <w:rsid w:val="00A968C1"/>
    <w:rsid w:val="00AA1264"/>
    <w:rsid w:val="00AA37E9"/>
    <w:rsid w:val="00AA3CCF"/>
    <w:rsid w:val="00AA44F9"/>
    <w:rsid w:val="00AA7D62"/>
    <w:rsid w:val="00AB0185"/>
    <w:rsid w:val="00AB236A"/>
    <w:rsid w:val="00AB42B2"/>
    <w:rsid w:val="00AB5147"/>
    <w:rsid w:val="00AC3636"/>
    <w:rsid w:val="00AC47C9"/>
    <w:rsid w:val="00AC4BB4"/>
    <w:rsid w:val="00AC53E0"/>
    <w:rsid w:val="00AC722A"/>
    <w:rsid w:val="00AC7B7F"/>
    <w:rsid w:val="00AD41C3"/>
    <w:rsid w:val="00AD546F"/>
    <w:rsid w:val="00AE1F75"/>
    <w:rsid w:val="00AE25AA"/>
    <w:rsid w:val="00AE28D5"/>
    <w:rsid w:val="00AE30E7"/>
    <w:rsid w:val="00AE36FB"/>
    <w:rsid w:val="00AE4A50"/>
    <w:rsid w:val="00AE571C"/>
    <w:rsid w:val="00AE66A3"/>
    <w:rsid w:val="00AF1A2F"/>
    <w:rsid w:val="00AF2B81"/>
    <w:rsid w:val="00AF42F8"/>
    <w:rsid w:val="00AF53CE"/>
    <w:rsid w:val="00AF54E9"/>
    <w:rsid w:val="00AF66F8"/>
    <w:rsid w:val="00AF7657"/>
    <w:rsid w:val="00B01CCE"/>
    <w:rsid w:val="00B024C8"/>
    <w:rsid w:val="00B029F7"/>
    <w:rsid w:val="00B0308F"/>
    <w:rsid w:val="00B04D64"/>
    <w:rsid w:val="00B051C6"/>
    <w:rsid w:val="00B0587A"/>
    <w:rsid w:val="00B05A29"/>
    <w:rsid w:val="00B06480"/>
    <w:rsid w:val="00B06F1E"/>
    <w:rsid w:val="00B07280"/>
    <w:rsid w:val="00B1051F"/>
    <w:rsid w:val="00B11ECC"/>
    <w:rsid w:val="00B14D24"/>
    <w:rsid w:val="00B1534B"/>
    <w:rsid w:val="00B223A8"/>
    <w:rsid w:val="00B239AB"/>
    <w:rsid w:val="00B2444A"/>
    <w:rsid w:val="00B273EB"/>
    <w:rsid w:val="00B277FA"/>
    <w:rsid w:val="00B30819"/>
    <w:rsid w:val="00B30B96"/>
    <w:rsid w:val="00B30FF6"/>
    <w:rsid w:val="00B31C10"/>
    <w:rsid w:val="00B34370"/>
    <w:rsid w:val="00B34815"/>
    <w:rsid w:val="00B35AA6"/>
    <w:rsid w:val="00B42C97"/>
    <w:rsid w:val="00B42FE4"/>
    <w:rsid w:val="00B46267"/>
    <w:rsid w:val="00B47DA3"/>
    <w:rsid w:val="00B5062F"/>
    <w:rsid w:val="00B50E64"/>
    <w:rsid w:val="00B6116D"/>
    <w:rsid w:val="00B61CFD"/>
    <w:rsid w:val="00B6250C"/>
    <w:rsid w:val="00B65A83"/>
    <w:rsid w:val="00B65DB9"/>
    <w:rsid w:val="00B70BF9"/>
    <w:rsid w:val="00B71780"/>
    <w:rsid w:val="00B737AA"/>
    <w:rsid w:val="00B759B5"/>
    <w:rsid w:val="00B76C50"/>
    <w:rsid w:val="00B832D7"/>
    <w:rsid w:val="00B848E1"/>
    <w:rsid w:val="00B848E3"/>
    <w:rsid w:val="00B95B80"/>
    <w:rsid w:val="00B960E5"/>
    <w:rsid w:val="00B96249"/>
    <w:rsid w:val="00B96D62"/>
    <w:rsid w:val="00BA06C0"/>
    <w:rsid w:val="00BA17EE"/>
    <w:rsid w:val="00BA3C9C"/>
    <w:rsid w:val="00BA4D12"/>
    <w:rsid w:val="00BA56C6"/>
    <w:rsid w:val="00BC12C8"/>
    <w:rsid w:val="00BC2759"/>
    <w:rsid w:val="00BC3696"/>
    <w:rsid w:val="00BC3C75"/>
    <w:rsid w:val="00BC7990"/>
    <w:rsid w:val="00BD0A97"/>
    <w:rsid w:val="00BD20BD"/>
    <w:rsid w:val="00BD3085"/>
    <w:rsid w:val="00BD3460"/>
    <w:rsid w:val="00BD4939"/>
    <w:rsid w:val="00BD5093"/>
    <w:rsid w:val="00BD643E"/>
    <w:rsid w:val="00BE33C8"/>
    <w:rsid w:val="00BE341D"/>
    <w:rsid w:val="00BE357F"/>
    <w:rsid w:val="00BE47E3"/>
    <w:rsid w:val="00BE7967"/>
    <w:rsid w:val="00BF19D1"/>
    <w:rsid w:val="00BF53B8"/>
    <w:rsid w:val="00BF5C0E"/>
    <w:rsid w:val="00BF6247"/>
    <w:rsid w:val="00C00077"/>
    <w:rsid w:val="00C003C2"/>
    <w:rsid w:val="00C00C76"/>
    <w:rsid w:val="00C00D6B"/>
    <w:rsid w:val="00C039FB"/>
    <w:rsid w:val="00C04AA1"/>
    <w:rsid w:val="00C06A02"/>
    <w:rsid w:val="00C12293"/>
    <w:rsid w:val="00C127F4"/>
    <w:rsid w:val="00C12A8A"/>
    <w:rsid w:val="00C12CF7"/>
    <w:rsid w:val="00C16965"/>
    <w:rsid w:val="00C171F1"/>
    <w:rsid w:val="00C203AC"/>
    <w:rsid w:val="00C23620"/>
    <w:rsid w:val="00C240CB"/>
    <w:rsid w:val="00C26429"/>
    <w:rsid w:val="00C32B87"/>
    <w:rsid w:val="00C330B2"/>
    <w:rsid w:val="00C34CE8"/>
    <w:rsid w:val="00C35A20"/>
    <w:rsid w:val="00C36260"/>
    <w:rsid w:val="00C36386"/>
    <w:rsid w:val="00C45B25"/>
    <w:rsid w:val="00C4621E"/>
    <w:rsid w:val="00C52432"/>
    <w:rsid w:val="00C52DCF"/>
    <w:rsid w:val="00C53717"/>
    <w:rsid w:val="00C53A0A"/>
    <w:rsid w:val="00C53CC3"/>
    <w:rsid w:val="00C5448E"/>
    <w:rsid w:val="00C56865"/>
    <w:rsid w:val="00C57324"/>
    <w:rsid w:val="00C57FCD"/>
    <w:rsid w:val="00C62482"/>
    <w:rsid w:val="00C62C26"/>
    <w:rsid w:val="00C64FDE"/>
    <w:rsid w:val="00C678A2"/>
    <w:rsid w:val="00C71508"/>
    <w:rsid w:val="00C71B09"/>
    <w:rsid w:val="00C724FC"/>
    <w:rsid w:val="00C747CA"/>
    <w:rsid w:val="00C759EB"/>
    <w:rsid w:val="00C76477"/>
    <w:rsid w:val="00C80479"/>
    <w:rsid w:val="00C80C3C"/>
    <w:rsid w:val="00C81593"/>
    <w:rsid w:val="00C819AB"/>
    <w:rsid w:val="00C84068"/>
    <w:rsid w:val="00C84614"/>
    <w:rsid w:val="00C8535A"/>
    <w:rsid w:val="00C87568"/>
    <w:rsid w:val="00C9340A"/>
    <w:rsid w:val="00C939F8"/>
    <w:rsid w:val="00C9569C"/>
    <w:rsid w:val="00C9595C"/>
    <w:rsid w:val="00CB0BBE"/>
    <w:rsid w:val="00CB67A2"/>
    <w:rsid w:val="00CC4F4B"/>
    <w:rsid w:val="00CC64E5"/>
    <w:rsid w:val="00CD0593"/>
    <w:rsid w:val="00CD2B6B"/>
    <w:rsid w:val="00CD4714"/>
    <w:rsid w:val="00CD4E98"/>
    <w:rsid w:val="00CD5460"/>
    <w:rsid w:val="00CE2FAA"/>
    <w:rsid w:val="00CE48C1"/>
    <w:rsid w:val="00CE48DC"/>
    <w:rsid w:val="00CF18B6"/>
    <w:rsid w:val="00CF270F"/>
    <w:rsid w:val="00CF4872"/>
    <w:rsid w:val="00CF4A2A"/>
    <w:rsid w:val="00CF64EA"/>
    <w:rsid w:val="00D0123B"/>
    <w:rsid w:val="00D026BC"/>
    <w:rsid w:val="00D03CE4"/>
    <w:rsid w:val="00D053C8"/>
    <w:rsid w:val="00D05808"/>
    <w:rsid w:val="00D06948"/>
    <w:rsid w:val="00D0778D"/>
    <w:rsid w:val="00D118A7"/>
    <w:rsid w:val="00D12635"/>
    <w:rsid w:val="00D14880"/>
    <w:rsid w:val="00D15E51"/>
    <w:rsid w:val="00D22532"/>
    <w:rsid w:val="00D27044"/>
    <w:rsid w:val="00D30343"/>
    <w:rsid w:val="00D30B3A"/>
    <w:rsid w:val="00D3361E"/>
    <w:rsid w:val="00D351B2"/>
    <w:rsid w:val="00D36EF3"/>
    <w:rsid w:val="00D41640"/>
    <w:rsid w:val="00D455B4"/>
    <w:rsid w:val="00D45FCA"/>
    <w:rsid w:val="00D50AB0"/>
    <w:rsid w:val="00D51D18"/>
    <w:rsid w:val="00D5375F"/>
    <w:rsid w:val="00D552D5"/>
    <w:rsid w:val="00D57120"/>
    <w:rsid w:val="00D57576"/>
    <w:rsid w:val="00D611D2"/>
    <w:rsid w:val="00D61895"/>
    <w:rsid w:val="00D6288F"/>
    <w:rsid w:val="00D64F03"/>
    <w:rsid w:val="00D66D0B"/>
    <w:rsid w:val="00D6753B"/>
    <w:rsid w:val="00D73ABE"/>
    <w:rsid w:val="00D7425F"/>
    <w:rsid w:val="00D7701A"/>
    <w:rsid w:val="00D776D1"/>
    <w:rsid w:val="00D8153C"/>
    <w:rsid w:val="00D82B6B"/>
    <w:rsid w:val="00D84083"/>
    <w:rsid w:val="00D85201"/>
    <w:rsid w:val="00D90BC9"/>
    <w:rsid w:val="00D9195C"/>
    <w:rsid w:val="00D95A8E"/>
    <w:rsid w:val="00DA65E9"/>
    <w:rsid w:val="00DA6D8A"/>
    <w:rsid w:val="00DA7767"/>
    <w:rsid w:val="00DB0154"/>
    <w:rsid w:val="00DB0CF6"/>
    <w:rsid w:val="00DB1022"/>
    <w:rsid w:val="00DB11CE"/>
    <w:rsid w:val="00DC1B83"/>
    <w:rsid w:val="00DC303A"/>
    <w:rsid w:val="00DC3F93"/>
    <w:rsid w:val="00DC6155"/>
    <w:rsid w:val="00DC760A"/>
    <w:rsid w:val="00DD4B34"/>
    <w:rsid w:val="00DD721D"/>
    <w:rsid w:val="00DD7724"/>
    <w:rsid w:val="00DE6654"/>
    <w:rsid w:val="00DF1445"/>
    <w:rsid w:val="00DF156D"/>
    <w:rsid w:val="00DF2836"/>
    <w:rsid w:val="00DF4332"/>
    <w:rsid w:val="00DF49D1"/>
    <w:rsid w:val="00DF5ED6"/>
    <w:rsid w:val="00DF621A"/>
    <w:rsid w:val="00DF636F"/>
    <w:rsid w:val="00DF722D"/>
    <w:rsid w:val="00E00F89"/>
    <w:rsid w:val="00E01423"/>
    <w:rsid w:val="00E05C81"/>
    <w:rsid w:val="00E06E91"/>
    <w:rsid w:val="00E179A3"/>
    <w:rsid w:val="00E200C9"/>
    <w:rsid w:val="00E230FC"/>
    <w:rsid w:val="00E23556"/>
    <w:rsid w:val="00E26DCC"/>
    <w:rsid w:val="00E27324"/>
    <w:rsid w:val="00E33260"/>
    <w:rsid w:val="00E351DF"/>
    <w:rsid w:val="00E36F4D"/>
    <w:rsid w:val="00E4319A"/>
    <w:rsid w:val="00E43277"/>
    <w:rsid w:val="00E5056A"/>
    <w:rsid w:val="00E522BA"/>
    <w:rsid w:val="00E52CB2"/>
    <w:rsid w:val="00E533B5"/>
    <w:rsid w:val="00E5354C"/>
    <w:rsid w:val="00E5363F"/>
    <w:rsid w:val="00E54994"/>
    <w:rsid w:val="00E56600"/>
    <w:rsid w:val="00E60190"/>
    <w:rsid w:val="00E62062"/>
    <w:rsid w:val="00E66AC1"/>
    <w:rsid w:val="00E67D0C"/>
    <w:rsid w:val="00E70671"/>
    <w:rsid w:val="00E70E76"/>
    <w:rsid w:val="00E71D41"/>
    <w:rsid w:val="00E72ACF"/>
    <w:rsid w:val="00E749E6"/>
    <w:rsid w:val="00E76619"/>
    <w:rsid w:val="00E7742F"/>
    <w:rsid w:val="00E85A55"/>
    <w:rsid w:val="00E9183E"/>
    <w:rsid w:val="00E9294E"/>
    <w:rsid w:val="00E93F15"/>
    <w:rsid w:val="00E95986"/>
    <w:rsid w:val="00E973FA"/>
    <w:rsid w:val="00E9798F"/>
    <w:rsid w:val="00EA1EEF"/>
    <w:rsid w:val="00EA3616"/>
    <w:rsid w:val="00EA37F5"/>
    <w:rsid w:val="00EA5865"/>
    <w:rsid w:val="00EB39CB"/>
    <w:rsid w:val="00EB53BB"/>
    <w:rsid w:val="00EB6453"/>
    <w:rsid w:val="00EC1585"/>
    <w:rsid w:val="00EC1900"/>
    <w:rsid w:val="00EC334F"/>
    <w:rsid w:val="00EC5842"/>
    <w:rsid w:val="00ED173F"/>
    <w:rsid w:val="00ED1E06"/>
    <w:rsid w:val="00ED2B4B"/>
    <w:rsid w:val="00ED43C3"/>
    <w:rsid w:val="00EE1C37"/>
    <w:rsid w:val="00EE2273"/>
    <w:rsid w:val="00EE2BB3"/>
    <w:rsid w:val="00EE4EC7"/>
    <w:rsid w:val="00EE7E6B"/>
    <w:rsid w:val="00EF0C24"/>
    <w:rsid w:val="00EF1ECC"/>
    <w:rsid w:val="00EF38B3"/>
    <w:rsid w:val="00EF426E"/>
    <w:rsid w:val="00EF5BB2"/>
    <w:rsid w:val="00EF63D1"/>
    <w:rsid w:val="00F004D3"/>
    <w:rsid w:val="00F00AEA"/>
    <w:rsid w:val="00F012B1"/>
    <w:rsid w:val="00F014D7"/>
    <w:rsid w:val="00F01B99"/>
    <w:rsid w:val="00F1078D"/>
    <w:rsid w:val="00F11B97"/>
    <w:rsid w:val="00F120FA"/>
    <w:rsid w:val="00F1487A"/>
    <w:rsid w:val="00F21181"/>
    <w:rsid w:val="00F22780"/>
    <w:rsid w:val="00F2572F"/>
    <w:rsid w:val="00F26D75"/>
    <w:rsid w:val="00F32628"/>
    <w:rsid w:val="00F41A90"/>
    <w:rsid w:val="00F45A46"/>
    <w:rsid w:val="00F476BF"/>
    <w:rsid w:val="00F54AF0"/>
    <w:rsid w:val="00F563C7"/>
    <w:rsid w:val="00F60B7F"/>
    <w:rsid w:val="00F63E27"/>
    <w:rsid w:val="00F640AC"/>
    <w:rsid w:val="00F644B0"/>
    <w:rsid w:val="00F70361"/>
    <w:rsid w:val="00F726D4"/>
    <w:rsid w:val="00F72EA4"/>
    <w:rsid w:val="00F751BD"/>
    <w:rsid w:val="00F75B8A"/>
    <w:rsid w:val="00F76ECB"/>
    <w:rsid w:val="00F80483"/>
    <w:rsid w:val="00F805EA"/>
    <w:rsid w:val="00F82FEC"/>
    <w:rsid w:val="00F8368C"/>
    <w:rsid w:val="00F84EF3"/>
    <w:rsid w:val="00F87D46"/>
    <w:rsid w:val="00F92081"/>
    <w:rsid w:val="00F928BA"/>
    <w:rsid w:val="00F949C7"/>
    <w:rsid w:val="00F95D3B"/>
    <w:rsid w:val="00F961D9"/>
    <w:rsid w:val="00F96CF6"/>
    <w:rsid w:val="00FA2B3E"/>
    <w:rsid w:val="00FA34F3"/>
    <w:rsid w:val="00FA3EFA"/>
    <w:rsid w:val="00FA4DDA"/>
    <w:rsid w:val="00FA557F"/>
    <w:rsid w:val="00FB08C8"/>
    <w:rsid w:val="00FB09FD"/>
    <w:rsid w:val="00FB352E"/>
    <w:rsid w:val="00FC577F"/>
    <w:rsid w:val="00FD0294"/>
    <w:rsid w:val="00FD3CEB"/>
    <w:rsid w:val="00FD3F97"/>
    <w:rsid w:val="00FD4A5E"/>
    <w:rsid w:val="00FD5F98"/>
    <w:rsid w:val="00FE0A52"/>
    <w:rsid w:val="00FE3E12"/>
    <w:rsid w:val="00FE6D05"/>
    <w:rsid w:val="00FE7AFD"/>
    <w:rsid w:val="00FF0F31"/>
    <w:rsid w:val="00FF240E"/>
    <w:rsid w:val="00FF2C44"/>
    <w:rsid w:val="00FF4F18"/>
    <w:rsid w:val="00FF5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DDE83E"/>
  <w15:docId w15:val="{6032B613-78EA-4BD6-B615-2809EBA2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CF6"/>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EB39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16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qFormat/>
    <w:rsid w:val="00D8153C"/>
    <w:pPr>
      <w:spacing w:after="100" w:line="360" w:lineRule="auto"/>
    </w:pPr>
  </w:style>
  <w:style w:type="character" w:customStyle="1" w:styleId="TOC1Char">
    <w:name w:val="TOC 1 Char"/>
    <w:basedOn w:val="DefaultParagraphFont"/>
    <w:link w:val="TOC1"/>
    <w:uiPriority w:val="39"/>
    <w:rsid w:val="00D8153C"/>
    <w:rPr>
      <w:rFonts w:ascii="Times New Roman" w:hAnsi="Times New Roman"/>
      <w:sz w:val="24"/>
    </w:rPr>
  </w:style>
  <w:style w:type="paragraph" w:styleId="BalloonText">
    <w:name w:val="Balloon Text"/>
    <w:basedOn w:val="Normal"/>
    <w:link w:val="BalloonTextChar"/>
    <w:uiPriority w:val="99"/>
    <w:semiHidden/>
    <w:unhideWhenUsed/>
    <w:rsid w:val="00C80C3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C3C"/>
    <w:rPr>
      <w:rFonts w:ascii="Tahoma" w:hAnsi="Tahoma" w:cs="Tahoma"/>
      <w:sz w:val="16"/>
      <w:szCs w:val="16"/>
    </w:rPr>
  </w:style>
  <w:style w:type="character" w:styleId="CommentReference">
    <w:name w:val="annotation reference"/>
    <w:basedOn w:val="DefaultParagraphFont"/>
    <w:uiPriority w:val="99"/>
    <w:semiHidden/>
    <w:unhideWhenUsed/>
    <w:rsid w:val="00C80C3C"/>
    <w:rPr>
      <w:sz w:val="16"/>
      <w:szCs w:val="16"/>
    </w:rPr>
  </w:style>
  <w:style w:type="paragraph" w:styleId="CommentText">
    <w:name w:val="annotation text"/>
    <w:basedOn w:val="Normal"/>
    <w:link w:val="CommentTextChar"/>
    <w:uiPriority w:val="99"/>
    <w:semiHidden/>
    <w:unhideWhenUsed/>
    <w:rsid w:val="00C80C3C"/>
    <w:rPr>
      <w:sz w:val="20"/>
      <w:szCs w:val="20"/>
    </w:rPr>
  </w:style>
  <w:style w:type="character" w:customStyle="1" w:styleId="CommentTextChar">
    <w:name w:val="Comment Text Char"/>
    <w:basedOn w:val="DefaultParagraphFont"/>
    <w:link w:val="CommentText"/>
    <w:uiPriority w:val="99"/>
    <w:semiHidden/>
    <w:rsid w:val="00C80C3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80C3C"/>
    <w:rPr>
      <w:b/>
      <w:bCs/>
    </w:rPr>
  </w:style>
  <w:style w:type="character" w:customStyle="1" w:styleId="CommentSubjectChar">
    <w:name w:val="Comment Subject Char"/>
    <w:basedOn w:val="CommentTextChar"/>
    <w:link w:val="CommentSubject"/>
    <w:uiPriority w:val="99"/>
    <w:semiHidden/>
    <w:rsid w:val="00C80C3C"/>
    <w:rPr>
      <w:rFonts w:ascii="Times New Roman" w:hAnsi="Times New Roman"/>
      <w:b/>
      <w:bCs/>
      <w:sz w:val="20"/>
      <w:szCs w:val="20"/>
    </w:rPr>
  </w:style>
  <w:style w:type="paragraph" w:styleId="FootnoteText">
    <w:name w:val="footnote text"/>
    <w:basedOn w:val="Normal"/>
    <w:link w:val="FootnoteTextChar"/>
    <w:uiPriority w:val="99"/>
    <w:semiHidden/>
    <w:unhideWhenUsed/>
    <w:rsid w:val="00C52432"/>
    <w:pPr>
      <w:spacing w:after="0"/>
    </w:pPr>
    <w:rPr>
      <w:sz w:val="20"/>
      <w:szCs w:val="20"/>
    </w:rPr>
  </w:style>
  <w:style w:type="character" w:customStyle="1" w:styleId="FootnoteTextChar">
    <w:name w:val="Footnote Text Char"/>
    <w:basedOn w:val="DefaultParagraphFont"/>
    <w:link w:val="FootnoteText"/>
    <w:uiPriority w:val="99"/>
    <w:semiHidden/>
    <w:rsid w:val="00C52432"/>
    <w:rPr>
      <w:rFonts w:ascii="Times New Roman" w:hAnsi="Times New Roman"/>
      <w:sz w:val="20"/>
      <w:szCs w:val="20"/>
    </w:rPr>
  </w:style>
  <w:style w:type="character" w:styleId="FootnoteReference">
    <w:name w:val="footnote reference"/>
    <w:basedOn w:val="DefaultParagraphFont"/>
    <w:uiPriority w:val="99"/>
    <w:semiHidden/>
    <w:unhideWhenUsed/>
    <w:rsid w:val="00C52432"/>
    <w:rPr>
      <w:vertAlign w:val="superscript"/>
    </w:rPr>
  </w:style>
  <w:style w:type="paragraph" w:styleId="NoSpacing">
    <w:name w:val="No Spacing"/>
    <w:uiPriority w:val="1"/>
    <w:qFormat/>
    <w:rsid w:val="008B565C"/>
    <w:pPr>
      <w:spacing w:after="0" w:line="240" w:lineRule="auto"/>
    </w:pPr>
    <w:rPr>
      <w:rFonts w:ascii="Times New Roman" w:hAnsi="Times New Roman"/>
      <w:sz w:val="24"/>
    </w:rPr>
  </w:style>
  <w:style w:type="character" w:styleId="Hyperlink">
    <w:name w:val="Hyperlink"/>
    <w:basedOn w:val="DefaultParagraphFont"/>
    <w:uiPriority w:val="99"/>
    <w:unhideWhenUsed/>
    <w:rsid w:val="002B638E"/>
    <w:rPr>
      <w:color w:val="0000FF" w:themeColor="hyperlink"/>
      <w:u w:val="single"/>
    </w:rPr>
  </w:style>
  <w:style w:type="character" w:customStyle="1" w:styleId="Heading1Char">
    <w:name w:val="Heading 1 Char"/>
    <w:basedOn w:val="DefaultParagraphFont"/>
    <w:link w:val="Heading1"/>
    <w:uiPriority w:val="9"/>
    <w:rsid w:val="00EB39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1640"/>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98198A"/>
    <w:rPr>
      <w:i/>
      <w:iCs/>
    </w:rPr>
  </w:style>
  <w:style w:type="paragraph" w:styleId="Header">
    <w:name w:val="header"/>
    <w:basedOn w:val="Normal"/>
    <w:link w:val="HeaderChar"/>
    <w:uiPriority w:val="99"/>
    <w:unhideWhenUsed/>
    <w:rsid w:val="00BC3C75"/>
    <w:pPr>
      <w:tabs>
        <w:tab w:val="center" w:pos="4680"/>
        <w:tab w:val="right" w:pos="9360"/>
      </w:tabs>
      <w:spacing w:after="0"/>
    </w:pPr>
  </w:style>
  <w:style w:type="character" w:customStyle="1" w:styleId="HeaderChar">
    <w:name w:val="Header Char"/>
    <w:basedOn w:val="DefaultParagraphFont"/>
    <w:link w:val="Header"/>
    <w:uiPriority w:val="99"/>
    <w:rsid w:val="00BC3C75"/>
    <w:rPr>
      <w:rFonts w:ascii="Times New Roman" w:hAnsi="Times New Roman"/>
      <w:sz w:val="24"/>
    </w:rPr>
  </w:style>
  <w:style w:type="paragraph" w:styleId="Footer">
    <w:name w:val="footer"/>
    <w:basedOn w:val="Normal"/>
    <w:link w:val="FooterChar"/>
    <w:uiPriority w:val="99"/>
    <w:unhideWhenUsed/>
    <w:rsid w:val="00BC3C75"/>
    <w:pPr>
      <w:tabs>
        <w:tab w:val="center" w:pos="4680"/>
        <w:tab w:val="right" w:pos="9360"/>
      </w:tabs>
      <w:spacing w:after="0"/>
    </w:pPr>
  </w:style>
  <w:style w:type="character" w:customStyle="1" w:styleId="FooterChar">
    <w:name w:val="Footer Char"/>
    <w:basedOn w:val="DefaultParagraphFont"/>
    <w:link w:val="Footer"/>
    <w:uiPriority w:val="99"/>
    <w:rsid w:val="00BC3C75"/>
    <w:rPr>
      <w:rFonts w:ascii="Times New Roman" w:hAnsi="Times New Roman"/>
      <w:sz w:val="24"/>
    </w:rPr>
  </w:style>
  <w:style w:type="paragraph" w:styleId="Revision">
    <w:name w:val="Revision"/>
    <w:hidden/>
    <w:uiPriority w:val="99"/>
    <w:semiHidden/>
    <w:rsid w:val="00E9183E"/>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522432">
      <w:bodyDiv w:val="1"/>
      <w:marLeft w:val="0"/>
      <w:marRight w:val="0"/>
      <w:marTop w:val="0"/>
      <w:marBottom w:val="0"/>
      <w:divBdr>
        <w:top w:val="none" w:sz="0" w:space="0" w:color="auto"/>
        <w:left w:val="none" w:sz="0" w:space="0" w:color="auto"/>
        <w:bottom w:val="none" w:sz="0" w:space="0" w:color="auto"/>
        <w:right w:val="none" w:sz="0" w:space="0" w:color="auto"/>
      </w:divBdr>
    </w:div>
    <w:div w:id="207782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E69EA-73CA-4D8A-B437-DD977D456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3868</Words>
  <Characters>22049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25866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 Lobato</dc:creator>
  <cp:lastModifiedBy>James Meese</cp:lastModifiedBy>
  <cp:revision>9</cp:revision>
  <cp:lastPrinted>2015-09-29T03:02:00Z</cp:lastPrinted>
  <dcterms:created xsi:type="dcterms:W3CDTF">2015-10-28T07:31:00Z</dcterms:created>
  <dcterms:modified xsi:type="dcterms:W3CDTF">2015-10-29T09:51:00Z</dcterms:modified>
</cp:coreProperties>
</file>