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harts/chart8.xml" ContentType="application/vnd.openxmlformats-officedocument.drawingml.chart+xml"/>
  <Override PartName="/word/charts/chart7.xml" ContentType="application/vnd.openxmlformats-officedocument.drawingml.chart+xml"/>
  <Override PartName="/word/charts/chart6.xml" ContentType="application/vnd.openxmlformats-officedocument.drawingml.chart+xml"/>
  <Override PartName="/word/charts/chart5.xml" ContentType="application/vnd.openxmlformats-officedocument.drawingml.chart+xml"/>
  <Override PartName="/word/charts/_rels/chart5.xml.rels" ContentType="application/vnd.openxmlformats-package.relationships+xml"/>
  <Override PartName="/word/charts/_rels/chart6.xml.rels" ContentType="application/vnd.openxmlformats-package.relationships+xml"/>
  <Override PartName="/word/charts/_rels/chart4.xml.rels" ContentType="application/vnd.openxmlformats-package.relationships+xml"/>
  <Override PartName="/word/charts/_rels/chart3.xml.rels" ContentType="application/vnd.openxmlformats-package.relationships+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wmf" ContentType="image/x-wmf"/>
  <Override PartName="/word/media/image2.wmf" ContentType="image/x-wmf"/>
  <Override PartName="/word/media/image1.wmf" ContentType="image/x-wmf"/>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A</w:t>
      </w:r>
      <w:r>
        <w:rPr/>
        <w:t>ppendix</w:t>
      </w:r>
    </w:p>
    <w:p>
      <w:pPr>
        <w:pStyle w:val="Heading2"/>
        <w:jc w:val="left"/>
        <w:rPr/>
      </w:pPr>
      <w:bookmarkStart w:id="0" w:name="_Toc318452860"/>
      <w:bookmarkStart w:id="1" w:name="_Toc419811704"/>
      <w:bookmarkStart w:id="2" w:name="_Toc419811503"/>
      <w:r>
        <w:rPr/>
        <w:t xml:space="preserve">Appendix 1: </w:t>
      </w:r>
      <w:bookmarkEnd w:id="1"/>
      <w:bookmarkEnd w:id="2"/>
      <w:r>
        <w:rPr/>
        <w:t>Transition to the National Broadband Network (NBN) Interim Satellite Service</w:t>
      </w:r>
      <w:bookmarkEnd w:id="0"/>
      <w:r>
        <w:rPr/>
        <w:t xml:space="preserve"> (ISS)</w:t>
      </w:r>
    </w:p>
    <w:p>
      <w:pPr>
        <w:pStyle w:val="Normal"/>
        <w:spacing w:lineRule="auto" w:line="276"/>
        <w:jc w:val="left"/>
        <w:rPr/>
      </w:pPr>
      <w:r>
        <w:rPr/>
        <w:t>Take-up of ISS services for the majority of householders was consistent with their intentions in September 2013. In total, ten households (compared with seventeen households or community buildings originally connected in the project) ultimately retained the use of the internet. There has been considerable change in the total composition of households engaged in the project since the original implementation in mid-2011: a number of households were added and/or changed resident members, and most of the shared building computers were re-distributed to individual households along the way. The table below summarizes these changes.</w:t>
      </w:r>
    </w:p>
    <w:p>
      <w:pPr>
        <w:pStyle w:val="Caption1"/>
        <w:keepNext/>
        <w:spacing w:lineRule="auto" w:line="276"/>
        <w:jc w:val="left"/>
        <w:rPr/>
      </w:pPr>
      <w:bookmarkStart w:id="3" w:name="_Toc445560894"/>
      <w:r>
        <w:rPr/>
        <w:t xml:space="preserve">Table </w:t>
      </w:r>
      <w:r>
        <w:rPr/>
        <w:fldChar w:fldCharType="begin"/>
      </w:r>
      <w:r>
        <w:instrText> SEQ Table \* ARABIC </w:instrText>
      </w:r>
      <w:r>
        <w:fldChar w:fldCharType="separate"/>
      </w:r>
      <w:r>
        <w:t>1</w:t>
      </w:r>
      <w:r>
        <w:fldChar w:fldCharType="end"/>
      </w:r>
      <w:bookmarkEnd w:id="3"/>
      <w:r>
        <w:rPr/>
        <w:t>: Changes of status of buildings and houses</w:t>
      </w:r>
    </w:p>
    <w:tbl>
      <w:tblPr>
        <w:tblStyle w:val="TableGrid"/>
        <w:tblW w:w="9242" w:type="dxa"/>
        <w:jc w:val="left"/>
        <w:tblInd w:w="0" w:type="dxa"/>
        <w:tblCellMar>
          <w:top w:w="0" w:type="dxa"/>
          <w:left w:w="108" w:type="dxa"/>
          <w:bottom w:w="0" w:type="dxa"/>
          <w:right w:w="108" w:type="dxa"/>
        </w:tblCellMar>
        <w:tblLook w:val="04a0" w:noVBand="1" w:noHBand="0" w:lastColumn="0" w:firstColumn="1" w:lastRow="0" w:firstRow="1"/>
      </w:tblPr>
      <w:tblGrid>
        <w:gridCol w:w="1603"/>
        <w:gridCol w:w="1367"/>
        <w:gridCol w:w="1248"/>
        <w:gridCol w:w="143"/>
        <w:gridCol w:w="1133"/>
        <w:gridCol w:w="1"/>
        <w:gridCol w:w="1416"/>
        <w:gridCol w:w="1"/>
        <w:gridCol w:w="1133"/>
        <w:gridCol w:w="1"/>
        <w:gridCol w:w="1195"/>
      </w:tblGrid>
      <w:tr>
        <w:trPr>
          <w:tblHeader w:val="true"/>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b/>
                <w:szCs w:val="20"/>
                <w:lang w:val="en-AU" w:eastAsia="en-AU"/>
              </w:rPr>
              <w:t>Community</w:t>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b/>
                <w:szCs w:val="20"/>
                <w:lang w:val="en-AU" w:eastAsia="en-AU"/>
              </w:rPr>
              <w:t>Building</w:t>
            </w:r>
          </w:p>
        </w:tc>
        <w:tc>
          <w:tcPr>
            <w:tcW w:w="2525" w:type="dxa"/>
            <w:gridSpan w:val="4"/>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b/>
                <w:szCs w:val="20"/>
                <w:lang w:val="en-AU" w:eastAsia="en-AU"/>
              </w:rPr>
              <w:t>Original status mid-2011</w:t>
            </w:r>
          </w:p>
        </w:tc>
        <w:tc>
          <w:tcPr>
            <w:tcW w:w="3746" w:type="dxa"/>
            <w:gridSpan w:val="5"/>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b/>
                <w:szCs w:val="20"/>
                <w:lang w:val="en-AU" w:eastAsia="en-AU"/>
              </w:rPr>
              <w:t>Post transition status early 2014</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Internet connection?</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Internet connection?</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Original occupants/ users?</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b/>
                <w:szCs w:val="20"/>
                <w:lang w:val="en-AU" w:eastAsia="en-AU"/>
              </w:rPr>
              <w:t>Kwale Kwale</w:t>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Community shed</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2 shared computers</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 - both</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shared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1</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2</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b/>
                <w:b/>
                <w:szCs w:val="20"/>
                <w:lang w:val="en-AU" w:eastAsia="en-AU"/>
              </w:rPr>
            </w:pPr>
            <w:r>
              <w:rPr>
                <w:rFonts w:eastAsia="Times New Roman" w:cs="Times New Roman" w:ascii="Times New Roman" w:hAnsi="Times New Roman"/>
                <w:b/>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b/>
                <w:szCs w:val="20"/>
                <w:lang w:val="en-AU" w:eastAsia="en-AU"/>
              </w:rPr>
              <w:t>Mungalawurru</w:t>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Community shed</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2 shared computers</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 - both</w:t>
            </w:r>
          </w:p>
        </w:tc>
        <w:tc>
          <w:tcPr>
            <w:tcW w:w="2551" w:type="dxa"/>
            <w:gridSpan w:val="4"/>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Nil</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1</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nil</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 xml:space="preserve">Residence 2 </w:t>
            </w:r>
            <w:r>
              <w:rPr>
                <w:rFonts w:eastAsia="Times New Roman" w:cs="Times New Roman" w:ascii="Times New Roman" w:hAnsi="Times New Roman"/>
                <w:szCs w:val="20"/>
                <w:vertAlign w:val="superscript"/>
                <w:lang w:val="en-AU" w:eastAsia="en-AU"/>
              </w:rPr>
              <w:t>Note 1</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 xml:space="preserve">no </w:t>
            </w:r>
            <w:r>
              <w:rPr>
                <w:rFonts w:eastAsia="Times New Roman" w:cs="Times New Roman" w:ascii="Times New Roman" w:hAnsi="Times New Roman"/>
                <w:szCs w:val="20"/>
                <w:vertAlign w:val="superscript"/>
                <w:lang w:val="en-AU" w:eastAsia="en-AU"/>
              </w:rPr>
              <w:t>Note 1</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3</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4</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b/>
                <w:szCs w:val="20"/>
                <w:lang w:val="en-AU" w:eastAsia="en-AU"/>
              </w:rPr>
              <w:t>Imangara</w:t>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Women’s Centre</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2 shared computers</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 - both</w:t>
            </w:r>
          </w:p>
        </w:tc>
        <w:tc>
          <w:tcPr>
            <w:tcW w:w="2551" w:type="dxa"/>
            <w:gridSpan w:val="4"/>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Nil</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1</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2</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3</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4</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5</w:t>
            </w:r>
          </w:p>
        </w:tc>
        <w:tc>
          <w:tcPr>
            <w:tcW w:w="1248"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27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196"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6</w:t>
            </w:r>
          </w:p>
        </w:tc>
        <w:tc>
          <w:tcPr>
            <w:tcW w:w="2525" w:type="dxa"/>
            <w:gridSpan w:val="4"/>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Nil</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c>
          <w:tcPr>
            <w:tcW w:w="1195"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 xml:space="preserve">no </w:t>
            </w:r>
            <w:r>
              <w:rPr>
                <w:rFonts w:eastAsia="Times New Roman" w:cs="Times New Roman" w:ascii="Times New Roman" w:hAnsi="Times New Roman"/>
                <w:szCs w:val="20"/>
                <w:vertAlign w:val="superscript"/>
                <w:lang w:val="en-AU" w:eastAsia="en-AU"/>
              </w:rPr>
              <w:t>Note 2</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7</w:t>
            </w:r>
          </w:p>
        </w:tc>
        <w:tc>
          <w:tcPr>
            <w:tcW w:w="1391"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195"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 xml:space="preserve">yes </w:t>
            </w:r>
            <w:r>
              <w:rPr>
                <w:rFonts w:eastAsia="Times New Roman" w:cs="Times New Roman" w:ascii="Times New Roman" w:hAnsi="Times New Roman"/>
                <w:szCs w:val="20"/>
                <w:vertAlign w:val="superscript"/>
                <w:lang w:val="en-AU" w:eastAsia="en-AU"/>
              </w:rPr>
              <w:t>Note 2</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8</w:t>
            </w:r>
          </w:p>
        </w:tc>
        <w:tc>
          <w:tcPr>
            <w:tcW w:w="1391"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c>
          <w:tcPr>
            <w:tcW w:w="1195"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9</w:t>
            </w:r>
          </w:p>
        </w:tc>
        <w:tc>
          <w:tcPr>
            <w:tcW w:w="1391"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195"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 xml:space="preserve">no </w:t>
            </w:r>
            <w:r>
              <w:rPr>
                <w:rFonts w:eastAsia="Times New Roman" w:cs="Times New Roman" w:ascii="Times New Roman" w:hAnsi="Times New Roman"/>
                <w:szCs w:val="20"/>
                <w:vertAlign w:val="superscript"/>
                <w:lang w:val="en-AU" w:eastAsia="en-AU"/>
              </w:rPr>
              <w:t>Note 2</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10</w:t>
            </w:r>
          </w:p>
        </w:tc>
        <w:tc>
          <w:tcPr>
            <w:tcW w:w="2525" w:type="dxa"/>
            <w:gridSpan w:val="4"/>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Nil</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195"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 xml:space="preserve">yes </w:t>
            </w:r>
            <w:r>
              <w:rPr>
                <w:rFonts w:eastAsia="Times New Roman" w:cs="Times New Roman" w:ascii="Times New Roman" w:hAnsi="Times New Roman"/>
                <w:szCs w:val="20"/>
                <w:vertAlign w:val="superscript"/>
                <w:lang w:val="en-AU" w:eastAsia="en-AU"/>
              </w:rPr>
              <w:t>Note 2</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11</w:t>
            </w:r>
          </w:p>
        </w:tc>
        <w:tc>
          <w:tcPr>
            <w:tcW w:w="2525" w:type="dxa"/>
            <w:gridSpan w:val="4"/>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Nil</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 xml:space="preserve">1 computer </w:t>
            </w:r>
            <w:r>
              <w:rPr>
                <w:rFonts w:eastAsia="Times New Roman" w:cs="Times New Roman" w:ascii="Times New Roman" w:hAnsi="Times New Roman"/>
                <w:szCs w:val="20"/>
                <w:vertAlign w:val="superscript"/>
                <w:lang w:val="en-AU" w:eastAsia="en-AU"/>
              </w:rPr>
              <w:t>Note 3</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c>
          <w:tcPr>
            <w:tcW w:w="1195"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No</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12</w:t>
            </w:r>
          </w:p>
        </w:tc>
        <w:tc>
          <w:tcPr>
            <w:tcW w:w="2525" w:type="dxa"/>
            <w:gridSpan w:val="4"/>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Nil</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 xml:space="preserve">no </w:t>
            </w:r>
            <w:r>
              <w:rPr>
                <w:rFonts w:eastAsia="Times New Roman" w:cs="Times New Roman" w:ascii="Times New Roman" w:hAnsi="Times New Roman"/>
                <w:szCs w:val="20"/>
                <w:vertAlign w:val="superscript"/>
                <w:lang w:val="en-AU" w:eastAsia="en-AU"/>
              </w:rPr>
              <w:t>Note 4</w:t>
            </w:r>
          </w:p>
        </w:tc>
        <w:tc>
          <w:tcPr>
            <w:tcW w:w="1195"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Residence 13</w:t>
            </w:r>
          </w:p>
        </w:tc>
        <w:tc>
          <w:tcPr>
            <w:tcW w:w="1391"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 computer</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c>
          <w:tcPr>
            <w:tcW w:w="1195"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Yes</w:t>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b/>
                <w:b/>
                <w:szCs w:val="20"/>
                <w:lang w:val="en-AU" w:eastAsia="en-AU"/>
              </w:rPr>
            </w:pPr>
            <w:r>
              <w:rPr>
                <w:rFonts w:eastAsia="Times New Roman" w:cs="Times New Roman" w:ascii="Times New Roman" w:hAnsi="Times New Roman"/>
                <w:b/>
                <w:szCs w:val="20"/>
                <w:lang w:val="en-AU" w:eastAsia="en-AU"/>
              </w:rPr>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91"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195"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r>
      <w:tr>
        <w:trPr/>
        <w:tc>
          <w:tcPr>
            <w:tcW w:w="1603"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b/>
                <w:szCs w:val="20"/>
                <w:lang w:val="en-AU" w:eastAsia="en-AU"/>
              </w:rPr>
              <w:t>Total</w:t>
            </w:r>
          </w:p>
        </w:tc>
        <w:tc>
          <w:tcPr>
            <w:tcW w:w="1367"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r>
          </w:p>
        </w:tc>
        <w:tc>
          <w:tcPr>
            <w:tcW w:w="1391"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20 computers</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20 of 20</w:t>
            </w:r>
          </w:p>
        </w:tc>
        <w:tc>
          <w:tcPr>
            <w:tcW w:w="1417"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21 computers</w:t>
            </w:r>
          </w:p>
        </w:tc>
        <w:tc>
          <w:tcPr>
            <w:tcW w:w="1134" w:type="dxa"/>
            <w:gridSpan w:val="2"/>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10 of 21</w:t>
            </w:r>
          </w:p>
        </w:tc>
        <w:tc>
          <w:tcPr>
            <w:tcW w:w="1195" w:type="dxa"/>
            <w:tcBorders/>
            <w:shd w:fill="auto" w:val="clear"/>
            <w:tcMar>
              <w:left w:w="108" w:type="dxa"/>
            </w:tcMar>
          </w:tcPr>
          <w:p>
            <w:pPr>
              <w:pStyle w:val="Normal"/>
              <w:spacing w:lineRule="auto" w:line="276" w:before="0" w:after="200"/>
              <w:jc w:val="left"/>
              <w:rPr>
                <w:rFonts w:ascii="Times New Roman" w:hAnsi="Times New Roman" w:eastAsia="Times New Roman" w:cs="Times New Roman"/>
                <w:szCs w:val="20"/>
                <w:lang w:val="en-AU" w:eastAsia="en-AU"/>
              </w:rPr>
            </w:pPr>
            <w:r>
              <w:rPr>
                <w:rFonts w:eastAsia="Times New Roman" w:cs="Times New Roman" w:ascii="Times New Roman" w:hAnsi="Times New Roman"/>
                <w:szCs w:val="20"/>
                <w:lang w:val="en-AU" w:eastAsia="en-AU"/>
              </w:rPr>
              <w:t>10 of 22</w:t>
            </w:r>
          </w:p>
        </w:tc>
      </w:tr>
    </w:tbl>
    <w:p>
      <w:pPr>
        <w:pStyle w:val="Normal"/>
        <w:spacing w:lineRule="auto" w:line="276"/>
        <w:jc w:val="left"/>
        <w:rPr/>
      </w:pPr>
      <w:r>
        <w:rPr/>
      </w:r>
    </w:p>
    <w:p>
      <w:pPr>
        <w:pStyle w:val="Normal"/>
        <w:spacing w:lineRule="auto" w:line="276"/>
        <w:jc w:val="left"/>
        <w:rPr/>
      </w:pPr>
      <w:r>
        <w:rPr/>
        <w:t>Note 1: Computer is now located in Tennant Creek township. Resident obtains internet connection via a smartphone.</w:t>
      </w:r>
    </w:p>
    <w:p>
      <w:pPr>
        <w:pStyle w:val="Normal"/>
        <w:spacing w:lineRule="auto" w:line="276"/>
        <w:jc w:val="left"/>
        <w:rPr/>
      </w:pPr>
      <w:r>
        <w:rPr/>
        <w:t>Note 2: These houses were demolished and rebuilt during 2013.</w:t>
      </w:r>
    </w:p>
    <w:p>
      <w:pPr>
        <w:pStyle w:val="Normal"/>
        <w:spacing w:lineRule="auto" w:line="276"/>
        <w:jc w:val="left"/>
        <w:rPr/>
      </w:pPr>
      <w:r>
        <w:rPr/>
        <w:t>Note 3: Computer is not installed in this house at the time of writing.</w:t>
      </w:r>
    </w:p>
    <w:p>
      <w:pPr>
        <w:pStyle w:val="Normal"/>
        <w:spacing w:lineRule="auto" w:line="276"/>
        <w:jc w:val="left"/>
        <w:rPr/>
      </w:pPr>
      <w:r>
        <w:rPr/>
        <w:t>Note 4: This house had internet connection from January 2013 until end October 2013 i.e. prior to the transition</w:t>
      </w:r>
      <w:bookmarkStart w:id="4" w:name="_Toc419811705"/>
      <w:bookmarkStart w:id="5" w:name="_Toc419811504"/>
      <w:r>
        <w:rPr/>
        <w:t>.</w:t>
      </w:r>
    </w:p>
    <w:p>
      <w:pPr>
        <w:pStyle w:val="Heading2"/>
        <w:rPr/>
      </w:pPr>
      <w:bookmarkStart w:id="6" w:name="_Toc318452861"/>
      <w:r>
        <w:rPr/>
        <w:t>Appendix 2: Location and Movement of the Computers in the</w:t>
        <w:br/>
        <w:t>Communities</w:t>
      </w:r>
      <w:bookmarkEnd w:id="4"/>
      <w:bookmarkEnd w:id="5"/>
      <w:bookmarkEnd w:id="6"/>
      <w:r>
        <w:rPr/>
        <w:t xml:space="preserve"> </w:t>
      </w:r>
    </w:p>
    <w:p>
      <w:pPr>
        <w:pStyle w:val="Normal"/>
        <w:spacing w:lineRule="auto" w:line="276"/>
        <w:jc w:val="left"/>
        <w:rPr/>
      </w:pPr>
      <w:r>
        <w:rPr/>
        <w:t xml:space="preserve">Eleven computers were installed in Imangara from late July to early August 2011; two were located in the Women’s Centre for use by the general community and by the couple running the Centre, while the remainder were installed in individual houses. Later in the project, an additional three computers were installed in individual houses not originally included in the study (Figure 1). Although this community building is called the Women’s Centre, this space is not the exclusive domain of women. Some men regularly visited the Women’s Centre, and at least two men were frequent users of its computers during the project. </w:t>
      </w:r>
    </w:p>
    <w:p>
      <w:pPr>
        <w:pStyle w:val="Caption1"/>
        <w:keepNext/>
        <w:spacing w:lineRule="auto" w:line="276"/>
        <w:jc w:val="left"/>
        <w:rPr/>
      </w:pPr>
      <w:bookmarkStart w:id="7" w:name="_Toc445560895"/>
      <w:r>
        <w:rPr/>
        <w:t xml:space="preserve">Figure </w:t>
      </w:r>
      <w:r>
        <w:rPr/>
        <w:fldChar w:fldCharType="begin"/>
      </w:r>
      <w:r>
        <w:instrText> SEQ Figure \* ARABIC </w:instrText>
      </w:r>
      <w:r>
        <w:fldChar w:fldCharType="separate"/>
      </w:r>
      <w:r>
        <w:t>1</w:t>
      </w:r>
      <w:r>
        <w:fldChar w:fldCharType="end"/>
      </w:r>
      <w:bookmarkEnd w:id="7"/>
      <w:r>
        <w:rPr/>
        <w:t>: Location of households in Imangara that participated in the study in July 2011 with later additions up to the end of September 2013 noted</w:t>
      </w:r>
    </w:p>
    <w:p>
      <w:pPr>
        <w:pStyle w:val="Normal"/>
        <w:spacing w:lineRule="auto" w:line="276"/>
        <w:jc w:val="left"/>
        <w:rPr/>
      </w:pPr>
      <w:r>
        <w:rPr/>
        <w:drawing>
          <wp:inline distT="0" distB="0" distL="0" distR="3810">
            <wp:extent cx="3780790" cy="42500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0" r="0" b="20622"/>
                    <a:stretch>
                      <a:fillRect/>
                    </a:stretch>
                  </pic:blipFill>
                  <pic:spPr bwMode="auto">
                    <a:xfrm>
                      <a:off x="0" y="0"/>
                      <a:ext cx="3780790" cy="4250055"/>
                    </a:xfrm>
                    <a:prstGeom prst="rect">
                      <a:avLst/>
                    </a:prstGeom>
                  </pic:spPr>
                </pic:pic>
              </a:graphicData>
            </a:graphic>
          </wp:inline>
        </w:drawing>
      </w:r>
    </w:p>
    <w:p>
      <w:pPr>
        <w:pStyle w:val="Normal"/>
        <w:spacing w:lineRule="auto" w:line="276"/>
        <w:jc w:val="left"/>
        <w:rPr/>
      </w:pPr>
      <w:r>
        <w:rPr/>
        <w:t xml:space="preserve">In Mungalawurru, five computers were installed in June 2011, three in individual houses and two in what was referred to as the ‘CDEP shed’, which was considered to be a public space accessible by all community members (Figure 2). One of these was notionally allocated to a female resident, while the other was understood to be a computer for shared use by those community members who did not receive household computers. </w:t>
      </w:r>
    </w:p>
    <w:p>
      <w:pPr>
        <w:pStyle w:val="Normal"/>
        <w:spacing w:lineRule="auto" w:line="276"/>
        <w:jc w:val="left"/>
        <w:rPr/>
      </w:pPr>
      <w:r>
        <w:rPr/>
      </w:r>
    </w:p>
    <w:p>
      <w:pPr>
        <w:pStyle w:val="Normal"/>
        <w:spacing w:lineRule="auto" w:line="276"/>
        <w:jc w:val="left"/>
        <w:rPr/>
      </w:pPr>
      <w:r>
        <w:rPr/>
      </w:r>
    </w:p>
    <w:p>
      <w:pPr>
        <w:pStyle w:val="Normal"/>
        <w:spacing w:lineRule="auto" w:line="276"/>
        <w:jc w:val="left"/>
        <w:rPr/>
      </w:pPr>
      <w:r>
        <w:rPr/>
      </w:r>
    </w:p>
    <w:p>
      <w:pPr>
        <w:pStyle w:val="Caption1"/>
        <w:keepNext/>
        <w:spacing w:lineRule="auto" w:line="276"/>
        <w:jc w:val="left"/>
        <w:rPr/>
      </w:pPr>
      <w:bookmarkStart w:id="8" w:name="_Toc445560896"/>
      <w:r>
        <w:rPr/>
        <w:t xml:space="preserve">Figure </w:t>
      </w:r>
      <w:r>
        <w:rPr/>
        <w:fldChar w:fldCharType="begin"/>
      </w:r>
      <w:r>
        <w:instrText> SEQ Figure \* ARABIC </w:instrText>
      </w:r>
      <w:r>
        <w:fldChar w:fldCharType="separate"/>
      </w:r>
      <w:r>
        <w:t>2</w:t>
      </w:r>
      <w:r>
        <w:fldChar w:fldCharType="end"/>
      </w:r>
      <w:bookmarkEnd w:id="8"/>
      <w:r>
        <w:rPr/>
        <w:t>: Location of households in Mungalawurru participating in the study in July 2011</w:t>
      </w:r>
    </w:p>
    <w:p>
      <w:pPr>
        <w:pStyle w:val="Normal"/>
        <w:spacing w:lineRule="auto" w:line="276"/>
        <w:jc w:val="left"/>
        <w:rPr/>
      </w:pPr>
      <w:r>
        <w:rPr/>
        <w:drawing>
          <wp:inline distT="0" distB="0" distL="0" distR="0">
            <wp:extent cx="5448300" cy="38531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448300" cy="3853180"/>
                    </a:xfrm>
                    <a:prstGeom prst="rect">
                      <a:avLst/>
                    </a:prstGeom>
                  </pic:spPr>
                </pic:pic>
              </a:graphicData>
            </a:graphic>
          </wp:inline>
        </w:drawing>
      </w:r>
    </w:p>
    <w:p>
      <w:pPr>
        <w:pStyle w:val="Normal"/>
        <w:spacing w:lineRule="auto" w:line="276"/>
        <w:jc w:val="left"/>
        <w:rPr/>
      </w:pPr>
      <w:r>
        <w:rPr/>
        <w:t>Within the first twelve months of the project’s longitudinal phase, 45 per cent of participants at Imangara and 80 per cent of participants at Mungalawurru had signed formal ownership agreements. Additional formal take-up occurred between September 2012 and September 2013: one participant at Mugalawurru, and two residents at Imangara – one of whom was not initially involved in the HIP study – signed formal ownership agreements. By the end of September 2013, 69 per cent of computers at Imangara and 100 per cent of those at Mungalawurru were subject to formal ownership agreements.</w:t>
      </w:r>
    </w:p>
    <w:p>
      <w:pPr>
        <w:pStyle w:val="Normal"/>
        <w:spacing w:lineRule="auto" w:line="276"/>
        <w:jc w:val="left"/>
        <w:rPr/>
      </w:pPr>
      <w:r>
        <w:rPr/>
        <w:t xml:space="preserve">Despite equipment failure, loss or damage, an average of seventeen of the twenty computers installed by early August 2011 were operational during the nine months through to the end of April 2014. (Two computers failed but could be repaired, another was taken out of the community and returned with components missing, and the only laptop was irreparably damaged by a small child.) </w:t>
      </w:r>
      <w:r>
        <w:br w:type="page"/>
      </w:r>
    </w:p>
    <w:p>
      <w:pPr>
        <w:pStyle w:val="Caption1"/>
        <w:keepNext/>
        <w:spacing w:lineRule="auto" w:line="276"/>
        <w:jc w:val="left"/>
        <w:rPr/>
      </w:pPr>
      <w:bookmarkStart w:id="9" w:name="_Toc445560897"/>
      <w:r>
        <w:rPr/>
        <w:t xml:space="preserve">Table </w:t>
      </w:r>
      <w:r>
        <w:rPr/>
        <w:fldChar w:fldCharType="begin"/>
      </w:r>
      <w:r>
        <w:instrText> SEQ Table \* ARABIC </w:instrText>
      </w:r>
      <w:r>
        <w:fldChar w:fldCharType="separate"/>
      </w:r>
      <w:r>
        <w:t>2</w:t>
      </w:r>
      <w:r>
        <w:fldChar w:fldCharType="end"/>
      </w:r>
      <w:bookmarkEnd w:id="9"/>
      <w:r>
        <w:rPr/>
        <w:t>: Failures or losses of core equipment August 2011 to September 2013 inclusive</w:t>
      </w:r>
    </w:p>
    <w:tbl>
      <w:tblPr>
        <w:tblW w:w="8182" w:type="dxa"/>
        <w:jc w:val="left"/>
        <w:tblInd w:w="46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1134"/>
        <w:gridCol w:w="1387"/>
        <w:gridCol w:w="1414"/>
        <w:gridCol w:w="1416"/>
        <w:gridCol w:w="1414"/>
        <w:gridCol w:w="1416"/>
      </w:tblGrid>
      <w:tr>
        <w:trPr>
          <w:trHeight w:val="1813" w:hRule="exact"/>
        </w:trPr>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5" w:type="dxa"/>
            </w:tcMar>
          </w:tcPr>
          <w:p>
            <w:pPr>
              <w:pStyle w:val="Normal"/>
              <w:widowControl w:val="false"/>
              <w:overflowPunct w:val="true"/>
              <w:spacing w:lineRule="auto" w:line="276" w:before="0" w:after="0"/>
              <w:ind w:left="339" w:hanging="0"/>
              <w:jc w:val="left"/>
              <w:rPr/>
            </w:pPr>
            <w:r>
              <w:rPr>
                <w:rFonts w:cs="Times New Roman"/>
                <w:b/>
                <w:bCs/>
                <w:spacing w:val="-1"/>
                <w:sz w:val="20"/>
                <w:szCs w:val="20"/>
                <w:lang w:val="en-US"/>
              </w:rPr>
              <w:t>Item</w:t>
            </w:r>
          </w:p>
        </w:tc>
        <w:tc>
          <w:tcPr>
            <w:tcW w:w="1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5" w:type="dxa"/>
            </w:tcMar>
          </w:tcPr>
          <w:p>
            <w:pPr>
              <w:pStyle w:val="Normal"/>
              <w:widowControl w:val="false"/>
              <w:overflowPunct w:val="true"/>
              <w:spacing w:lineRule="auto" w:line="276" w:before="0" w:after="0"/>
              <w:ind w:left="102" w:right="255" w:hanging="0"/>
              <w:jc w:val="left"/>
              <w:rPr/>
            </w:pPr>
            <w:r>
              <w:rPr>
                <w:rFonts w:cs="Times New Roman"/>
                <w:b/>
                <w:bCs/>
                <w:spacing w:val="-1"/>
                <w:sz w:val="20"/>
                <w:szCs w:val="20"/>
                <w:lang w:val="en-US"/>
              </w:rPr>
              <w:t>Total</w:t>
            </w:r>
            <w:r>
              <w:rPr>
                <w:rFonts w:cs="Times New Roman"/>
                <w:b/>
                <w:bCs/>
                <w:spacing w:val="24"/>
                <w:sz w:val="20"/>
                <w:szCs w:val="20"/>
                <w:lang w:val="en-US"/>
              </w:rPr>
              <w:t xml:space="preserve"> </w:t>
            </w:r>
            <w:r>
              <w:rPr>
                <w:rFonts w:cs="Times New Roman"/>
                <w:b/>
                <w:bCs/>
                <w:spacing w:val="-1"/>
                <w:sz w:val="20"/>
                <w:szCs w:val="20"/>
                <w:lang w:val="en-US"/>
              </w:rPr>
              <w:t>installed</w:t>
            </w:r>
            <w:r>
              <w:rPr>
                <w:rFonts w:cs="Times New Roman"/>
                <w:b/>
                <w:bCs/>
                <w:spacing w:val="26"/>
                <w:sz w:val="20"/>
                <w:szCs w:val="20"/>
                <w:lang w:val="en-US"/>
              </w:rPr>
              <w:t xml:space="preserve"> </w:t>
            </w:r>
            <w:r>
              <w:rPr>
                <w:rFonts w:cs="Times New Roman"/>
                <w:b/>
                <w:bCs/>
                <w:spacing w:val="-1"/>
                <w:sz w:val="20"/>
                <w:szCs w:val="20"/>
                <w:lang w:val="en-US"/>
              </w:rPr>
              <w:t>population</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5" w:type="dxa"/>
            </w:tcMar>
          </w:tcPr>
          <w:p>
            <w:pPr>
              <w:pStyle w:val="Normal"/>
              <w:widowControl w:val="false"/>
              <w:overflowPunct w:val="true"/>
              <w:spacing w:lineRule="auto" w:line="276" w:before="0" w:after="0"/>
              <w:ind w:left="505" w:right="504" w:firstLine="3"/>
              <w:jc w:val="left"/>
              <w:rPr/>
            </w:pPr>
            <w:r>
              <w:rPr>
                <w:rFonts w:cs="Times New Roman"/>
                <w:b/>
                <w:bCs/>
                <w:sz w:val="20"/>
                <w:szCs w:val="20"/>
                <w:lang w:val="en-US"/>
              </w:rPr>
              <w:t>Qty</w:t>
            </w:r>
            <w:r>
              <w:rPr>
                <w:rFonts w:cs="Times New Roman"/>
                <w:b/>
                <w:bCs/>
                <w:spacing w:val="21"/>
                <w:sz w:val="20"/>
                <w:szCs w:val="20"/>
                <w:lang w:val="en-US"/>
              </w:rPr>
              <w:t xml:space="preserve"> </w:t>
            </w:r>
            <w:r>
              <w:rPr>
                <w:rFonts w:cs="Times New Roman"/>
                <w:b/>
                <w:bCs/>
                <w:spacing w:val="-1"/>
                <w:sz w:val="20"/>
                <w:szCs w:val="20"/>
                <w:lang w:val="en-US"/>
              </w:rPr>
              <w:t>lost/</w:t>
            </w:r>
          </w:p>
          <w:p>
            <w:pPr>
              <w:pStyle w:val="Normal"/>
              <w:widowControl w:val="false"/>
              <w:overflowPunct w:val="true"/>
              <w:spacing w:lineRule="auto" w:line="276" w:before="1" w:after="0"/>
              <w:ind w:left="147" w:right="145" w:hanging="0"/>
              <w:jc w:val="left"/>
              <w:rPr/>
            </w:pPr>
            <w:r>
              <w:rPr>
                <w:rFonts w:cs="Times New Roman"/>
                <w:b/>
                <w:bCs/>
                <w:spacing w:val="-1"/>
                <w:sz w:val="20"/>
                <w:szCs w:val="20"/>
                <w:lang w:val="en-US"/>
              </w:rPr>
              <w:t>removed by</w:t>
            </w:r>
            <w:r>
              <w:rPr>
                <w:rFonts w:cs="Times New Roman"/>
                <w:b/>
                <w:bCs/>
                <w:spacing w:val="26"/>
                <w:sz w:val="20"/>
                <w:szCs w:val="20"/>
                <w:lang w:val="en-US"/>
              </w:rPr>
              <w:t xml:space="preserve"> </w:t>
            </w:r>
            <w:r>
              <w:rPr>
                <w:rFonts w:cs="Times New Roman"/>
                <w:b/>
                <w:bCs/>
                <w:spacing w:val="-1"/>
                <w:sz w:val="20"/>
                <w:szCs w:val="20"/>
                <w:lang w:val="en-US"/>
              </w:rPr>
              <w:t>resident</w:t>
            </w:r>
          </w:p>
          <w:p>
            <w:pPr>
              <w:pStyle w:val="Normal"/>
              <w:widowControl w:val="false"/>
              <w:overflowPunct w:val="true"/>
              <w:spacing w:lineRule="auto" w:line="276" w:before="9" w:after="0"/>
              <w:jc w:val="left"/>
              <w:rPr>
                <w:rFonts w:cs="Times New Roman"/>
                <w:sz w:val="20"/>
                <w:szCs w:val="20"/>
                <w:lang w:val="en-US"/>
              </w:rPr>
            </w:pPr>
            <w:r>
              <w:rPr>
                <w:rFonts w:cs="Times New Roman"/>
                <w:sz w:val="20"/>
                <w:szCs w:val="20"/>
                <w:lang w:val="en-US"/>
              </w:rPr>
            </w:r>
          </w:p>
          <w:p>
            <w:pPr>
              <w:pStyle w:val="Normal"/>
              <w:widowControl w:val="false"/>
              <w:overflowPunct w:val="true"/>
              <w:spacing w:lineRule="auto" w:line="276" w:before="0" w:after="0"/>
              <w:jc w:val="left"/>
              <w:rPr/>
            </w:pPr>
            <w:r>
              <w:rPr>
                <w:rFonts w:cs="Times New Roman"/>
                <w:b/>
                <w:bCs/>
                <w:spacing w:val="-1"/>
                <w:sz w:val="20"/>
                <w:szCs w:val="20"/>
                <w:lang w:val="en-US"/>
              </w:rPr>
              <w:t>(A)</w:t>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5" w:type="dxa"/>
            </w:tcMar>
          </w:tcPr>
          <w:p>
            <w:pPr>
              <w:pStyle w:val="Normal"/>
              <w:widowControl w:val="false"/>
              <w:overflowPunct w:val="true"/>
              <w:spacing w:lineRule="auto" w:line="276" w:before="0" w:after="0"/>
              <w:ind w:left="275" w:right="270" w:hanging="3"/>
              <w:jc w:val="left"/>
              <w:rPr/>
            </w:pPr>
            <w:r>
              <w:rPr>
                <w:rFonts w:cs="Times New Roman"/>
                <w:b/>
                <w:bCs/>
                <w:sz w:val="20"/>
                <w:szCs w:val="20"/>
                <w:lang w:val="en-US"/>
              </w:rPr>
              <w:t>Qty</w:t>
            </w:r>
            <w:r>
              <w:rPr>
                <w:rFonts w:cs="Times New Roman"/>
                <w:b/>
                <w:bCs/>
                <w:spacing w:val="21"/>
                <w:sz w:val="20"/>
                <w:szCs w:val="20"/>
                <w:lang w:val="en-US"/>
              </w:rPr>
              <w:t xml:space="preserve"> </w:t>
            </w:r>
            <w:r>
              <w:rPr>
                <w:rFonts w:cs="Times New Roman"/>
                <w:b/>
                <w:bCs/>
                <w:spacing w:val="-1"/>
                <w:sz w:val="20"/>
                <w:szCs w:val="20"/>
                <w:lang w:val="en-US"/>
              </w:rPr>
              <w:t xml:space="preserve">failed </w:t>
            </w:r>
            <w:r>
              <w:rPr>
                <w:rFonts w:cs="Times New Roman"/>
                <w:b/>
                <w:bCs/>
                <w:spacing w:val="-2"/>
                <w:sz w:val="20"/>
                <w:szCs w:val="20"/>
                <w:lang w:val="en-US"/>
              </w:rPr>
              <w:t>or</w:t>
            </w:r>
            <w:r>
              <w:rPr>
                <w:rFonts w:cs="Times New Roman"/>
                <w:b/>
                <w:bCs/>
                <w:spacing w:val="26"/>
                <w:sz w:val="20"/>
                <w:szCs w:val="20"/>
                <w:lang w:val="en-US"/>
              </w:rPr>
              <w:t xml:space="preserve"> </w:t>
            </w:r>
            <w:r>
              <w:rPr>
                <w:rFonts w:cs="Times New Roman"/>
                <w:b/>
                <w:bCs/>
                <w:sz w:val="20"/>
                <w:szCs w:val="20"/>
                <w:lang w:val="en-US"/>
              </w:rPr>
              <w:t xml:space="preserve">damaged </w:t>
            </w:r>
            <w:r>
              <w:rPr>
                <w:rFonts w:cs="Times New Roman"/>
                <w:b/>
                <w:bCs/>
                <w:spacing w:val="-1"/>
                <w:sz w:val="20"/>
                <w:szCs w:val="20"/>
                <w:lang w:val="en-US"/>
              </w:rPr>
              <w:t>beyond</w:t>
            </w:r>
            <w:r>
              <w:rPr>
                <w:rFonts w:cs="Times New Roman"/>
                <w:b/>
                <w:bCs/>
                <w:spacing w:val="24"/>
                <w:sz w:val="20"/>
                <w:szCs w:val="20"/>
                <w:lang w:val="en-US"/>
              </w:rPr>
              <w:t xml:space="preserve"> </w:t>
            </w:r>
            <w:r>
              <w:rPr>
                <w:rFonts w:cs="Times New Roman"/>
                <w:b/>
                <w:bCs/>
                <w:spacing w:val="-1"/>
                <w:sz w:val="20"/>
                <w:szCs w:val="20"/>
                <w:lang w:val="en-US"/>
              </w:rPr>
              <w:t>repair</w:t>
            </w:r>
            <w:r>
              <w:rPr>
                <w:rFonts w:cs="Times New Roman"/>
                <w:b/>
                <w:bCs/>
                <w:spacing w:val="23"/>
                <w:sz w:val="20"/>
                <w:szCs w:val="20"/>
                <w:lang w:val="en-US"/>
              </w:rPr>
              <w:t xml:space="preserve"> </w:t>
            </w:r>
            <w:r>
              <w:rPr>
                <w:rFonts w:cs="Times New Roman"/>
                <w:b/>
                <w:bCs/>
                <w:spacing w:val="-1"/>
                <w:sz w:val="20"/>
                <w:szCs w:val="20"/>
                <w:lang w:val="en-US"/>
              </w:rPr>
              <w:t>(B)</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5" w:type="dxa"/>
            </w:tcMar>
          </w:tcPr>
          <w:p>
            <w:pPr>
              <w:pStyle w:val="Normal"/>
              <w:widowControl w:val="false"/>
              <w:overflowPunct w:val="true"/>
              <w:spacing w:lineRule="auto" w:line="276" w:before="0" w:after="0"/>
              <w:ind w:left="488" w:right="485" w:hanging="0"/>
              <w:jc w:val="left"/>
              <w:rPr/>
            </w:pPr>
            <w:r>
              <w:rPr>
                <w:rFonts w:cs="Times New Roman"/>
                <w:b/>
                <w:bCs/>
                <w:sz w:val="20"/>
                <w:szCs w:val="20"/>
                <w:lang w:val="en-US"/>
              </w:rPr>
              <w:t>Qty</w:t>
            </w:r>
            <w:r>
              <w:rPr>
                <w:rFonts w:cs="Times New Roman"/>
                <w:b/>
                <w:bCs/>
                <w:spacing w:val="21"/>
                <w:sz w:val="20"/>
                <w:szCs w:val="20"/>
                <w:lang w:val="en-US"/>
              </w:rPr>
              <w:t xml:space="preserve"> </w:t>
            </w:r>
            <w:r>
              <w:rPr>
                <w:rFonts w:cs="Times New Roman"/>
                <w:b/>
                <w:bCs/>
                <w:spacing w:val="-1"/>
                <w:sz w:val="20"/>
                <w:szCs w:val="20"/>
                <w:lang w:val="en-US"/>
              </w:rPr>
              <w:t>non-</w:t>
            </w:r>
          </w:p>
          <w:p>
            <w:pPr>
              <w:pStyle w:val="Normal"/>
              <w:widowControl w:val="false"/>
              <w:overflowPunct w:val="true"/>
              <w:spacing w:lineRule="auto" w:line="276" w:before="0" w:after="0"/>
              <w:ind w:left="162" w:right="162" w:hanging="0"/>
              <w:jc w:val="left"/>
              <w:rPr/>
            </w:pPr>
            <w:r>
              <w:rPr>
                <w:rFonts w:cs="Times New Roman"/>
                <w:b/>
                <w:bCs/>
                <w:spacing w:val="-1"/>
                <w:sz w:val="20"/>
                <w:szCs w:val="20"/>
                <w:lang w:val="en-US"/>
              </w:rPr>
              <w:t>functioning</w:t>
            </w:r>
            <w:r>
              <w:rPr>
                <w:rFonts w:cs="Times New Roman"/>
                <w:b/>
                <w:bCs/>
                <w:spacing w:val="26"/>
                <w:sz w:val="20"/>
                <w:szCs w:val="20"/>
                <w:lang w:val="en-US"/>
              </w:rPr>
              <w:t xml:space="preserve"> </w:t>
            </w:r>
            <w:r>
              <w:rPr>
                <w:rFonts w:cs="Times New Roman"/>
                <w:b/>
                <w:bCs/>
                <w:spacing w:val="-1"/>
                <w:sz w:val="20"/>
                <w:szCs w:val="20"/>
                <w:lang w:val="en-US"/>
              </w:rPr>
              <w:t>and</w:t>
            </w:r>
            <w:r>
              <w:rPr>
                <w:rFonts w:cs="Times New Roman"/>
                <w:b/>
                <w:bCs/>
                <w:spacing w:val="22"/>
                <w:sz w:val="20"/>
                <w:szCs w:val="20"/>
                <w:lang w:val="en-US"/>
              </w:rPr>
              <w:t xml:space="preserve"> </w:t>
            </w:r>
            <w:r>
              <w:rPr>
                <w:rFonts w:cs="Times New Roman"/>
                <w:b/>
                <w:bCs/>
                <w:spacing w:val="-1"/>
                <w:sz w:val="20"/>
                <w:szCs w:val="20"/>
                <w:lang w:val="en-US"/>
              </w:rPr>
              <w:t>repaired</w:t>
            </w:r>
            <w:r>
              <w:rPr>
                <w:rFonts w:cs="Times New Roman"/>
                <w:b/>
                <w:bCs/>
                <w:spacing w:val="25"/>
                <w:sz w:val="20"/>
                <w:szCs w:val="20"/>
                <w:lang w:val="en-US"/>
              </w:rPr>
              <w:t xml:space="preserve"> </w:t>
            </w:r>
            <w:r>
              <w:rPr>
                <w:rFonts w:cs="Times New Roman"/>
                <w:b/>
                <w:bCs/>
                <w:spacing w:val="-1"/>
                <w:sz w:val="20"/>
                <w:szCs w:val="20"/>
                <w:lang w:val="en-US"/>
              </w:rPr>
              <w:t>(C)</w:t>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5" w:type="dxa"/>
            </w:tcMar>
          </w:tcPr>
          <w:p>
            <w:pPr>
              <w:pStyle w:val="Normal"/>
              <w:widowControl w:val="false"/>
              <w:overflowPunct w:val="true"/>
              <w:spacing w:lineRule="auto" w:line="276" w:before="0" w:after="0"/>
              <w:ind w:left="195" w:right="199" w:hanging="0"/>
              <w:jc w:val="left"/>
              <w:rPr/>
            </w:pPr>
            <w:r>
              <w:rPr>
                <w:rFonts w:cs="Times New Roman"/>
                <w:b/>
                <w:bCs/>
                <w:sz w:val="20"/>
                <w:szCs w:val="20"/>
                <w:lang w:val="en-US"/>
              </w:rPr>
              <w:t>Mean</w:t>
            </w:r>
            <w:r>
              <w:rPr>
                <w:rFonts w:cs="Times New Roman"/>
                <w:b/>
                <w:bCs/>
                <w:spacing w:val="-3"/>
                <w:sz w:val="20"/>
                <w:szCs w:val="20"/>
                <w:lang w:val="en-US"/>
              </w:rPr>
              <w:t xml:space="preserve"> </w:t>
            </w:r>
            <w:r>
              <w:rPr>
                <w:rFonts w:cs="Times New Roman"/>
                <w:b/>
                <w:bCs/>
                <w:spacing w:val="-1"/>
                <w:sz w:val="20"/>
                <w:szCs w:val="20"/>
                <w:lang w:val="en-US"/>
              </w:rPr>
              <w:t>time</w:t>
            </w:r>
            <w:r>
              <w:rPr>
                <w:rFonts w:cs="Times New Roman"/>
                <w:b/>
                <w:bCs/>
                <w:spacing w:val="23"/>
                <w:sz w:val="20"/>
                <w:szCs w:val="20"/>
                <w:lang w:val="en-US"/>
              </w:rPr>
              <w:t xml:space="preserve"> </w:t>
            </w:r>
            <w:r>
              <w:rPr>
                <w:rFonts w:cs="Times New Roman"/>
                <w:b/>
                <w:bCs/>
                <w:spacing w:val="-1"/>
                <w:sz w:val="20"/>
                <w:szCs w:val="20"/>
                <w:lang w:val="en-US"/>
              </w:rPr>
              <w:t>between</w:t>
            </w:r>
            <w:r>
              <w:rPr>
                <w:rFonts w:cs="Times New Roman"/>
                <w:b/>
                <w:bCs/>
                <w:spacing w:val="25"/>
                <w:sz w:val="20"/>
                <w:szCs w:val="20"/>
                <w:lang w:val="en-US"/>
              </w:rPr>
              <w:t xml:space="preserve"> </w:t>
            </w:r>
            <w:r>
              <w:rPr>
                <w:rFonts w:cs="Times New Roman"/>
                <w:b/>
                <w:bCs/>
                <w:spacing w:val="-1"/>
                <w:sz w:val="20"/>
                <w:szCs w:val="20"/>
                <w:lang w:val="en-US"/>
              </w:rPr>
              <w:t>failures</w:t>
            </w:r>
            <w:r>
              <w:rPr>
                <w:rFonts w:cs="Times New Roman"/>
                <w:b/>
                <w:bCs/>
                <w:spacing w:val="24"/>
                <w:sz w:val="20"/>
                <w:szCs w:val="20"/>
                <w:lang w:val="en-US"/>
              </w:rPr>
              <w:t xml:space="preserve"> </w:t>
            </w:r>
            <w:r>
              <w:rPr>
                <w:rFonts w:cs="Times New Roman"/>
                <w:b/>
                <w:bCs/>
                <w:spacing w:val="-1"/>
                <w:sz w:val="20"/>
                <w:szCs w:val="20"/>
                <w:lang w:val="en-US"/>
              </w:rPr>
              <w:t>(months)</w:t>
            </w:r>
          </w:p>
          <w:p>
            <w:pPr>
              <w:pStyle w:val="Normal"/>
              <w:widowControl w:val="false"/>
              <w:overflowPunct w:val="true"/>
              <w:spacing w:lineRule="auto" w:line="276" w:before="0" w:after="0"/>
              <w:jc w:val="left"/>
              <w:rPr>
                <w:rFonts w:cs="Times New Roman"/>
                <w:sz w:val="20"/>
                <w:szCs w:val="20"/>
                <w:lang w:val="en-US"/>
              </w:rPr>
            </w:pPr>
            <w:r>
              <w:rPr>
                <w:rFonts w:cs="Times New Roman"/>
                <w:sz w:val="20"/>
                <w:szCs w:val="20"/>
                <w:lang w:val="en-US"/>
              </w:rPr>
            </w:r>
          </w:p>
          <w:p>
            <w:pPr>
              <w:pStyle w:val="Normal"/>
              <w:widowControl w:val="false"/>
              <w:overflowPunct w:val="true"/>
              <w:spacing w:lineRule="auto" w:line="276" w:before="0" w:after="0"/>
              <w:ind w:right="1" w:hanging="0"/>
              <w:jc w:val="left"/>
              <w:rPr/>
            </w:pPr>
            <w:r>
              <w:rPr>
                <w:rFonts w:cs="Times New Roman"/>
                <w:b/>
                <w:bCs/>
                <w:sz w:val="20"/>
                <w:szCs w:val="20"/>
                <w:lang w:val="en-US"/>
              </w:rPr>
              <w:t>(B</w:t>
            </w:r>
            <w:r>
              <w:rPr>
                <w:rFonts w:cs="Times New Roman"/>
                <w:b/>
                <w:bCs/>
                <w:spacing w:val="-1"/>
                <w:sz w:val="20"/>
                <w:szCs w:val="20"/>
                <w:lang w:val="en-US"/>
              </w:rPr>
              <w:t xml:space="preserve"> </w:t>
            </w:r>
            <w:r>
              <w:rPr>
                <w:rFonts w:cs="Times New Roman"/>
                <w:b/>
                <w:bCs/>
                <w:sz w:val="20"/>
                <w:szCs w:val="20"/>
                <w:lang w:val="en-US"/>
              </w:rPr>
              <w:t>&amp;</w:t>
            </w:r>
            <w:r>
              <w:rPr>
                <w:rFonts w:cs="Times New Roman"/>
                <w:b/>
                <w:bCs/>
                <w:spacing w:val="1"/>
                <w:sz w:val="20"/>
                <w:szCs w:val="20"/>
                <w:lang w:val="en-US"/>
              </w:rPr>
              <w:t xml:space="preserve"> </w:t>
            </w:r>
            <w:r>
              <w:rPr>
                <w:rFonts w:cs="Times New Roman"/>
                <w:b/>
                <w:bCs/>
                <w:spacing w:val="-1"/>
                <w:sz w:val="20"/>
                <w:szCs w:val="20"/>
                <w:lang w:val="en-US"/>
              </w:rPr>
              <w:t>C)</w:t>
            </w:r>
          </w:p>
        </w:tc>
      </w:tr>
      <w:tr>
        <w:trPr>
          <w:trHeight w:val="545" w:hRule="exact"/>
        </w:trPr>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ind w:left="102" w:hanging="0"/>
              <w:jc w:val="left"/>
              <w:rPr/>
            </w:pPr>
            <w:r>
              <w:rPr>
                <w:rFonts w:cs="Times New Roman"/>
                <w:spacing w:val="-1"/>
                <w:sz w:val="20"/>
                <w:szCs w:val="20"/>
                <w:lang w:val="en-US"/>
              </w:rPr>
              <w:t>Computer</w:t>
            </w:r>
          </w:p>
          <w:p>
            <w:pPr>
              <w:pStyle w:val="Normal"/>
              <w:widowControl w:val="false"/>
              <w:overflowPunct w:val="true"/>
              <w:spacing w:lineRule="auto" w:line="276" w:before="0" w:after="0"/>
              <w:ind w:left="102" w:hanging="0"/>
              <w:jc w:val="left"/>
              <w:rPr>
                <w:rFonts w:cs="Times New Roman"/>
                <w:sz w:val="20"/>
                <w:szCs w:val="20"/>
                <w:lang w:val="en-US"/>
              </w:rPr>
            </w:pPr>
            <w:r>
              <w:rPr>
                <w:rFonts w:cs="Times New Roman"/>
                <w:sz w:val="20"/>
                <w:szCs w:val="20"/>
                <w:lang w:val="en-US"/>
              </w:rPr>
            </w:r>
          </w:p>
        </w:tc>
        <w:tc>
          <w:tcPr>
            <w:tcW w:w="1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22</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2</w:t>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8</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14</w:t>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26</w:t>
            </w:r>
          </w:p>
        </w:tc>
      </w:tr>
      <w:tr>
        <w:trPr>
          <w:trHeight w:val="467" w:hRule="exact"/>
        </w:trPr>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ind w:left="102" w:hanging="0"/>
              <w:jc w:val="left"/>
              <w:rPr/>
            </w:pPr>
            <w:r>
              <w:rPr>
                <w:rFonts w:cs="Times New Roman"/>
                <w:spacing w:val="-1"/>
                <w:sz w:val="20"/>
                <w:szCs w:val="20"/>
                <w:lang w:val="en-US"/>
              </w:rPr>
              <w:t>Monitor</w:t>
            </w:r>
          </w:p>
        </w:tc>
        <w:tc>
          <w:tcPr>
            <w:tcW w:w="1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21</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2</w:t>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7</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1</w:t>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68</w:t>
            </w:r>
          </w:p>
        </w:tc>
      </w:tr>
      <w:tr>
        <w:trPr>
          <w:trHeight w:val="545" w:hRule="exact"/>
        </w:trPr>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ind w:left="102" w:hanging="0"/>
              <w:jc w:val="left"/>
              <w:rPr/>
            </w:pPr>
            <w:r>
              <w:rPr>
                <w:rFonts w:cs="Times New Roman"/>
                <w:spacing w:val="-1"/>
                <w:sz w:val="20"/>
                <w:szCs w:val="20"/>
                <w:lang w:val="en-US"/>
              </w:rPr>
              <w:t>Computer</w:t>
            </w:r>
          </w:p>
          <w:p>
            <w:pPr>
              <w:pStyle w:val="Normal"/>
              <w:widowControl w:val="false"/>
              <w:overflowPunct w:val="true"/>
              <w:spacing w:lineRule="auto" w:line="276" w:before="0" w:after="0"/>
              <w:ind w:left="102" w:hanging="0"/>
              <w:jc w:val="left"/>
              <w:rPr/>
            </w:pPr>
            <w:r>
              <w:rPr>
                <w:rFonts w:cs="Times New Roman"/>
                <w:spacing w:val="-1"/>
                <w:sz w:val="20"/>
                <w:szCs w:val="20"/>
                <w:lang w:val="en-US"/>
              </w:rPr>
              <w:t>/Monitor</w:t>
            </w:r>
          </w:p>
        </w:tc>
        <w:tc>
          <w:tcPr>
            <w:tcW w:w="13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22</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2</w:t>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15</w:t>
            </w:r>
          </w:p>
        </w:tc>
        <w:tc>
          <w:tcPr>
            <w:tcW w:w="14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15</w:t>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19</w:t>
            </w:r>
          </w:p>
        </w:tc>
      </w:tr>
      <w:tr>
        <w:trPr>
          <w:trHeight w:val="467" w:hRule="exact"/>
        </w:trPr>
        <w:tc>
          <w:tcPr>
            <w:tcW w:w="1134"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auto" w:val="clear"/>
            <w:tcMar>
              <w:left w:w="-5" w:type="dxa"/>
            </w:tcMar>
          </w:tcPr>
          <w:p>
            <w:pPr>
              <w:pStyle w:val="Normal"/>
              <w:widowControl w:val="false"/>
              <w:overflowPunct w:val="true"/>
              <w:spacing w:lineRule="auto" w:line="276" w:before="0" w:after="0"/>
              <w:ind w:left="102" w:hanging="0"/>
              <w:jc w:val="left"/>
              <w:rPr/>
            </w:pPr>
            <w:r>
              <w:rPr>
                <w:rFonts w:cs="Times New Roman"/>
                <w:spacing w:val="-1"/>
                <w:sz w:val="20"/>
                <w:szCs w:val="20"/>
                <w:lang w:val="en-US"/>
              </w:rPr>
              <w:t>Printer</w:t>
            </w:r>
          </w:p>
        </w:tc>
        <w:tc>
          <w:tcPr>
            <w:tcW w:w="1387"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18</w:t>
            </w:r>
          </w:p>
        </w:tc>
        <w:tc>
          <w:tcPr>
            <w:tcW w:w="1414"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2</w:t>
            </w:r>
          </w:p>
        </w:tc>
        <w:tc>
          <w:tcPr>
            <w:tcW w:w="1416"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22</w:t>
            </w:r>
          </w:p>
        </w:tc>
        <w:tc>
          <w:tcPr>
            <w:tcW w:w="1414"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19</w:t>
            </w:r>
          </w:p>
        </w:tc>
        <w:tc>
          <w:tcPr>
            <w:tcW w:w="1416"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11</w:t>
            </w:r>
          </w:p>
        </w:tc>
      </w:tr>
      <w:tr>
        <w:trPr>
          <w:trHeight w:val="467" w:hRule="exact"/>
        </w:trPr>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widowControl w:val="false"/>
              <w:overflowPunct w:val="true"/>
              <w:spacing w:lineRule="auto" w:line="276" w:before="0" w:after="0"/>
              <w:ind w:left="102" w:hanging="0"/>
              <w:jc w:val="left"/>
              <w:rPr/>
            </w:pPr>
            <w:r>
              <w:rPr>
                <w:rFonts w:cs="Times New Roman"/>
                <w:spacing w:val="-1"/>
                <w:sz w:val="20"/>
                <w:szCs w:val="20"/>
                <w:lang w:val="en-US"/>
              </w:rPr>
              <w:t>UPS</w:t>
            </w:r>
          </w:p>
        </w:tc>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20</w:t>
            </w:r>
          </w:p>
        </w:tc>
        <w:tc>
          <w:tcPr>
            <w:tcW w:w="1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widowControl w:val="false"/>
              <w:spacing w:lineRule="auto" w:line="276" w:before="0" w:after="0"/>
              <w:jc w:val="left"/>
              <w:rPr>
                <w:rFonts w:cs="Times New Roman"/>
                <w:sz w:val="20"/>
                <w:szCs w:val="20"/>
                <w:lang w:val="en-US"/>
              </w:rPr>
            </w:pPr>
            <w:r>
              <w:rPr>
                <w:rFonts w:cs="Times New Roman"/>
                <w:sz w:val="20"/>
                <w:szCs w:val="20"/>
                <w:lang w:val="en-US"/>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8</w:t>
            </w:r>
          </w:p>
        </w:tc>
        <w:tc>
          <w:tcPr>
            <w:tcW w:w="1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widowControl w:val="false"/>
              <w:spacing w:lineRule="auto" w:line="276" w:before="0" w:after="0"/>
              <w:jc w:val="left"/>
              <w:rPr>
                <w:rFonts w:cs="Times New Roman"/>
                <w:sz w:val="20"/>
                <w:szCs w:val="20"/>
                <w:lang w:val="en-US"/>
              </w:rPr>
            </w:pPr>
            <w:r>
              <w:rPr>
                <w:rFonts w:cs="Times New Roman"/>
                <w:sz w:val="20"/>
                <w:szCs w:val="20"/>
                <w:lang w:val="en-US"/>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65</w:t>
            </w:r>
          </w:p>
        </w:tc>
      </w:tr>
      <w:tr>
        <w:trPr>
          <w:trHeight w:val="482" w:hRule="exact"/>
        </w:trPr>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widowControl w:val="false"/>
              <w:overflowPunct w:val="true"/>
              <w:spacing w:lineRule="auto" w:line="276" w:before="0" w:after="0"/>
              <w:ind w:left="102" w:hanging="0"/>
              <w:jc w:val="left"/>
              <w:rPr/>
            </w:pPr>
            <w:r>
              <w:rPr>
                <w:rFonts w:cs="Times New Roman"/>
                <w:spacing w:val="-1"/>
                <w:sz w:val="20"/>
                <w:szCs w:val="20"/>
                <w:lang w:val="en-US"/>
              </w:rPr>
              <w:t>Network</w:t>
            </w:r>
          </w:p>
          <w:p>
            <w:pPr>
              <w:pStyle w:val="Normal"/>
              <w:widowControl w:val="false"/>
              <w:overflowPunct w:val="true"/>
              <w:spacing w:lineRule="auto" w:line="276" w:before="0" w:after="0"/>
              <w:ind w:left="102" w:hanging="0"/>
              <w:jc w:val="left"/>
              <w:rPr>
                <w:rFonts w:cs="Times New Roman"/>
                <w:spacing w:val="-1"/>
                <w:sz w:val="20"/>
                <w:szCs w:val="20"/>
                <w:lang w:val="en-US"/>
              </w:rPr>
            </w:pPr>
            <w:r>
              <w:rPr>
                <w:rFonts w:cs="Times New Roman"/>
                <w:spacing w:val="-1"/>
                <w:sz w:val="20"/>
                <w:szCs w:val="20"/>
                <w:lang w:val="en-US"/>
              </w:rPr>
            </w:r>
          </w:p>
          <w:p>
            <w:pPr>
              <w:pStyle w:val="Normal"/>
              <w:widowControl w:val="false"/>
              <w:overflowPunct w:val="true"/>
              <w:spacing w:lineRule="auto" w:line="276" w:before="0" w:after="0"/>
              <w:ind w:left="102" w:hanging="0"/>
              <w:jc w:val="left"/>
              <w:rPr>
                <w:rFonts w:cs="Times New Roman"/>
                <w:sz w:val="20"/>
                <w:szCs w:val="20"/>
                <w:lang w:val="en-US"/>
              </w:rPr>
            </w:pPr>
            <w:r>
              <w:rPr>
                <w:rFonts w:cs="Times New Roman"/>
                <w:sz w:val="20"/>
                <w:szCs w:val="20"/>
                <w:lang w:val="en-US"/>
              </w:rPr>
            </w:r>
          </w:p>
        </w:tc>
        <w:tc>
          <w:tcPr>
            <w:tcW w:w="1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76"/>
              <w:jc w:val="left"/>
              <w:rPr/>
            </w:pPr>
            <w:r>
              <w:rPr/>
              <w:t>19</w:t>
            </w:r>
          </w:p>
        </w:tc>
        <w:tc>
          <w:tcPr>
            <w:tcW w:w="1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widowControl w:val="false"/>
              <w:tabs>
                <w:tab w:val="left" w:pos="540" w:leader="none"/>
                <w:tab w:val="center" w:pos="702" w:leader="none"/>
              </w:tabs>
              <w:overflowPunct w:val="true"/>
              <w:spacing w:lineRule="auto" w:line="276" w:before="0" w:after="0"/>
              <w:jc w:val="left"/>
              <w:rPr/>
            </w:pPr>
            <w:r>
              <w:rPr>
                <w:rFonts w:cs="Times New Roman"/>
                <w:sz w:val="20"/>
                <w:szCs w:val="20"/>
                <w:lang w:val="en-US"/>
              </w:rPr>
              <w:tab/>
              <w:tab/>
              <w:t>2</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2</w:t>
            </w:r>
          </w:p>
        </w:tc>
        <w:tc>
          <w:tcPr>
            <w:tcW w:w="1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9</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widowControl w:val="false"/>
              <w:overflowPunct w:val="true"/>
              <w:spacing w:lineRule="auto" w:line="276" w:before="0" w:after="0"/>
              <w:jc w:val="left"/>
              <w:rPr/>
            </w:pPr>
            <w:r>
              <w:rPr>
                <w:rFonts w:cs="Times New Roman"/>
                <w:sz w:val="20"/>
                <w:szCs w:val="20"/>
                <w:lang w:val="en-US"/>
              </w:rPr>
              <w:t>45</w:t>
            </w:r>
          </w:p>
        </w:tc>
      </w:tr>
    </w:tbl>
    <w:p>
      <w:pPr>
        <w:pStyle w:val="Normal"/>
        <w:widowControl w:val="false"/>
        <w:overflowPunct w:val="true"/>
        <w:spacing w:lineRule="auto" w:line="276" w:before="0" w:after="0"/>
        <w:jc w:val="left"/>
        <w:rPr>
          <w:rFonts w:cs="Times New Roman"/>
          <w:sz w:val="20"/>
          <w:szCs w:val="20"/>
          <w:lang w:val="en-US"/>
        </w:rPr>
      </w:pPr>
      <w:r>
        <w:rPr>
          <w:rFonts w:cs="Times New Roman"/>
          <w:sz w:val="20"/>
          <w:szCs w:val="20"/>
          <w:lang w:val="en-US"/>
        </w:rPr>
      </w:r>
    </w:p>
    <w:p>
      <w:pPr>
        <w:pStyle w:val="Normal"/>
        <w:widowControl w:val="false"/>
        <w:overflowPunct w:val="true"/>
        <w:spacing w:lineRule="auto" w:line="276" w:before="0" w:after="0"/>
        <w:jc w:val="left"/>
        <w:rPr>
          <w:rFonts w:cs="Times New Roman"/>
          <w:sz w:val="13"/>
          <w:szCs w:val="13"/>
          <w:lang w:val="en-US"/>
        </w:rPr>
      </w:pPr>
      <w:r>
        <w:rPr>
          <w:rFonts w:cs="Times New Roman"/>
          <w:sz w:val="13"/>
          <w:szCs w:val="13"/>
          <w:lang w:val="en-US"/>
        </w:rPr>
      </w:r>
    </w:p>
    <w:p>
      <w:pPr>
        <w:pStyle w:val="Normal"/>
        <w:spacing w:lineRule="auto" w:line="276"/>
        <w:jc w:val="left"/>
        <w:rPr/>
      </w:pPr>
      <w:r>
        <w:rPr>
          <w:lang w:val="en-US"/>
        </w:rPr>
        <w:t>By</w:t>
      </w:r>
      <w:r>
        <w:rPr>
          <w:spacing w:val="-8"/>
          <w:lang w:val="en-US"/>
        </w:rPr>
        <w:t xml:space="preserve"> </w:t>
      </w:r>
      <w:r>
        <w:rPr>
          <w:lang w:val="en-US"/>
        </w:rPr>
        <w:t>comparison</w:t>
      </w:r>
      <w:r>
        <w:rPr>
          <w:spacing w:val="-3"/>
          <w:lang w:val="en-US"/>
        </w:rPr>
        <w:t xml:space="preserve"> </w:t>
      </w:r>
      <w:r>
        <w:rPr>
          <w:lang w:val="en-US"/>
        </w:rPr>
        <w:t>with</w:t>
      </w:r>
      <w:r>
        <w:rPr>
          <w:spacing w:val="-5"/>
          <w:lang w:val="en-US"/>
        </w:rPr>
        <w:t xml:space="preserve"> </w:t>
      </w:r>
      <w:r>
        <w:rPr>
          <w:lang w:val="en-US"/>
        </w:rPr>
        <w:t>this</w:t>
      </w:r>
      <w:r>
        <w:rPr>
          <w:spacing w:val="-5"/>
          <w:lang w:val="en-US"/>
        </w:rPr>
        <w:t xml:space="preserve"> </w:t>
      </w:r>
      <w:r>
        <w:rPr>
          <w:lang w:val="en-US"/>
        </w:rPr>
        <w:t>total</w:t>
      </w:r>
      <w:r>
        <w:rPr>
          <w:spacing w:val="-2"/>
          <w:lang w:val="en-US"/>
        </w:rPr>
        <w:t xml:space="preserve"> </w:t>
      </w:r>
      <w:r>
        <w:rPr>
          <w:lang w:val="en-US"/>
        </w:rPr>
        <w:t>of</w:t>
      </w:r>
      <w:r>
        <w:rPr>
          <w:spacing w:val="-6"/>
          <w:lang w:val="en-US"/>
        </w:rPr>
        <w:t xml:space="preserve"> </w:t>
      </w:r>
      <w:r>
        <w:rPr>
          <w:lang w:val="en-US"/>
        </w:rPr>
        <w:t>twenty-two</w:t>
      </w:r>
      <w:r>
        <w:rPr>
          <w:spacing w:val="-3"/>
          <w:lang w:val="en-US"/>
        </w:rPr>
        <w:t xml:space="preserve"> </w:t>
      </w:r>
      <w:r>
        <w:rPr>
          <w:lang w:val="en-US"/>
        </w:rPr>
        <w:t>computer</w:t>
      </w:r>
      <w:r>
        <w:rPr>
          <w:spacing w:val="-2"/>
          <w:lang w:val="en-US"/>
        </w:rPr>
        <w:t xml:space="preserve"> </w:t>
      </w:r>
      <w:r>
        <w:rPr>
          <w:lang w:val="en-US"/>
        </w:rPr>
        <w:t>failures</w:t>
      </w:r>
      <w:r>
        <w:rPr>
          <w:spacing w:val="-5"/>
          <w:lang w:val="en-US"/>
        </w:rPr>
        <w:t xml:space="preserve"> </w:t>
      </w:r>
      <w:r>
        <w:rPr>
          <w:lang w:val="en-US"/>
        </w:rPr>
        <w:t>over</w:t>
      </w:r>
      <w:r>
        <w:rPr>
          <w:spacing w:val="-3"/>
          <w:lang w:val="en-US"/>
        </w:rPr>
        <w:t xml:space="preserve"> </w:t>
      </w:r>
      <w:r>
        <w:rPr>
          <w:lang w:val="en-US"/>
        </w:rPr>
        <w:t>the</w:t>
      </w:r>
      <w:r>
        <w:rPr>
          <w:spacing w:val="-4"/>
          <w:lang w:val="en-US"/>
        </w:rPr>
        <w:t xml:space="preserve"> </w:t>
      </w:r>
      <w:r>
        <w:rPr>
          <w:lang w:val="en-US"/>
        </w:rPr>
        <w:t>twenty-five-month</w:t>
      </w:r>
      <w:r>
        <w:rPr>
          <w:spacing w:val="-5"/>
          <w:lang w:val="en-US"/>
        </w:rPr>
        <w:t xml:space="preserve"> </w:t>
      </w:r>
      <w:r>
        <w:rPr>
          <w:lang w:val="en-US"/>
        </w:rPr>
        <w:t>project</w:t>
      </w:r>
      <w:r>
        <w:rPr>
          <w:spacing w:val="-7"/>
          <w:lang w:val="en-US"/>
        </w:rPr>
        <w:t xml:space="preserve"> </w:t>
      </w:r>
      <w:r>
        <w:rPr>
          <w:lang w:val="en-US"/>
        </w:rPr>
        <w:t>period,</w:t>
      </w:r>
      <w:r>
        <w:rPr>
          <w:spacing w:val="-3"/>
          <w:lang w:val="en-US"/>
        </w:rPr>
        <w:t xml:space="preserve"> </w:t>
      </w:r>
      <w:r>
        <w:rPr>
          <w:lang w:val="en-US"/>
        </w:rPr>
        <w:t>a</w:t>
      </w:r>
      <w:r>
        <w:rPr>
          <w:spacing w:val="-6"/>
          <w:lang w:val="en-US"/>
        </w:rPr>
        <w:t xml:space="preserve"> </w:t>
      </w:r>
      <w:r>
        <w:rPr>
          <w:lang w:val="en-US"/>
        </w:rPr>
        <w:t>large survey</w:t>
      </w:r>
      <w:r>
        <w:rPr>
          <w:spacing w:val="-10"/>
          <w:lang w:val="en-US"/>
        </w:rPr>
        <w:t xml:space="preserve"> </w:t>
      </w:r>
      <w:r>
        <w:rPr>
          <w:lang w:val="en-US"/>
        </w:rPr>
        <w:t>of</w:t>
      </w:r>
      <w:r>
        <w:rPr>
          <w:spacing w:val="-4"/>
          <w:lang w:val="en-US"/>
        </w:rPr>
        <w:t xml:space="preserve"> </w:t>
      </w:r>
      <w:r>
        <w:rPr>
          <w:lang w:val="en-US"/>
        </w:rPr>
        <w:t>failure</w:t>
      </w:r>
      <w:r>
        <w:rPr>
          <w:spacing w:val="-6"/>
          <w:lang w:val="en-US"/>
        </w:rPr>
        <w:t xml:space="preserve"> </w:t>
      </w:r>
      <w:r>
        <w:rPr>
          <w:lang w:val="en-US"/>
        </w:rPr>
        <w:t>rates</w:t>
      </w:r>
      <w:r>
        <w:rPr>
          <w:spacing w:val="-6"/>
          <w:lang w:val="en-US"/>
        </w:rPr>
        <w:t xml:space="preserve"> </w:t>
      </w:r>
      <w:r>
        <w:rPr>
          <w:spacing w:val="1"/>
          <w:lang w:val="en-US"/>
        </w:rPr>
        <w:t>in</w:t>
      </w:r>
      <w:r>
        <w:rPr>
          <w:spacing w:val="-7"/>
          <w:lang w:val="en-US"/>
        </w:rPr>
        <w:t xml:space="preserve"> </w:t>
      </w:r>
      <w:r>
        <w:rPr>
          <w:lang w:val="en-US"/>
        </w:rPr>
        <w:t>corporate</w:t>
      </w:r>
      <w:r>
        <w:rPr>
          <w:spacing w:val="-5"/>
          <w:lang w:val="en-US"/>
        </w:rPr>
        <w:t xml:space="preserve"> </w:t>
      </w:r>
      <w:r>
        <w:rPr>
          <w:lang w:val="en-US"/>
        </w:rPr>
        <w:t>desktop</w:t>
      </w:r>
      <w:r>
        <w:rPr>
          <w:spacing w:val="-5"/>
          <w:lang w:val="en-US"/>
        </w:rPr>
        <w:t xml:space="preserve"> </w:t>
      </w:r>
      <w:r>
        <w:rPr>
          <w:lang w:val="en-US"/>
        </w:rPr>
        <w:t>computers</w:t>
      </w:r>
      <w:r>
        <w:rPr>
          <w:spacing w:val="-6"/>
          <w:lang w:val="en-US"/>
        </w:rPr>
        <w:t xml:space="preserve"> </w:t>
      </w:r>
      <w:r>
        <w:rPr>
          <w:lang w:val="en-US"/>
        </w:rPr>
        <w:t>referenced</w:t>
      </w:r>
      <w:r>
        <w:rPr>
          <w:spacing w:val="-5"/>
          <w:lang w:val="en-US"/>
        </w:rPr>
        <w:t xml:space="preserve"> </w:t>
      </w:r>
      <w:r>
        <w:rPr>
          <w:lang w:val="en-US"/>
        </w:rPr>
        <w:t>at</w:t>
      </w:r>
      <w:r>
        <w:rPr>
          <w:w w:val="99"/>
          <w:lang w:val="en-US"/>
        </w:rPr>
        <w:t xml:space="preserve"> </w:t>
      </w:r>
      <w:hyperlink r:id="rId4">
        <w:r>
          <w:rPr>
            <w:rStyle w:val="InternetLink"/>
            <w:color w:val="0000FF"/>
            <w:u w:val="single"/>
            <w:lang w:val="en-US"/>
          </w:rPr>
          <w:t>http://www.partnerinfo.lenovo.com/partners/us/products/downloads/thinkcentre-mseries/TBR-Quality-Study-ExecSummary.pdf</w:t>
        </w:r>
      </w:hyperlink>
      <w:r>
        <w:rPr>
          <w:color w:val="0000FF"/>
          <w:u w:val="single"/>
          <w:lang w:val="en-US"/>
        </w:rPr>
        <w:t xml:space="preserve"> </w:t>
      </w:r>
      <w:r>
        <w:rPr>
          <w:color w:val="000000"/>
          <w:lang w:val="en-US"/>
        </w:rPr>
        <w:t>recorded</w:t>
      </w:r>
      <w:r>
        <w:rPr>
          <w:color w:val="000000"/>
          <w:spacing w:val="-6"/>
          <w:lang w:val="en-US"/>
        </w:rPr>
        <w:t xml:space="preserve"> </w:t>
      </w:r>
      <w:r>
        <w:rPr>
          <w:color w:val="000000"/>
          <w:lang w:val="en-US"/>
        </w:rPr>
        <w:t>an</w:t>
      </w:r>
      <w:r>
        <w:rPr>
          <w:color w:val="000000"/>
          <w:spacing w:val="-8"/>
          <w:lang w:val="en-US"/>
        </w:rPr>
        <w:t xml:space="preserve"> </w:t>
      </w:r>
      <w:r>
        <w:rPr>
          <w:color w:val="000000"/>
          <w:lang w:val="en-US"/>
        </w:rPr>
        <w:t>average</w:t>
      </w:r>
      <w:r>
        <w:rPr>
          <w:color w:val="000000"/>
          <w:spacing w:val="-6"/>
          <w:lang w:val="en-US"/>
        </w:rPr>
        <w:t xml:space="preserve"> </w:t>
      </w:r>
      <w:r>
        <w:rPr>
          <w:color w:val="000000"/>
          <w:lang w:val="en-US"/>
        </w:rPr>
        <w:t>15.29 per cent</w:t>
      </w:r>
      <w:r>
        <w:rPr>
          <w:color w:val="000000"/>
          <w:spacing w:val="-7"/>
          <w:lang w:val="en-US"/>
        </w:rPr>
        <w:t xml:space="preserve"> </w:t>
      </w:r>
      <w:r>
        <w:rPr>
          <w:color w:val="000000"/>
          <w:lang w:val="en-US"/>
        </w:rPr>
        <w:t>failure</w:t>
      </w:r>
      <w:r>
        <w:rPr>
          <w:color w:val="000000"/>
          <w:spacing w:val="-7"/>
          <w:lang w:val="en-US"/>
        </w:rPr>
        <w:t xml:space="preserve"> </w:t>
      </w:r>
      <w:r>
        <w:rPr>
          <w:color w:val="000000"/>
          <w:lang w:val="en-US"/>
        </w:rPr>
        <w:t>rate,</w:t>
      </w:r>
      <w:r>
        <w:rPr>
          <w:color w:val="000000"/>
          <w:spacing w:val="-7"/>
          <w:lang w:val="en-US"/>
        </w:rPr>
        <w:t xml:space="preserve"> </w:t>
      </w:r>
      <w:r>
        <w:rPr>
          <w:color w:val="000000"/>
          <w:lang w:val="en-US"/>
        </w:rPr>
        <w:t>requiring</w:t>
      </w:r>
      <w:r>
        <w:rPr>
          <w:color w:val="000000"/>
          <w:spacing w:val="-6"/>
          <w:lang w:val="en-US"/>
        </w:rPr>
        <w:t xml:space="preserve"> </w:t>
      </w:r>
      <w:r>
        <w:rPr>
          <w:color w:val="000000"/>
          <w:lang w:val="en-US"/>
        </w:rPr>
        <w:t>warranty</w:t>
      </w:r>
      <w:r>
        <w:rPr>
          <w:color w:val="000000"/>
          <w:spacing w:val="-7"/>
          <w:lang w:val="en-US"/>
        </w:rPr>
        <w:t xml:space="preserve"> </w:t>
      </w:r>
      <w:r>
        <w:rPr>
          <w:color w:val="000000"/>
          <w:lang w:val="en-US"/>
        </w:rPr>
        <w:t>repair</w:t>
      </w:r>
      <w:r>
        <w:rPr>
          <w:color w:val="000000"/>
          <w:spacing w:val="-6"/>
          <w:lang w:val="en-US"/>
        </w:rPr>
        <w:t xml:space="preserve"> </w:t>
      </w:r>
      <w:r>
        <w:rPr>
          <w:color w:val="000000"/>
          <w:lang w:val="en-US"/>
        </w:rPr>
        <w:t>over</w:t>
      </w:r>
      <w:r>
        <w:rPr>
          <w:color w:val="000000"/>
          <w:spacing w:val="-6"/>
          <w:lang w:val="en-US"/>
        </w:rPr>
        <w:t xml:space="preserve"> </w:t>
      </w:r>
      <w:r>
        <w:rPr>
          <w:color w:val="000000"/>
          <w:lang w:val="en-US"/>
        </w:rPr>
        <w:t>the first</w:t>
      </w:r>
      <w:r>
        <w:rPr>
          <w:color w:val="000000"/>
          <w:spacing w:val="-5"/>
          <w:lang w:val="en-US"/>
        </w:rPr>
        <w:t xml:space="preserve"> </w:t>
      </w:r>
      <w:r>
        <w:rPr>
          <w:color w:val="000000"/>
          <w:lang w:val="en-US"/>
        </w:rPr>
        <w:t>two years</w:t>
      </w:r>
      <w:r>
        <w:rPr>
          <w:color w:val="000000"/>
          <w:spacing w:val="-6"/>
          <w:lang w:val="en-US"/>
        </w:rPr>
        <w:t xml:space="preserve"> </w:t>
      </w:r>
      <w:r>
        <w:rPr>
          <w:color w:val="000000"/>
          <w:lang w:val="en-US"/>
        </w:rPr>
        <w:t>of</w:t>
      </w:r>
      <w:r>
        <w:rPr>
          <w:color w:val="000000"/>
          <w:spacing w:val="-6"/>
          <w:lang w:val="en-US"/>
        </w:rPr>
        <w:t xml:space="preserve"> </w:t>
      </w:r>
      <w:r>
        <w:rPr>
          <w:color w:val="000000"/>
          <w:lang w:val="en-US"/>
        </w:rPr>
        <w:t>service,</w:t>
      </w:r>
      <w:r>
        <w:rPr>
          <w:color w:val="000000"/>
          <w:spacing w:val="-3"/>
          <w:lang w:val="en-US"/>
        </w:rPr>
        <w:t xml:space="preserve"> </w:t>
      </w:r>
      <w:r>
        <w:rPr>
          <w:color w:val="000000"/>
          <w:lang w:val="en-US"/>
        </w:rPr>
        <w:t>or</w:t>
      </w:r>
      <w:r>
        <w:rPr>
          <w:color w:val="000000"/>
          <w:spacing w:val="-4"/>
          <w:lang w:val="en-US"/>
        </w:rPr>
        <w:t xml:space="preserve"> </w:t>
      </w:r>
      <w:r>
        <w:rPr>
          <w:color w:val="000000"/>
          <w:lang w:val="en-US"/>
        </w:rPr>
        <w:t>3.5</w:t>
      </w:r>
      <w:r>
        <w:rPr>
          <w:color w:val="000000"/>
          <w:spacing w:val="-3"/>
          <w:lang w:val="en-US"/>
        </w:rPr>
        <w:t xml:space="preserve"> </w:t>
      </w:r>
      <w:r>
        <w:rPr>
          <w:color w:val="000000"/>
          <w:lang w:val="en-US"/>
        </w:rPr>
        <w:t>failures</w:t>
      </w:r>
      <w:r>
        <w:rPr>
          <w:color w:val="000000"/>
          <w:spacing w:val="-2"/>
          <w:lang w:val="en-US"/>
        </w:rPr>
        <w:t xml:space="preserve"> </w:t>
      </w:r>
      <w:r>
        <w:rPr>
          <w:color w:val="000000"/>
          <w:lang w:val="en-US"/>
        </w:rPr>
        <w:t>for</w:t>
      </w:r>
      <w:r>
        <w:rPr>
          <w:color w:val="000000"/>
          <w:spacing w:val="-4"/>
          <w:lang w:val="en-US"/>
        </w:rPr>
        <w:t xml:space="preserve"> </w:t>
      </w:r>
      <w:r>
        <w:rPr>
          <w:color w:val="000000"/>
          <w:lang w:val="en-US"/>
        </w:rPr>
        <w:t>an</w:t>
      </w:r>
      <w:r>
        <w:rPr>
          <w:color w:val="000000"/>
          <w:spacing w:val="-5"/>
          <w:lang w:val="en-US"/>
        </w:rPr>
        <w:t xml:space="preserve"> </w:t>
      </w:r>
      <w:r>
        <w:rPr>
          <w:color w:val="000000"/>
          <w:lang w:val="en-US"/>
        </w:rPr>
        <w:t>equivalent</w:t>
      </w:r>
      <w:r>
        <w:rPr>
          <w:color w:val="000000"/>
          <w:spacing w:val="-4"/>
          <w:lang w:val="en-US"/>
        </w:rPr>
        <w:t xml:space="preserve"> </w:t>
      </w:r>
      <w:r>
        <w:rPr>
          <w:color w:val="000000"/>
          <w:lang w:val="en-US"/>
        </w:rPr>
        <w:t>population</w:t>
      </w:r>
      <w:r>
        <w:rPr>
          <w:color w:val="000000"/>
          <w:spacing w:val="-5"/>
          <w:lang w:val="en-US"/>
        </w:rPr>
        <w:t xml:space="preserve"> </w:t>
      </w:r>
      <w:r>
        <w:rPr>
          <w:color w:val="000000"/>
          <w:lang w:val="en-US"/>
        </w:rPr>
        <w:t>of</w:t>
      </w:r>
      <w:r>
        <w:rPr>
          <w:color w:val="000000"/>
          <w:spacing w:val="-7"/>
          <w:lang w:val="en-US"/>
        </w:rPr>
        <w:t xml:space="preserve"> </w:t>
      </w:r>
      <w:r>
        <w:rPr>
          <w:color w:val="000000"/>
          <w:lang w:val="en-US"/>
        </w:rPr>
        <w:t>twenty-two</w:t>
      </w:r>
      <w:r>
        <w:rPr>
          <w:color w:val="000000"/>
          <w:spacing w:val="-3"/>
          <w:lang w:val="en-US"/>
        </w:rPr>
        <w:t xml:space="preserve"> </w:t>
      </w:r>
      <w:r>
        <w:rPr>
          <w:color w:val="000000"/>
          <w:lang w:val="en-US"/>
        </w:rPr>
        <w:t>computers</w:t>
      </w:r>
      <w:r>
        <w:rPr>
          <w:color w:val="000000"/>
          <w:spacing w:val="-5"/>
          <w:lang w:val="en-US"/>
        </w:rPr>
        <w:t xml:space="preserve"> </w:t>
      </w:r>
      <w:r>
        <w:rPr>
          <w:color w:val="000000"/>
          <w:lang w:val="en-US"/>
        </w:rPr>
        <w:t>over</w:t>
      </w:r>
      <w:r>
        <w:rPr>
          <w:color w:val="000000"/>
          <w:spacing w:val="-4"/>
          <w:lang w:val="en-US"/>
        </w:rPr>
        <w:t xml:space="preserve"> </w:t>
      </w:r>
      <w:r>
        <w:rPr>
          <w:color w:val="000000"/>
          <w:lang w:val="en-US"/>
        </w:rPr>
        <w:t>twenty-five</w:t>
      </w:r>
      <w:r>
        <w:rPr>
          <w:color w:val="000000"/>
          <w:spacing w:val="-3"/>
          <w:lang w:val="en-US"/>
        </w:rPr>
        <w:t xml:space="preserve"> </w:t>
      </w:r>
      <w:r>
        <w:rPr>
          <w:color w:val="000000"/>
          <w:lang w:val="en-US"/>
        </w:rPr>
        <w:t>months.</w:t>
      </w:r>
    </w:p>
    <w:p>
      <w:pPr>
        <w:pStyle w:val="Normal"/>
        <w:spacing w:lineRule="auto" w:line="276"/>
        <w:jc w:val="left"/>
        <w:rPr>
          <w:lang w:val="en-US"/>
        </w:rPr>
      </w:pPr>
      <w:r>
        <w:rPr>
          <w:lang w:val="en-US"/>
        </w:rPr>
      </w:r>
    </w:p>
    <w:p>
      <w:pPr>
        <w:pStyle w:val="Caption1"/>
        <w:keepNext/>
        <w:spacing w:lineRule="auto" w:line="276"/>
        <w:jc w:val="left"/>
        <w:rPr/>
      </w:pPr>
      <w:bookmarkStart w:id="10" w:name="_Toc445560898"/>
      <w:r>
        <w:rPr/>
        <w:t xml:space="preserve">Table </w:t>
      </w:r>
      <w:r>
        <w:rPr/>
        <w:fldChar w:fldCharType="begin"/>
      </w:r>
      <w:r>
        <w:instrText> SEQ Table \* ARABIC </w:instrText>
      </w:r>
      <w:r>
        <w:fldChar w:fldCharType="separate"/>
      </w:r>
      <w:r>
        <w:t>3</w:t>
      </w:r>
      <w:r>
        <w:fldChar w:fldCharType="end"/>
      </w:r>
      <w:bookmarkEnd w:id="10"/>
      <w:r>
        <w:rPr/>
        <w:t>: Number of inter- and intra-community computer relocations and removals from the community according to ownership status at the time of relocation/removal, post-installation phase, August 2014, Imangara and Mungalawurru</w:t>
      </w:r>
    </w:p>
    <w:tbl>
      <w:tblPr>
        <w:tblW w:w="8669"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3064"/>
        <w:gridCol w:w="1570"/>
        <w:gridCol w:w="1354"/>
        <w:gridCol w:w="1576"/>
        <w:gridCol w:w="1105"/>
      </w:tblGrid>
      <w:tr>
        <w:trPr>
          <w:tblHeader w:val="true"/>
        </w:trPr>
        <w:tc>
          <w:tcPr>
            <w:tcW w:w="46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b/>
                <w:sz w:val="20"/>
                <w:szCs w:val="20"/>
              </w:rPr>
              <w:t>Incident type and ownership status at time of incident</w:t>
            </w:r>
          </w:p>
        </w:tc>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b/>
                <w:sz w:val="20"/>
                <w:szCs w:val="20"/>
              </w:rPr>
              <w:t>Imangara</w:t>
            </w:r>
          </w:p>
        </w:tc>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b/>
                <w:sz w:val="20"/>
                <w:szCs w:val="20"/>
              </w:rPr>
              <w:t>Mungalawarru</w:t>
            </w:r>
          </w:p>
        </w:tc>
        <w:tc>
          <w:tcPr>
            <w:tcW w:w="1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b/>
                <w:sz w:val="20"/>
                <w:szCs w:val="20"/>
              </w:rPr>
              <w:t>Total</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Intra-community relocation</w:t>
            </w:r>
          </w:p>
        </w:tc>
        <w:tc>
          <w:tcPr>
            <w:tcW w:w="1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Number Shared*</w:t>
            </w:r>
          </w:p>
        </w:tc>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2</w:t>
            </w:r>
          </w:p>
        </w:tc>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1</w:t>
            </w:r>
          </w:p>
        </w:tc>
        <w:tc>
          <w:tcPr>
            <w:tcW w:w="1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3</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rFonts w:cs="Arial"/>
                <w:sz w:val="20"/>
                <w:szCs w:val="20"/>
              </w:rPr>
            </w:pPr>
            <w:r>
              <w:rPr>
                <w:rFonts w:cs="Arial"/>
                <w:sz w:val="20"/>
                <w:szCs w:val="20"/>
              </w:rPr>
            </w:r>
          </w:p>
        </w:tc>
        <w:tc>
          <w:tcPr>
            <w:tcW w:w="1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Number Nominally owned</w:t>
            </w:r>
          </w:p>
        </w:tc>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2</w:t>
            </w:r>
          </w:p>
        </w:tc>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3</w:t>
            </w:r>
          </w:p>
        </w:tc>
        <w:tc>
          <w:tcPr>
            <w:tcW w:w="1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5</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rFonts w:cs="Arial"/>
                <w:sz w:val="20"/>
                <w:szCs w:val="20"/>
              </w:rPr>
            </w:pPr>
            <w:r>
              <w:rPr>
                <w:rFonts w:cs="Arial"/>
                <w:sz w:val="20"/>
                <w:szCs w:val="20"/>
              </w:rPr>
            </w:r>
          </w:p>
        </w:tc>
        <w:tc>
          <w:tcPr>
            <w:tcW w:w="1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Number Western Legal Ownership</w:t>
            </w:r>
          </w:p>
        </w:tc>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0</w:t>
            </w:r>
          </w:p>
        </w:tc>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1</w:t>
            </w:r>
          </w:p>
        </w:tc>
        <w:tc>
          <w:tcPr>
            <w:tcW w:w="1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1</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Removals to Alice Springs by researchers owing to technical failures</w:t>
            </w:r>
          </w:p>
        </w:tc>
        <w:tc>
          <w:tcPr>
            <w:tcW w:w="1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Number Shared</w:t>
            </w:r>
          </w:p>
        </w:tc>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0</w:t>
            </w:r>
          </w:p>
        </w:tc>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1</w:t>
            </w:r>
          </w:p>
        </w:tc>
        <w:tc>
          <w:tcPr>
            <w:tcW w:w="1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1</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rFonts w:cs="Arial"/>
                <w:sz w:val="20"/>
                <w:szCs w:val="20"/>
              </w:rPr>
            </w:pPr>
            <w:r>
              <w:rPr>
                <w:rFonts w:cs="Arial"/>
                <w:sz w:val="20"/>
                <w:szCs w:val="20"/>
              </w:rPr>
            </w:r>
          </w:p>
        </w:tc>
        <w:tc>
          <w:tcPr>
            <w:tcW w:w="1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Number Nominally owned</w:t>
            </w:r>
          </w:p>
        </w:tc>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6</w:t>
            </w:r>
          </w:p>
        </w:tc>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1</w:t>
            </w:r>
          </w:p>
        </w:tc>
        <w:tc>
          <w:tcPr>
            <w:tcW w:w="1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7</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rFonts w:cs="Arial"/>
                <w:sz w:val="20"/>
                <w:szCs w:val="20"/>
              </w:rPr>
            </w:pPr>
            <w:r>
              <w:rPr>
                <w:rFonts w:cs="Arial"/>
                <w:sz w:val="20"/>
                <w:szCs w:val="20"/>
              </w:rPr>
            </w:r>
          </w:p>
        </w:tc>
        <w:tc>
          <w:tcPr>
            <w:tcW w:w="1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Number Western Legal Ownership</w:t>
            </w:r>
          </w:p>
        </w:tc>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3</w:t>
            </w:r>
          </w:p>
        </w:tc>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3</w:t>
            </w:r>
          </w:p>
        </w:tc>
        <w:tc>
          <w:tcPr>
            <w:tcW w:w="1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6</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Removals to locations outside of the community by participants</w:t>
            </w:r>
          </w:p>
        </w:tc>
        <w:tc>
          <w:tcPr>
            <w:tcW w:w="1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Number Shared</w:t>
            </w:r>
          </w:p>
        </w:tc>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0</w:t>
            </w:r>
          </w:p>
        </w:tc>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0</w:t>
            </w:r>
          </w:p>
        </w:tc>
        <w:tc>
          <w:tcPr>
            <w:tcW w:w="1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0</w:t>
            </w:r>
          </w:p>
        </w:tc>
      </w:tr>
      <w:tr>
        <w:trPr>
          <w:trHeight w:val="494" w:hRule="atLeast"/>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rFonts w:cs="Arial"/>
                <w:sz w:val="20"/>
                <w:szCs w:val="20"/>
              </w:rPr>
            </w:pPr>
            <w:r>
              <w:rPr>
                <w:rFonts w:cs="Arial"/>
                <w:sz w:val="20"/>
                <w:szCs w:val="20"/>
              </w:rPr>
            </w:r>
          </w:p>
        </w:tc>
        <w:tc>
          <w:tcPr>
            <w:tcW w:w="1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Number Nominally owned</w:t>
            </w:r>
          </w:p>
        </w:tc>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2</w:t>
            </w:r>
          </w:p>
        </w:tc>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0</w:t>
            </w:r>
          </w:p>
        </w:tc>
        <w:tc>
          <w:tcPr>
            <w:tcW w:w="1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sz w:val="20"/>
                <w:szCs w:val="20"/>
              </w:rPr>
              <w:t>2</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rFonts w:cs="Arial"/>
              </w:rPr>
            </w:pPr>
            <w:r>
              <w:rPr>
                <w:rFonts w:cs="Arial"/>
              </w:rPr>
            </w:r>
          </w:p>
        </w:tc>
        <w:tc>
          <w:tcPr>
            <w:tcW w:w="1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rPr>
              <w:t>Number Western Legal Ownership</w:t>
            </w:r>
          </w:p>
        </w:tc>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rPr>
              <w:t>1</w:t>
            </w:r>
          </w:p>
        </w:tc>
        <w:tc>
          <w:tcPr>
            <w:tcW w:w="1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rPr>
              <w:t>1</w:t>
            </w:r>
          </w:p>
        </w:tc>
        <w:tc>
          <w:tcPr>
            <w:tcW w:w="11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rFonts w:cs="Arial"/>
              </w:rPr>
              <w:t>2</w:t>
            </w:r>
          </w:p>
        </w:tc>
      </w:tr>
    </w:tbl>
    <w:p>
      <w:pPr>
        <w:pStyle w:val="Normal"/>
        <w:spacing w:lineRule="auto" w:line="276"/>
        <w:jc w:val="left"/>
        <w:rPr/>
      </w:pPr>
      <w:r>
        <w:rPr/>
      </w:r>
    </w:p>
    <w:p>
      <w:pPr>
        <w:pStyle w:val="Caption1"/>
        <w:keepNext/>
        <w:spacing w:lineRule="auto" w:line="276"/>
        <w:jc w:val="left"/>
        <w:rPr/>
      </w:pPr>
      <w:bookmarkStart w:id="11" w:name="_Toc445560899"/>
      <w:r>
        <w:rPr/>
        <w:t xml:space="preserve">Figure </w:t>
      </w:r>
      <w:r>
        <w:rPr/>
        <w:fldChar w:fldCharType="begin"/>
      </w:r>
      <w:r>
        <w:instrText> SEQ Figure \* ARABIC </w:instrText>
      </w:r>
      <w:r>
        <w:fldChar w:fldCharType="separate"/>
      </w:r>
      <w:r>
        <w:t>3</w:t>
      </w:r>
      <w:r>
        <w:fldChar w:fldCharType="end"/>
      </w:r>
      <w:bookmarkEnd w:id="11"/>
      <w:r>
        <w:rPr/>
        <w:t>: Inter and intra-comunity computer movements by residents and type of ownership at the time movement occurred, between July 2011 and August 2014, Imangara</w:t>
      </w:r>
    </w:p>
    <w:p>
      <w:pPr>
        <w:pStyle w:val="Normal"/>
        <w:spacing w:lineRule="auto" w:line="276"/>
        <w:jc w:val="left"/>
        <w:rPr/>
      </w:pPr>
      <w:r>
        <w:rPr>
          <w:rFonts w:cs="Arial"/>
        </w:rPr>
        <w:drawing>
          <wp:inline distT="0" distB="4445" distL="0" distR="9525">
            <wp:extent cx="5667375" cy="803465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5667375" cy="8034655"/>
                    </a:xfrm>
                    <a:prstGeom prst="rect">
                      <a:avLst/>
                    </a:prstGeom>
                  </pic:spPr>
                </pic:pic>
              </a:graphicData>
            </a:graphic>
          </wp:inline>
        </w:drawing>
      </w:r>
      <w:bookmarkStart w:id="12" w:name="_Toc419811706"/>
      <w:bookmarkStart w:id="13" w:name="_Toc419811505"/>
      <w:r>
        <w:rPr>
          <w:rFonts w:cs="Arial"/>
        </w:rPr>
        <w:t xml:space="preserve"> </w:t>
      </w:r>
      <w:r>
        <w:br w:type="page"/>
      </w:r>
    </w:p>
    <w:p>
      <w:pPr>
        <w:pStyle w:val="Heading2"/>
        <w:jc w:val="left"/>
        <w:rPr/>
      </w:pPr>
      <w:bookmarkStart w:id="14" w:name="_Toc318452862"/>
      <w:r>
        <w:rPr/>
        <w:t xml:space="preserve">Appendix 3: </w:t>
      </w:r>
      <w:bookmarkEnd w:id="12"/>
      <w:bookmarkEnd w:id="13"/>
      <w:bookmarkEnd w:id="14"/>
      <w:r>
        <w:rPr/>
        <w:t xml:space="preserve">Gender and Uses </w:t>
      </w:r>
    </w:p>
    <w:p>
      <w:pPr>
        <w:pStyle w:val="Caption1"/>
        <w:keepNext/>
        <w:spacing w:lineRule="auto" w:line="276"/>
        <w:jc w:val="left"/>
        <w:rPr/>
      </w:pPr>
      <w:r>
        <w:rPr/>
        <w:t xml:space="preserve">Figure </w:t>
      </w:r>
      <w:r>
        <w:rPr/>
        <w:fldChar w:fldCharType="begin"/>
      </w:r>
      <w:r>
        <w:instrText> SEQ Figure \* ARABIC </w:instrText>
      </w:r>
      <w:r>
        <w:fldChar w:fldCharType="separate"/>
      </w:r>
      <w:r>
        <w:t>4</w:t>
      </w:r>
      <w:r>
        <w:fldChar w:fldCharType="end"/>
      </w:r>
      <w:r>
        <w:rPr/>
        <w:t xml:space="preserve">: Gender and technical function. Source: </w:t>
      </w:r>
      <w:r>
        <w:rPr>
          <w:rFonts w:eastAsia="Calibri" w:cs="Calibri" w:eastAsiaTheme="minorHAnsi"/>
          <w:lang w:val="en-US"/>
        </w:rPr>
        <w:t xml:space="preserve">Seemann, Kurt W., Matthew Parnell, Stephen McFallan, and Selwyn Tucker. Housing for Livelihoods: The Lifecycle of Housing and Infrastructure through a Whole-of-System Approach in Remote Aboriginal Settlements. Vol. 29, Alice Springs: Desert Knowledge CRC, 2008 (Reproduced with permission of the author). </w:t>
      </w:r>
    </w:p>
    <w:p>
      <w:pPr>
        <w:pStyle w:val="Normal"/>
        <w:keepNext/>
        <w:spacing w:lineRule="auto" w:line="276"/>
        <w:jc w:val="left"/>
        <w:rPr/>
      </w:pPr>
      <w:r>
        <w:rPr/>
        <w:drawing>
          <wp:inline distT="0" distB="0" distL="0" distR="0">
            <wp:extent cx="4447540" cy="386905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6"/>
                    <a:srcRect l="0" t="0" r="0" b="7694"/>
                    <a:stretch>
                      <a:fillRect/>
                    </a:stretch>
                  </pic:blipFill>
                  <pic:spPr bwMode="auto">
                    <a:xfrm>
                      <a:off x="0" y="0"/>
                      <a:ext cx="4447540" cy="3869055"/>
                    </a:xfrm>
                    <a:prstGeom prst="rect">
                      <a:avLst/>
                    </a:prstGeom>
                  </pic:spPr>
                </pic:pic>
              </a:graphicData>
            </a:graphic>
          </wp:inline>
        </w:drawing>
      </w:r>
    </w:p>
    <w:p>
      <w:pPr>
        <w:pStyle w:val="Normal"/>
        <w:spacing w:lineRule="auto" w:line="276"/>
        <w:jc w:val="left"/>
        <w:rPr/>
      </w:pPr>
      <w:r>
        <w:rPr/>
      </w:r>
    </w:p>
    <w:p>
      <w:pPr>
        <w:pStyle w:val="Heading1"/>
        <w:spacing w:lineRule="auto" w:line="276"/>
        <w:jc w:val="left"/>
        <w:rPr>
          <w:rFonts w:ascii="Cambria" w:hAnsi="Cambria" w:cs="Arial"/>
        </w:rPr>
      </w:pPr>
      <w:r>
        <w:rPr>
          <w:rFonts w:cs="Arial" w:ascii="Cambria" w:hAnsi="Cambria"/>
        </w:rPr>
      </w:r>
    </w:p>
    <w:p>
      <w:pPr>
        <w:pStyle w:val="Caption1"/>
        <w:keepNext/>
        <w:spacing w:lineRule="auto" w:line="276"/>
        <w:jc w:val="left"/>
        <w:rPr/>
      </w:pPr>
      <w:bookmarkStart w:id="15" w:name="_Toc445560900"/>
      <w:r>
        <w:rPr/>
        <w:t xml:space="preserve">Figure </w:t>
      </w:r>
      <w:r>
        <w:rPr/>
        <w:fldChar w:fldCharType="begin"/>
      </w:r>
      <w:r>
        <w:instrText> SEQ Figure \* ARABIC </w:instrText>
      </w:r>
      <w:r>
        <w:fldChar w:fldCharType="separate"/>
      </w:r>
      <w:r>
        <w:t>5</w:t>
      </w:r>
      <w:r>
        <w:fldChar w:fldCharType="end"/>
      </w:r>
      <w:bookmarkEnd w:id="15"/>
      <w:r>
        <w:rPr/>
        <w:t>: Computer uses (number of users), November 2012</w:t>
      </w:r>
    </w:p>
    <w:p>
      <w:pPr>
        <w:pStyle w:val="Normal"/>
        <w:spacing w:lineRule="auto" w:line="276"/>
        <w:jc w:val="left"/>
        <w:rPr/>
      </w:pPr>
      <w:r>
        <w:rPr>
          <w:rFonts w:cs="Arial"/>
        </w:rPr>
        <w:drawing>
          <wp:inline distT="0" distB="0" distL="0" distR="0">
            <wp:extent cx="4733925" cy="2290445"/>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Caption1"/>
        <w:keepNext/>
        <w:spacing w:lineRule="auto" w:line="276"/>
        <w:jc w:val="left"/>
        <w:rPr/>
      </w:pPr>
      <w:bookmarkStart w:id="16" w:name="_Toc445560901"/>
      <w:r>
        <w:rPr/>
        <w:t xml:space="preserve">Figure </w:t>
      </w:r>
      <w:r>
        <w:rPr/>
        <w:fldChar w:fldCharType="begin"/>
      </w:r>
      <w:r>
        <w:instrText> SEQ Figure \* ARABIC </w:instrText>
      </w:r>
      <w:r>
        <w:fldChar w:fldCharType="separate"/>
      </w:r>
      <w:r>
        <w:t>6</w:t>
      </w:r>
      <w:r>
        <w:fldChar w:fldCharType="end"/>
      </w:r>
      <w:bookmarkEnd w:id="16"/>
      <w:r>
        <w:rPr/>
        <w:t>: Computer uses (minutes per day), November 2012</w:t>
      </w:r>
    </w:p>
    <w:p>
      <w:pPr>
        <w:pStyle w:val="Normal"/>
        <w:spacing w:lineRule="auto" w:line="276"/>
        <w:jc w:val="left"/>
        <w:rPr/>
      </w:pPr>
      <w:r>
        <w:rPr>
          <w:rFonts w:cs="Arial"/>
        </w:rPr>
        <w:drawing>
          <wp:inline distT="0" distB="0" distL="0" distR="0">
            <wp:extent cx="4733925" cy="2638425"/>
            <wp:effectExtent l="0" t="0" r="0" b="0"/>
            <wp:docPr id="6"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Caption1"/>
        <w:keepNext/>
        <w:spacing w:lineRule="auto" w:line="276"/>
        <w:jc w:val="left"/>
        <w:rPr/>
      </w:pPr>
      <w:bookmarkStart w:id="17" w:name="_Toc419811506"/>
      <w:bookmarkStart w:id="18" w:name="_Toc445560902"/>
      <w:bookmarkEnd w:id="17"/>
      <w:r>
        <w:rPr/>
        <w:t xml:space="preserve">Figure </w:t>
      </w:r>
      <w:r>
        <w:rPr/>
        <w:fldChar w:fldCharType="begin"/>
      </w:r>
      <w:r>
        <w:instrText> SEQ Figure \* ARABIC </w:instrText>
      </w:r>
      <w:r>
        <w:fldChar w:fldCharType="separate"/>
      </w:r>
      <w:r>
        <w:t>7</w:t>
      </w:r>
      <w:r>
        <w:fldChar w:fldCharType="end"/>
      </w:r>
      <w:bookmarkEnd w:id="18"/>
      <w:r>
        <w:rPr/>
        <w:t>: Who uses the computer most often?</w:t>
      </w:r>
    </w:p>
    <w:p>
      <w:pPr>
        <w:pStyle w:val="HIPmonographstyle"/>
        <w:spacing w:lineRule="auto" w:line="276"/>
        <w:jc w:val="left"/>
        <w:rPr/>
      </w:pPr>
      <w:bookmarkStart w:id="19" w:name="_Toc419811506"/>
      <w:bookmarkEnd w:id="19"/>
      <w:r>
        <w:rPr>
          <w:rFonts w:ascii="Cambria" w:hAnsi="Cambria"/>
        </w:rPr>
        <w:drawing>
          <wp:inline distT="0" distB="0" distL="0" distR="0">
            <wp:extent cx="4686300" cy="2400300"/>
            <wp:effectExtent l="0" t="0" r="0" b="0"/>
            <wp:docPr id="7"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spacing w:lineRule="auto" w:line="276"/>
        <w:jc w:val="left"/>
        <w:rPr/>
      </w:pPr>
      <w:r>
        <w:rPr/>
      </w:r>
    </w:p>
    <w:p>
      <w:pPr>
        <w:pStyle w:val="Caption1"/>
        <w:keepNext/>
        <w:spacing w:lineRule="auto" w:line="276"/>
        <w:jc w:val="left"/>
        <w:rPr/>
      </w:pPr>
      <w:bookmarkStart w:id="20" w:name="_Toc445560903"/>
      <w:r>
        <w:rPr/>
        <w:t xml:space="preserve">Figure </w:t>
      </w:r>
      <w:r>
        <w:rPr/>
        <w:fldChar w:fldCharType="begin"/>
      </w:r>
      <w:r>
        <w:instrText> SEQ Figure \* ARABIC </w:instrText>
      </w:r>
      <w:r>
        <w:fldChar w:fldCharType="separate"/>
      </w:r>
      <w:r>
        <w:t>8</w:t>
      </w:r>
      <w:r>
        <w:fldChar w:fldCharType="end"/>
      </w:r>
      <w:bookmarkEnd w:id="20"/>
      <w:r>
        <w:rPr/>
        <w:t>: Women's top five ICT activities</w:t>
      </w:r>
    </w:p>
    <w:p>
      <w:pPr>
        <w:pStyle w:val="Normal"/>
        <w:spacing w:lineRule="auto" w:line="276"/>
        <w:jc w:val="left"/>
        <w:rPr/>
      </w:pPr>
      <w:r>
        <w:rPr>
          <w:rFonts w:cs="Arial"/>
        </w:rPr>
        <w:drawing>
          <wp:inline distT="0" distB="0" distL="0" distR="0">
            <wp:extent cx="4819650" cy="2028825"/>
            <wp:effectExtent l="0" t="0" r="0" b="0"/>
            <wp:docPr id="8"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spacing w:lineRule="auto" w:line="276"/>
        <w:jc w:val="left"/>
        <w:rPr>
          <w:rFonts w:cs="Arial"/>
        </w:rPr>
      </w:pPr>
      <w:r>
        <w:rPr>
          <w:rFonts w:cs="Arial"/>
        </w:rPr>
      </w:r>
    </w:p>
    <w:p>
      <w:pPr>
        <w:pStyle w:val="Caption1"/>
        <w:keepNext/>
        <w:spacing w:lineRule="auto" w:line="276"/>
        <w:jc w:val="left"/>
        <w:rPr/>
      </w:pPr>
      <w:bookmarkStart w:id="21" w:name="_Toc445560904"/>
      <w:r>
        <w:rPr/>
        <w:t xml:space="preserve">Figure </w:t>
      </w:r>
      <w:r>
        <w:rPr/>
        <w:fldChar w:fldCharType="begin"/>
      </w:r>
      <w:r>
        <w:instrText> SEQ Figure \* ARABIC </w:instrText>
      </w:r>
      <w:r>
        <w:fldChar w:fldCharType="separate"/>
      </w:r>
      <w:r>
        <w:t>9</w:t>
      </w:r>
      <w:r>
        <w:fldChar w:fldCharType="end"/>
      </w:r>
      <w:bookmarkEnd w:id="21"/>
      <w:r>
        <w:rPr/>
        <w:t>: Men's top five ICT activities</w:t>
      </w:r>
    </w:p>
    <w:p>
      <w:pPr>
        <w:pStyle w:val="Normal"/>
        <w:spacing w:lineRule="auto" w:line="276"/>
        <w:jc w:val="left"/>
        <w:rPr/>
      </w:pPr>
      <w:r>
        <w:rPr>
          <w:rFonts w:cs="Arial"/>
        </w:rPr>
        <w:drawing>
          <wp:inline distT="0" distB="0" distL="0" distR="0">
            <wp:extent cx="4781550" cy="2343150"/>
            <wp:effectExtent l="0" t="0" r="0" b="0"/>
            <wp:docPr id="9"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Caption1"/>
        <w:keepNext/>
        <w:spacing w:lineRule="auto" w:line="276"/>
        <w:jc w:val="left"/>
        <w:rPr/>
      </w:pPr>
      <w:bookmarkStart w:id="22" w:name="_Toc445560905"/>
      <w:r>
        <w:rPr/>
        <w:t xml:space="preserve">Figure </w:t>
      </w:r>
      <w:r>
        <w:rPr/>
        <w:fldChar w:fldCharType="begin"/>
      </w:r>
      <w:r>
        <w:instrText> SEQ Figure \* ARABIC </w:instrText>
      </w:r>
      <w:r>
        <w:fldChar w:fldCharType="separate"/>
      </w:r>
      <w:r>
        <w:t>10</w:t>
      </w:r>
      <w:r>
        <w:fldChar w:fldCharType="end"/>
      </w:r>
      <w:bookmarkEnd w:id="22"/>
      <w:r>
        <w:rPr/>
        <w:t>: How participants learned new tasks</w:t>
      </w:r>
    </w:p>
    <w:p>
      <w:pPr>
        <w:pStyle w:val="Normal"/>
        <w:spacing w:lineRule="auto" w:line="276"/>
        <w:jc w:val="left"/>
        <w:rPr/>
      </w:pPr>
      <w:r>
        <w:rPr/>
        <w:drawing>
          <wp:inline distT="0" distB="0" distL="0" distR="0">
            <wp:extent cx="5353050" cy="2948305"/>
            <wp:effectExtent l="0" t="0" r="0" b="0"/>
            <wp:docPr id="10"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Caption1"/>
        <w:keepNext/>
        <w:spacing w:lineRule="auto" w:line="276"/>
        <w:jc w:val="left"/>
        <w:rPr/>
      </w:pPr>
      <w:bookmarkStart w:id="23" w:name="_Toc445560906"/>
      <w:r>
        <w:rPr/>
        <w:t xml:space="preserve">Figure </w:t>
      </w:r>
      <w:r>
        <w:rPr/>
        <w:fldChar w:fldCharType="begin"/>
      </w:r>
      <w:r>
        <w:instrText> SEQ Figure \* ARABIC </w:instrText>
      </w:r>
      <w:r>
        <w:fldChar w:fldCharType="separate"/>
      </w:r>
      <w:r>
        <w:t>11</w:t>
      </w:r>
      <w:r>
        <w:fldChar w:fldCharType="end"/>
      </w:r>
      <w:bookmarkEnd w:id="23"/>
      <w:r>
        <w:rPr/>
        <w:t>: Percentage of each task type requested by learners or suggested by researchers</w:t>
      </w:r>
    </w:p>
    <w:p>
      <w:pPr>
        <w:pStyle w:val="Normal"/>
        <w:spacing w:lineRule="auto" w:line="276"/>
        <w:jc w:val="left"/>
        <w:rPr/>
      </w:pPr>
      <w:r>
        <w:rPr/>
        <w:drawing>
          <wp:inline distT="0" distB="0" distL="0" distR="0">
            <wp:extent cx="4505325" cy="2571750"/>
            <wp:effectExtent l="0" t="0" r="0" b="0"/>
            <wp:docPr id="11"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spacing w:lineRule="auto" w:line="276"/>
        <w:jc w:val="left"/>
        <w:rPr/>
      </w:pPr>
      <w:r>
        <w:rPr/>
      </w:r>
    </w:p>
    <w:p>
      <w:pPr>
        <w:pStyle w:val="Caption1"/>
        <w:keepNext/>
        <w:spacing w:lineRule="auto" w:line="276"/>
        <w:jc w:val="left"/>
        <w:rPr/>
      </w:pPr>
      <w:bookmarkStart w:id="24" w:name="_Toc445560907"/>
      <w:r>
        <w:rPr/>
        <w:t xml:space="preserve">Figure </w:t>
      </w:r>
      <w:r>
        <w:rPr/>
        <w:fldChar w:fldCharType="begin"/>
      </w:r>
      <w:r>
        <w:instrText> SEQ Figure \* ARABIC </w:instrText>
      </w:r>
      <w:r>
        <w:fldChar w:fldCharType="separate"/>
      </w:r>
      <w:r>
        <w:t>12</w:t>
      </w:r>
      <w:r>
        <w:fldChar w:fldCharType="end"/>
      </w:r>
      <w:bookmarkEnd w:id="24"/>
      <w:r>
        <w:rPr/>
        <w:t>: Frequency of the different types of learning tasks illustrated as a percentage of all learning opportunities during fieldtrips</w:t>
      </w:r>
    </w:p>
    <w:p>
      <w:pPr>
        <w:pStyle w:val="Normal"/>
        <w:spacing w:lineRule="auto" w:line="276"/>
        <w:jc w:val="left"/>
        <w:rPr/>
      </w:pPr>
      <w:r>
        <w:rPr>
          <w:rFonts w:cs="Arial"/>
          <w:lang w:val="en-US"/>
        </w:rPr>
        <w:drawing>
          <wp:inline distT="0" distB="0" distL="0" distR="0">
            <wp:extent cx="4467225" cy="2243455"/>
            <wp:effectExtent l="0" t="0" r="0" b="0"/>
            <wp:docPr id="12"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spacing w:lineRule="auto" w:line="276"/>
        <w:jc w:val="left"/>
        <w:rPr/>
      </w:pPr>
      <w:r>
        <w:rPr/>
      </w:r>
      <w:r>
        <w:br w:type="page"/>
      </w:r>
    </w:p>
    <w:p>
      <w:pPr>
        <w:pStyle w:val="Normal"/>
        <w:spacing w:lineRule="auto" w:line="276"/>
        <w:jc w:val="left"/>
        <w:rPr>
          <w:rFonts w:eastAsia="Yu Gothic Light" w:cs="" w:cstheme="majorBidi" w:eastAsiaTheme="majorEastAsia"/>
          <w:b/>
          <w:b/>
          <w:bCs/>
          <w:color w:val="2E74B5" w:themeColor="accent1" w:themeShade="bf"/>
        </w:rPr>
      </w:pPr>
      <w:bookmarkStart w:id="25" w:name="_Toc419811707"/>
      <w:bookmarkStart w:id="26" w:name="_Toc419811507"/>
      <w:bookmarkStart w:id="27" w:name="_Toc419811707"/>
      <w:bookmarkStart w:id="28" w:name="_Toc419811507"/>
      <w:r>
        <w:rPr>
          <w:rFonts w:eastAsia="Yu Gothic Light" w:cs="" w:cstheme="majorBidi" w:eastAsiaTheme="majorEastAsia"/>
          <w:b/>
          <w:bCs/>
          <w:color w:val="2E74B5" w:themeColor="accent1" w:themeShade="bf"/>
        </w:rPr>
      </w:r>
    </w:p>
    <w:p>
      <w:pPr>
        <w:pStyle w:val="Heading2"/>
        <w:jc w:val="left"/>
        <w:rPr/>
      </w:pPr>
      <w:bookmarkStart w:id="29" w:name="_Toc419811707"/>
      <w:bookmarkStart w:id="30" w:name="_Toc419811507"/>
      <w:bookmarkStart w:id="31" w:name="_Toc318452863"/>
      <w:bookmarkStart w:id="32" w:name="_GoBack"/>
      <w:bookmarkEnd w:id="32"/>
      <w:bookmarkEnd w:id="29"/>
      <w:bookmarkEnd w:id="30"/>
      <w:bookmarkEnd w:id="31"/>
      <w:r>
        <w:rPr/>
        <w:t>Appendix 4: ICT Program Models and their Features</w:t>
      </w:r>
    </w:p>
    <w:p>
      <w:pPr>
        <w:pStyle w:val="Caption1"/>
        <w:spacing w:lineRule="auto" w:line="276"/>
        <w:jc w:val="left"/>
        <w:rPr/>
      </w:pPr>
      <w:bookmarkStart w:id="33" w:name="_Toc445560908"/>
      <w:r>
        <w:rPr/>
        <w:t xml:space="preserve">Table </w:t>
      </w:r>
      <w:r>
        <w:rPr/>
        <w:fldChar w:fldCharType="begin"/>
      </w:r>
      <w:r>
        <w:instrText> SEQ Table \* ARABIC </w:instrText>
      </w:r>
      <w:r>
        <w:fldChar w:fldCharType="separate"/>
      </w:r>
      <w:r>
        <w:t>4</w:t>
      </w:r>
      <w:r>
        <w:fldChar w:fldCharType="end"/>
      </w:r>
      <w:bookmarkEnd w:id="33"/>
      <w:r>
        <w:rPr/>
        <w:t>: Three community computing program models and their features</w:t>
      </w:r>
    </w:p>
    <w:tbl>
      <w:tblPr>
        <w:tblW w:w="923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005"/>
        <w:gridCol w:w="2286"/>
        <w:gridCol w:w="2455"/>
        <w:gridCol w:w="2489"/>
      </w:tblGrid>
      <w:tr>
        <w:trPr>
          <w:tblHeader w:val="true"/>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Feature</w:t>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w:t>
            </w:r>
            <w:r>
              <w:rPr>
                <w:b/>
                <w:sz w:val="20"/>
                <w:szCs w:val="20"/>
              </w:rPr>
              <w:t>Home Computing’</w:t>
            </w:r>
          </w:p>
          <w:p>
            <w:pPr>
              <w:pStyle w:val="Normal"/>
              <w:spacing w:lineRule="auto" w:line="276"/>
              <w:jc w:val="left"/>
              <w:rPr/>
            </w:pPr>
            <w:r>
              <w:rPr>
                <w:b/>
                <w:sz w:val="20"/>
                <w:szCs w:val="20"/>
              </w:rPr>
              <w:t>Model</w:t>
            </w:r>
          </w:p>
          <w:p>
            <w:pPr>
              <w:pStyle w:val="Normal"/>
              <w:spacing w:lineRule="auto" w:line="276"/>
              <w:jc w:val="left"/>
              <w:rPr/>
            </w:pPr>
            <w:r>
              <w:rPr>
                <w:b/>
                <w:sz w:val="20"/>
                <w:szCs w:val="20"/>
              </w:rPr>
              <w:t>(distributed internet facilities and computer in each household)</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w:t>
            </w:r>
            <w:r>
              <w:rPr>
                <w:b/>
                <w:sz w:val="20"/>
                <w:szCs w:val="20"/>
              </w:rPr>
              <w:t>Community Wi Fi’</w:t>
            </w:r>
          </w:p>
          <w:p>
            <w:pPr>
              <w:pStyle w:val="Normal"/>
              <w:spacing w:lineRule="auto" w:line="276"/>
              <w:jc w:val="left"/>
              <w:rPr/>
            </w:pPr>
            <w:r>
              <w:rPr>
                <w:b/>
                <w:sz w:val="20"/>
                <w:szCs w:val="20"/>
              </w:rPr>
              <w:t xml:space="preserve"> </w:t>
            </w:r>
            <w:r>
              <w:rPr>
                <w:b/>
                <w:sz w:val="20"/>
                <w:szCs w:val="20"/>
              </w:rPr>
              <w:t>model</w:t>
            </w:r>
          </w:p>
          <w:p>
            <w:pPr>
              <w:pStyle w:val="Normal"/>
              <w:spacing w:lineRule="auto" w:line="276"/>
              <w:jc w:val="left"/>
              <w:rPr/>
            </w:pPr>
            <w:r>
              <w:rPr>
                <w:b/>
                <w:sz w:val="20"/>
                <w:szCs w:val="20"/>
              </w:rPr>
              <w:t>(centralized internet facilities with users connecting to those using WiFi capable computing devices)</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w:t>
            </w:r>
            <w:r>
              <w:rPr>
                <w:b/>
                <w:sz w:val="20"/>
                <w:szCs w:val="20"/>
              </w:rPr>
              <w:t>Community Internet Access Center’ model</w:t>
            </w:r>
          </w:p>
          <w:p>
            <w:pPr>
              <w:pStyle w:val="Normal"/>
              <w:spacing w:lineRule="auto" w:line="276"/>
              <w:jc w:val="left"/>
              <w:rPr/>
            </w:pPr>
            <w:r>
              <w:rPr>
                <w:b/>
                <w:sz w:val="20"/>
                <w:szCs w:val="20"/>
              </w:rPr>
              <w:t>(centralized internet facilities and computers in a supervised room within a community building)</w:t>
            </w:r>
          </w:p>
          <w:p>
            <w:pPr>
              <w:pStyle w:val="Normal"/>
              <w:spacing w:lineRule="auto" w:line="276"/>
              <w:jc w:val="left"/>
              <w:rPr>
                <w:b/>
                <w:b/>
                <w:sz w:val="20"/>
                <w:szCs w:val="20"/>
              </w:rPr>
            </w:pPr>
            <w:r>
              <w:rPr>
                <w:b/>
                <w:sz w:val="20"/>
                <w:szCs w:val="20"/>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Typical funding model</w:t>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External funder pays for individual internet connections and computing devices; households pay own internet access fees</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External funder pays for internet access and WiFi facilities; users supply their own computing devices</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ind w:left="-43" w:hanging="0"/>
              <w:jc w:val="left"/>
              <w:rPr/>
            </w:pPr>
            <w:r>
              <w:rPr>
                <w:sz w:val="20"/>
                <w:szCs w:val="20"/>
              </w:rPr>
              <w:t xml:space="preserve">External funder pays for all facilities and supervision </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Capital costs</w:t>
            </w:r>
          </w:p>
          <w:p>
            <w:pPr>
              <w:pStyle w:val="Normal"/>
              <w:spacing w:lineRule="auto" w:line="276"/>
              <w:jc w:val="left"/>
              <w:rPr>
                <w:b/>
                <w:b/>
                <w:sz w:val="20"/>
                <w:szCs w:val="20"/>
              </w:rPr>
            </w:pPr>
            <w:r>
              <w:rPr>
                <w:b/>
                <w:sz w:val="20"/>
                <w:szCs w:val="20"/>
              </w:rPr>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High aggregate cost for individual satellite internet connections and computer hardware at all households</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1"/>
              </w:numPr>
              <w:spacing w:lineRule="auto" w:line="276" w:before="0" w:after="0"/>
              <w:ind w:left="415" w:hanging="360"/>
              <w:jc w:val="left"/>
              <w:rPr/>
            </w:pPr>
            <w:r>
              <w:rPr>
                <w:sz w:val="20"/>
                <w:szCs w:val="20"/>
              </w:rPr>
              <w:t>Medium cost for shared local area network hardware and satellite internet connection at community level</w:t>
            </w:r>
          </w:p>
          <w:p>
            <w:pPr>
              <w:pStyle w:val="Normal"/>
              <w:numPr>
                <w:ilvl w:val="0"/>
                <w:numId w:val="1"/>
              </w:numPr>
              <w:spacing w:lineRule="auto" w:line="276" w:before="0" w:after="0"/>
              <w:ind w:left="415" w:hanging="360"/>
              <w:jc w:val="left"/>
              <w:rPr/>
            </w:pPr>
            <w:r>
              <w:rPr>
                <w:sz w:val="20"/>
                <w:szCs w:val="20"/>
              </w:rPr>
              <w:t>High costs to users for computer hardware</w:t>
            </w:r>
          </w:p>
          <w:p>
            <w:pPr>
              <w:pStyle w:val="Normal"/>
              <w:spacing w:lineRule="auto" w:line="276"/>
              <w:jc w:val="left"/>
              <w:rPr>
                <w:sz w:val="20"/>
                <w:szCs w:val="20"/>
              </w:rPr>
            </w:pPr>
            <w:r>
              <w:rPr>
                <w:sz w:val="20"/>
                <w:szCs w:val="20"/>
              </w:rPr>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1"/>
              </w:numPr>
              <w:spacing w:lineRule="auto" w:line="276" w:before="0" w:after="0"/>
              <w:ind w:left="415" w:hanging="360"/>
              <w:jc w:val="left"/>
              <w:rPr/>
            </w:pPr>
            <w:r>
              <w:rPr>
                <w:sz w:val="20"/>
                <w:szCs w:val="20"/>
              </w:rPr>
              <w:t>Medium cost for centralized shared satellite internet access and PC hardware in single building</w:t>
            </w:r>
          </w:p>
          <w:p>
            <w:pPr>
              <w:pStyle w:val="Normal"/>
              <w:numPr>
                <w:ilvl w:val="0"/>
                <w:numId w:val="1"/>
              </w:numPr>
              <w:spacing w:lineRule="auto" w:line="276" w:before="0" w:after="0"/>
              <w:ind w:left="415" w:hanging="360"/>
              <w:jc w:val="left"/>
              <w:rPr/>
            </w:pPr>
            <w:r>
              <w:rPr>
                <w:sz w:val="20"/>
                <w:szCs w:val="20"/>
              </w:rPr>
              <w:t>High building cost (</w:t>
            </w:r>
            <w:r>
              <w:rPr>
                <w:sz w:val="20"/>
                <w:szCs w:val="20"/>
                <w:u w:val="single"/>
              </w:rPr>
              <w:t>either</w:t>
            </w:r>
            <w:r>
              <w:rPr>
                <w:sz w:val="20"/>
                <w:szCs w:val="20"/>
              </w:rPr>
              <w:t xml:space="preserve"> capital cost for new building </w:t>
            </w:r>
            <w:r>
              <w:rPr>
                <w:sz w:val="20"/>
                <w:szCs w:val="20"/>
                <w:u w:val="single"/>
              </w:rPr>
              <w:t>or</w:t>
            </w:r>
            <w:r>
              <w:rPr>
                <w:sz w:val="20"/>
                <w:szCs w:val="20"/>
              </w:rPr>
              <w:t xml:space="preserve"> ongoing rental cost for existing building)</w:t>
            </w:r>
          </w:p>
          <w:p>
            <w:pPr>
              <w:pStyle w:val="Normal"/>
              <w:spacing w:lineRule="auto" w:line="276"/>
              <w:ind w:left="-43" w:hanging="0"/>
              <w:jc w:val="left"/>
              <w:rPr>
                <w:sz w:val="20"/>
                <w:szCs w:val="20"/>
              </w:rPr>
            </w:pPr>
            <w:r>
              <w:rPr>
                <w:sz w:val="20"/>
                <w:szCs w:val="20"/>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Operational costs</w:t>
            </w:r>
          </w:p>
          <w:p>
            <w:pPr>
              <w:pStyle w:val="Normal"/>
              <w:spacing w:lineRule="auto" w:line="276"/>
              <w:jc w:val="left"/>
              <w:rPr>
                <w:b/>
                <w:b/>
                <w:sz w:val="20"/>
                <w:szCs w:val="20"/>
              </w:rPr>
            </w:pPr>
            <w:r>
              <w:rPr>
                <w:b/>
                <w:sz w:val="20"/>
                <w:szCs w:val="20"/>
              </w:rPr>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Paragraph"/>
              <w:numPr>
                <w:ilvl w:val="0"/>
                <w:numId w:val="2"/>
              </w:numPr>
              <w:spacing w:lineRule="auto" w:line="276" w:before="0" w:after="0"/>
              <w:ind w:left="315" w:hanging="360"/>
              <w:jc w:val="left"/>
              <w:rPr/>
            </w:pPr>
            <w:r>
              <w:rPr>
                <w:sz w:val="20"/>
                <w:szCs w:val="20"/>
              </w:rPr>
              <w:t>High aggregate internet access charges</w:t>
            </w:r>
          </w:p>
          <w:p>
            <w:pPr>
              <w:pStyle w:val="ListParagraph"/>
              <w:numPr>
                <w:ilvl w:val="0"/>
                <w:numId w:val="2"/>
              </w:numPr>
              <w:spacing w:lineRule="auto" w:line="276" w:before="0" w:after="0"/>
              <w:ind w:left="315" w:hanging="360"/>
              <w:jc w:val="left"/>
              <w:rPr/>
            </w:pPr>
            <w:r>
              <w:rPr>
                <w:sz w:val="20"/>
                <w:szCs w:val="20"/>
              </w:rPr>
              <w:t>High maintenance costs for computing devices (borne by user)</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Paragraph"/>
              <w:numPr>
                <w:ilvl w:val="0"/>
                <w:numId w:val="2"/>
              </w:numPr>
              <w:spacing w:lineRule="auto" w:line="276" w:before="0" w:after="0"/>
              <w:ind w:left="459" w:hanging="360"/>
              <w:jc w:val="left"/>
              <w:rPr/>
            </w:pPr>
            <w:r>
              <w:rPr>
                <w:sz w:val="20"/>
                <w:szCs w:val="20"/>
              </w:rPr>
              <w:t>Medium internet access charges</w:t>
            </w:r>
          </w:p>
          <w:p>
            <w:pPr>
              <w:pStyle w:val="ListParagraph"/>
              <w:numPr>
                <w:ilvl w:val="0"/>
                <w:numId w:val="2"/>
              </w:numPr>
              <w:spacing w:lineRule="auto" w:line="276" w:before="0" w:after="0"/>
              <w:ind w:left="459" w:hanging="360"/>
              <w:jc w:val="left"/>
              <w:rPr/>
            </w:pPr>
            <w:r>
              <w:rPr>
                <w:sz w:val="20"/>
                <w:szCs w:val="20"/>
              </w:rPr>
              <w:t>Low network maintenance costs</w:t>
            </w:r>
          </w:p>
          <w:p>
            <w:pPr>
              <w:pStyle w:val="ListParagraph"/>
              <w:numPr>
                <w:ilvl w:val="0"/>
                <w:numId w:val="2"/>
              </w:numPr>
              <w:spacing w:lineRule="auto" w:line="276" w:before="0" w:after="0"/>
              <w:ind w:left="459" w:hanging="360"/>
              <w:jc w:val="left"/>
              <w:rPr/>
            </w:pPr>
            <w:r>
              <w:rPr>
                <w:sz w:val="20"/>
                <w:szCs w:val="20"/>
              </w:rPr>
              <w:t>High maintenance costs for computing devices (borne by user)</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3"/>
              </w:numPr>
              <w:spacing w:lineRule="auto" w:line="276" w:before="0" w:after="0"/>
              <w:ind w:left="459" w:hanging="360"/>
              <w:jc w:val="left"/>
              <w:rPr/>
            </w:pPr>
            <w:r>
              <w:rPr>
                <w:sz w:val="20"/>
                <w:szCs w:val="20"/>
              </w:rPr>
              <w:t>Medium internet access charges</w:t>
            </w:r>
          </w:p>
          <w:p>
            <w:pPr>
              <w:pStyle w:val="ListParagraph"/>
              <w:numPr>
                <w:ilvl w:val="0"/>
                <w:numId w:val="3"/>
              </w:numPr>
              <w:spacing w:lineRule="auto" w:line="276" w:before="0" w:after="0"/>
              <w:ind w:left="459" w:hanging="360"/>
              <w:jc w:val="left"/>
              <w:rPr/>
            </w:pPr>
            <w:r>
              <w:rPr>
                <w:sz w:val="20"/>
                <w:szCs w:val="20"/>
              </w:rPr>
              <w:t>Low network maintenance costs</w:t>
            </w:r>
          </w:p>
          <w:p>
            <w:pPr>
              <w:pStyle w:val="ListParagraph"/>
              <w:numPr>
                <w:ilvl w:val="0"/>
                <w:numId w:val="3"/>
              </w:numPr>
              <w:spacing w:lineRule="auto" w:line="276" w:before="0" w:after="0"/>
              <w:ind w:left="459" w:hanging="360"/>
              <w:jc w:val="left"/>
              <w:rPr/>
            </w:pPr>
            <w:r>
              <w:rPr>
                <w:sz w:val="20"/>
                <w:szCs w:val="20"/>
              </w:rPr>
              <w:t>Low maintenance costs for computing devices</w:t>
            </w:r>
          </w:p>
          <w:p>
            <w:pPr>
              <w:pStyle w:val="Normal"/>
              <w:numPr>
                <w:ilvl w:val="0"/>
                <w:numId w:val="3"/>
              </w:numPr>
              <w:spacing w:lineRule="auto" w:line="276" w:before="0" w:after="0"/>
              <w:ind w:left="459" w:hanging="360"/>
              <w:jc w:val="left"/>
              <w:rPr/>
            </w:pPr>
            <w:r>
              <w:rPr>
                <w:sz w:val="20"/>
                <w:szCs w:val="20"/>
              </w:rPr>
              <w:t>Very high supervision cost, including supervisor accommodation</w:t>
            </w:r>
          </w:p>
          <w:p>
            <w:pPr>
              <w:pStyle w:val="Normal"/>
              <w:numPr>
                <w:ilvl w:val="0"/>
                <w:numId w:val="3"/>
              </w:numPr>
              <w:spacing w:lineRule="auto" w:line="276" w:before="0" w:after="0"/>
              <w:ind w:left="459" w:hanging="360"/>
              <w:jc w:val="left"/>
              <w:rPr/>
            </w:pPr>
            <w:r>
              <w:rPr>
                <w:sz w:val="20"/>
                <w:szCs w:val="20"/>
              </w:rPr>
              <w:t>Variable building maintenance costs</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Overall costs</w:t>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High</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Medium</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High</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Focus</w:t>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Family centered</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Individual user</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Individual user or small groups</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Suitability for mixed gender use</w:t>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Yes, but the model may encourage use along gender lines i.e. that the women are responsible for managing and paying for it</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Yes, but care needed with placement</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Group(s) of one gender may dominate use, making the other reluctant to use the facility</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Suitability for young children</w:t>
            </w:r>
          </w:p>
          <w:p>
            <w:pPr>
              <w:pStyle w:val="Normal"/>
              <w:spacing w:lineRule="auto" w:line="276"/>
              <w:jc w:val="left"/>
              <w:rPr>
                <w:b/>
                <w:b/>
                <w:sz w:val="20"/>
                <w:szCs w:val="20"/>
              </w:rPr>
            </w:pPr>
            <w:r>
              <w:rPr>
                <w:b/>
                <w:sz w:val="20"/>
                <w:szCs w:val="20"/>
              </w:rPr>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 xml:space="preserve">Yes </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No – access to portable devices unlikely</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Yes, with parental supervision</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 xml:space="preserve">Facilitating school learning </w:t>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School student friendly with parental support</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Limited</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Collateral support for schooling with teacher and supervisor collaboration</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Suitability for</w:t>
            </w:r>
          </w:p>
          <w:p>
            <w:pPr>
              <w:pStyle w:val="Normal"/>
              <w:spacing w:lineRule="auto" w:line="276"/>
              <w:jc w:val="left"/>
              <w:rPr/>
            </w:pPr>
            <w:r>
              <w:rPr>
                <w:b/>
                <w:sz w:val="20"/>
                <w:szCs w:val="20"/>
              </w:rPr>
              <w:t>older residents</w:t>
            </w:r>
          </w:p>
          <w:p>
            <w:pPr>
              <w:pStyle w:val="Normal"/>
              <w:spacing w:lineRule="auto" w:line="276"/>
              <w:jc w:val="left"/>
              <w:rPr>
                <w:b/>
                <w:b/>
                <w:sz w:val="20"/>
                <w:szCs w:val="20"/>
              </w:rPr>
            </w:pPr>
            <w:r>
              <w:rPr>
                <w:b/>
                <w:sz w:val="20"/>
                <w:szCs w:val="20"/>
              </w:rPr>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Yes</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Limited – familiarity with mobile computing devices less likely</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Group(s) of younger users may dominate use, making older people reluctant to use the facility. Physical access (walking distance) may also be an issue.</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Compatibility with capacity offered by NBN satellite consumer services?</w:t>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High</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Medium – multiple satellite services may be needed</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Medium – multiple satellite services may be needed</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Reliability of network services and equipment</w:t>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High</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High</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High</w:t>
            </w:r>
          </w:p>
          <w:p>
            <w:pPr>
              <w:pStyle w:val="Normal"/>
              <w:spacing w:lineRule="auto" w:line="276"/>
              <w:jc w:val="left"/>
              <w:rPr>
                <w:sz w:val="20"/>
                <w:szCs w:val="20"/>
              </w:rPr>
            </w:pPr>
            <w:r>
              <w:rPr>
                <w:sz w:val="20"/>
                <w:szCs w:val="20"/>
              </w:rPr>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Reliability of computing devices</w:t>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Low – exposed to home environment</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Low – exposed to outdoor environment</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High – assisted by physical environment and supervision</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Suitability for high level of resident mobility between households?</w:t>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Low</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High – supports portable devices</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 xml:space="preserve">Varies depending on where residents move to </w:t>
            </w:r>
          </w:p>
        </w:tc>
      </w:tr>
      <w:tr>
        <w:trPr/>
        <w:tc>
          <w:tcPr>
            <w:tcW w:w="2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108" w:type="dxa"/>
            </w:tcMar>
          </w:tcPr>
          <w:p>
            <w:pPr>
              <w:pStyle w:val="Normal"/>
              <w:spacing w:lineRule="auto" w:line="276"/>
              <w:jc w:val="left"/>
              <w:rPr/>
            </w:pPr>
            <w:r>
              <w:rPr>
                <w:b/>
                <w:sz w:val="20"/>
                <w:szCs w:val="20"/>
              </w:rPr>
              <w:t>Limitations</w:t>
            </w:r>
          </w:p>
        </w:tc>
        <w:tc>
          <w:tcPr>
            <w:tcW w:w="2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lineRule="auto" w:line="276"/>
              <w:jc w:val="left"/>
              <w:rPr/>
            </w:pPr>
            <w:r>
              <w:rPr>
                <w:sz w:val="20"/>
                <w:szCs w:val="20"/>
              </w:rPr>
              <w:t>Home environment often not suitable for care of computing hardware (PC, printer)</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4"/>
              </w:numPr>
              <w:spacing w:lineRule="auto" w:line="276" w:before="0" w:after="0"/>
              <w:ind w:left="273" w:hanging="360"/>
              <w:jc w:val="left"/>
              <w:rPr/>
            </w:pPr>
            <w:r>
              <w:rPr>
                <w:sz w:val="20"/>
                <w:szCs w:val="20"/>
              </w:rPr>
              <w:t>Multiple WiFi Access Points required for larger communities</w:t>
            </w:r>
          </w:p>
          <w:p>
            <w:pPr>
              <w:pStyle w:val="Normal"/>
              <w:numPr>
                <w:ilvl w:val="0"/>
                <w:numId w:val="4"/>
              </w:numPr>
              <w:spacing w:lineRule="auto" w:line="276" w:before="0" w:after="0"/>
              <w:ind w:left="273" w:hanging="360"/>
              <w:jc w:val="left"/>
              <w:rPr/>
            </w:pPr>
            <w:r>
              <w:rPr>
                <w:sz w:val="20"/>
                <w:szCs w:val="20"/>
              </w:rPr>
              <w:t xml:space="preserve">Limited or no coverage within buildings </w:t>
            </w:r>
          </w:p>
        </w:tc>
        <w:tc>
          <w:tcPr>
            <w:tcW w:w="2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4"/>
              </w:numPr>
              <w:spacing w:lineRule="auto" w:line="276" w:before="0" w:after="0"/>
              <w:ind w:left="317" w:hanging="360"/>
              <w:jc w:val="left"/>
              <w:rPr/>
            </w:pPr>
            <w:r>
              <w:rPr>
                <w:sz w:val="20"/>
                <w:szCs w:val="20"/>
              </w:rPr>
              <w:t>Suitable community building may not be available</w:t>
            </w:r>
          </w:p>
          <w:p>
            <w:pPr>
              <w:pStyle w:val="Normal"/>
              <w:numPr>
                <w:ilvl w:val="0"/>
                <w:numId w:val="4"/>
              </w:numPr>
              <w:spacing w:lineRule="auto" w:line="276" w:before="0" w:after="0"/>
              <w:ind w:left="317" w:hanging="360"/>
              <w:jc w:val="left"/>
              <w:rPr/>
            </w:pPr>
            <w:r>
              <w:rPr>
                <w:sz w:val="20"/>
                <w:szCs w:val="20"/>
              </w:rPr>
              <w:t>Only accessible during staffed hours</w:t>
            </w:r>
          </w:p>
          <w:p>
            <w:pPr>
              <w:pStyle w:val="Normal"/>
              <w:numPr>
                <w:ilvl w:val="0"/>
                <w:numId w:val="4"/>
              </w:numPr>
              <w:spacing w:lineRule="auto" w:line="276" w:before="0" w:after="0"/>
              <w:ind w:left="317" w:hanging="360"/>
              <w:jc w:val="left"/>
              <w:rPr/>
            </w:pPr>
            <w:r>
              <w:rPr>
                <w:sz w:val="20"/>
                <w:szCs w:val="20"/>
              </w:rPr>
              <w:t>No option for the resident to own their own computer, so may be seen as ‘second choice’</w:t>
            </w:r>
          </w:p>
        </w:tc>
      </w:tr>
    </w:tbl>
    <w:p>
      <w:pPr>
        <w:pStyle w:val="Heading3"/>
        <w:spacing w:before="0" w:after="12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fr-FR" w:eastAsia="zh-CN" w:bidi="hi-IN"/>
    </w:rPr>
  </w:style>
  <w:style w:type="paragraph" w:styleId="Heading1">
    <w:name w:val="Heading 1"/>
    <w:basedOn w:val="Normal"/>
    <w:next w:val="Normal"/>
    <w:qFormat/>
    <w:pPr>
      <w:keepNext/>
      <w:keepLines/>
      <w:spacing w:lineRule="auto" w:line="360" w:before="0" w:after="0"/>
      <w:outlineLvl w:val="0"/>
    </w:pPr>
    <w:rPr>
      <w:rFonts w:ascii="Calibri Light" w:hAnsi="Calibri Light" w:eastAsia="Yu Gothic Light" w:cs="" w:asciiTheme="majorHAnsi" w:cstheme="majorBidi" w:eastAsiaTheme="majorEastAsia" w:hAnsiTheme="majorHAnsi"/>
      <w:b/>
      <w:bCs/>
      <w:sz w:val="28"/>
    </w:rPr>
  </w:style>
  <w:style w:type="paragraph" w:styleId="Heading2">
    <w:name w:val="Heading 2"/>
    <w:basedOn w:val="Normal"/>
    <w:next w:val="Normal"/>
    <w:qFormat/>
    <w:pPr>
      <w:spacing w:lineRule="auto" w:line="276" w:before="0" w:after="0"/>
      <w:outlineLvl w:val="1"/>
    </w:pPr>
    <w:rPr>
      <w:rFonts w:cs="Arial"/>
      <w:b/>
      <w:color w:val="0047FF"/>
      <w:sz w:val="28"/>
      <w:szCs w:val="28"/>
    </w:rPr>
  </w:style>
  <w:style w:type="paragraph" w:styleId="Heading3">
    <w:name w:val="Heading 3"/>
    <w:basedOn w:val="Normal"/>
    <w:next w:val="Normal"/>
    <w:qFormat/>
    <w:pPr>
      <w:keepNext/>
      <w:keepLines/>
      <w:spacing w:lineRule="auto" w:line="276" w:before="0" w:after="120"/>
      <w:outlineLvl w:val="2"/>
    </w:pPr>
    <w:rPr>
      <w:rFonts w:eastAsia="Yu Gothic Light" w:cs="" w:cstheme="majorBidi" w:eastAsiaTheme="majorEastAsia"/>
      <w:b/>
      <w:color w:val="99CCFF"/>
      <w:sz w:val="24"/>
      <w:szCs w:val="24"/>
    </w:rPr>
  </w:style>
  <w:style w:type="character" w:styleId="InternetLink">
    <w:name w:val="Internet Link"/>
    <w:rPr>
      <w:color w:val="000080"/>
      <w:u w:val="single"/>
      <w:lang w:val="zxx" w:eastAsia="zxx" w:bidi="zxx"/>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aption1">
    <w:name w:val="caption"/>
    <w:basedOn w:val="Normal"/>
    <w:next w:val="Normal"/>
    <w:qFormat/>
    <w:pPr>
      <w:spacing w:lineRule="auto" w:line="240"/>
    </w:pPr>
    <w:rPr>
      <w:i/>
      <w:iCs/>
      <w:color w:val="44546A" w:themeColor="text2"/>
      <w:sz w:val="18"/>
      <w:szCs w:val="18"/>
    </w:rPr>
  </w:style>
  <w:style w:type="paragraph" w:styleId="HIPmonographstyle">
    <w:name w:val="HIP monograph style"/>
    <w:basedOn w:val="Normal"/>
    <w:qFormat/>
    <w:pPr>
      <w:spacing w:lineRule="auto" w:line="360" w:before="0" w:after="240"/>
    </w:pPr>
    <w:rPr>
      <w:rFonts w:ascii="Calibri Light" w:hAnsi="Calibri Light" w:cs="Helvetica" w:asciiTheme="majorHAnsi" w:hAnsiTheme="majorHAnsi"/>
      <w:color w:val="000000"/>
      <w:lang w:val="en-U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www.partnerinfo.lenovo.com/partners/us/products/downloads/thinkcentre-mseries/TBR-Quality-Study-ExecSummary.pdf" TargetMode="External"/><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charts/_rels/chart3.xml.rels><?xml version="1.0" encoding="UTF-8"?>
<Relationships xmlns="http://schemas.openxmlformats.org/package/2006/relationships"><Relationship Id="rId1" Type="http://schemas.openxmlformats.org/officeDocument/2006/relationships/package" Target="../embeddings/Microsoft_Excel_Sheet1.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Sheet2.xlsx"/>
</Relationships>
</file>

<file path=word/charts/_rels/chart5.xml.rels><?xml version="1.0" encoding="UTF-8"?>
<Relationships xmlns="http://schemas.openxmlformats.org/package/2006/relationships"><Relationship Id="rId1" Type="http://schemas.openxmlformats.org/officeDocument/2006/relationships/package" Target="../embeddings/Microsoft_Excel_Sheet3.xlsx"/>
</Relationships>
</file>

<file path=word/charts/_rels/chart6.xml.rels><?xml version="1.0" encoding="UTF-8"?>
<Relationships xmlns="http://schemas.openxmlformats.org/package/2006/relationships"><Relationship Id="rId1" Type="http://schemas.openxmlformats.org/officeDocument/2006/relationships/package" Target="../embeddings/Microsoft_Excel_Sheet4.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pieChart>
        <c:varyColors val="1"/>
        <c:ser>
          <c:idx val="0"/>
          <c:order val="0"/>
          <c:tx>
            <c:strRef>
              <c:f>label 0</c:f>
              <c:strCache>
                <c:ptCount val="1"/>
                <c:pt idx="0">
                  <c:v/>
                </c:pt>
              </c:strCache>
            </c:strRef>
          </c:tx>
          <c:spPr>
            <a:solidFill>
              <a:srgbClr val="5b9bd5"/>
            </a:solidFill>
            <a:ln>
              <a:noFill/>
            </a:ln>
          </c:spPr>
          <c:explosion val="0"/>
          <c:dPt>
            <c:idx val="0"/>
            <c:spPr>
              <a:solidFill>
                <a:srgbClr val="5b9bd5"/>
              </a:solidFill>
              <a:ln w="19080">
                <a:solidFill>
                  <a:srgbClr val="ffffff"/>
                </a:solidFill>
                <a:round/>
              </a:ln>
            </c:spPr>
          </c:dPt>
          <c:dPt>
            <c:idx val="1"/>
            <c:spPr>
              <a:solidFill>
                <a:srgbClr val="ed7d31"/>
              </a:solidFill>
              <a:ln w="19080">
                <a:solidFill>
                  <a:srgbClr val="ffffff"/>
                </a:solidFill>
                <a:round/>
              </a:ln>
            </c:spPr>
          </c:dPt>
          <c:dPt>
            <c:idx val="2"/>
            <c:spPr>
              <a:solidFill>
                <a:srgbClr val="a5a5a5"/>
              </a:solidFill>
              <a:ln w="19080">
                <a:solidFill>
                  <a:srgbClr val="ffffff"/>
                </a:solidFill>
                <a:round/>
              </a:ln>
            </c:spPr>
          </c:dPt>
          <c:dPt>
            <c:idx val="3"/>
            <c:spPr>
              <a:solidFill>
                <a:srgbClr val="ffc000"/>
              </a:solidFill>
              <a:ln w="19080">
                <a:solidFill>
                  <a:srgbClr val="ffffff"/>
                </a:solidFill>
                <a:round/>
              </a:ln>
            </c:spPr>
          </c:dPt>
          <c:dPt>
            <c:idx val="4"/>
            <c:spPr>
              <a:solidFill>
                <a:srgbClr val="4472c4"/>
              </a:solidFill>
              <a:ln w="19080">
                <a:solidFill>
                  <a:srgbClr val="ffffff"/>
                </a:solidFill>
                <a:round/>
              </a:ln>
            </c:spPr>
          </c:dPt>
          <c:dPt>
            <c:idx val="5"/>
            <c:spPr>
              <a:solidFill>
                <a:srgbClr val="70ad47"/>
              </a:solidFill>
              <a:ln w="19080">
                <a:solidFill>
                  <a:srgbClr val="ffffff"/>
                </a:solidFill>
                <a:round/>
              </a:ln>
            </c:spPr>
          </c:dPt>
          <c:dPt>
            <c:idx val="6"/>
            <c:spPr>
              <a:solidFill>
                <a:srgbClr val="255e91"/>
              </a:solidFill>
              <a:ln w="19080">
                <a:solidFill>
                  <a:srgbClr val="ffffff"/>
                </a:solidFill>
                <a:round/>
              </a:ln>
            </c:spPr>
          </c:dPt>
          <c:dPt>
            <c:idx val="7"/>
            <c:spPr>
              <a:solidFill>
                <a:srgbClr val="9e480e"/>
              </a:solidFill>
              <a:ln w="19080">
                <a:solidFill>
                  <a:srgbClr val="ffffff"/>
                </a:solidFill>
                <a:round/>
              </a:ln>
            </c:spPr>
          </c:dPt>
          <c:dPt>
            <c:idx val="8"/>
            <c:spPr>
              <a:solidFill>
                <a:srgbClr val="636363"/>
              </a:solidFill>
              <a:ln w="19080">
                <a:solidFill>
                  <a:srgbClr val="ffffff"/>
                </a:solidFill>
                <a:round/>
              </a:ln>
            </c:spPr>
          </c:dPt>
          <c:dPt>
            <c:idx val="9"/>
            <c:spPr>
              <a:solidFill>
                <a:srgbClr val="997300"/>
              </a:solidFill>
              <a:ln w="19080">
                <a:solidFill>
                  <a:srgbClr val="ffffff"/>
                </a:solidFill>
                <a:round/>
              </a:ln>
            </c:spPr>
          </c:dPt>
          <c:dPt>
            <c:idx val="10"/>
            <c:spPr>
              <a:solidFill>
                <a:srgbClr val="264478"/>
              </a:solidFill>
              <a:ln w="19080">
                <a:solidFill>
                  <a:srgbClr val="ffffff"/>
                </a:solidFill>
                <a:round/>
              </a:ln>
            </c:spPr>
          </c:dPt>
          <c:dPt>
            <c:idx val="11"/>
            <c:spPr>
              <a:solidFill>
                <a:srgbClr val="43682b"/>
              </a:solidFill>
              <a:ln w="19080">
                <a:solidFill>
                  <a:srgbClr val="ffffff"/>
                </a:solidFill>
                <a:round/>
              </a:ln>
            </c:spPr>
          </c:dPt>
          <c:dLbls>
            <c:dLbl>
              <c:idx val="0"/>
              <c:dLblPos val="outEnd"/>
              <c:showLegendKey val="0"/>
              <c:showVal val="1"/>
              <c:showCatName val="1"/>
              <c:showSerName val="0"/>
              <c:showPercent val="0"/>
            </c:dLbl>
            <c:dLbl>
              <c:idx val="1"/>
              <c:dLblPos val="outEnd"/>
              <c:showLegendKey val="0"/>
              <c:showVal val="1"/>
              <c:showCatName val="1"/>
              <c:showSerName val="0"/>
              <c:showPercent val="0"/>
            </c:dLbl>
            <c:dLbl>
              <c:idx val="2"/>
              <c:dLblPos val="outEnd"/>
              <c:showLegendKey val="0"/>
              <c:showVal val="1"/>
              <c:showCatName val="1"/>
              <c:showSerName val="0"/>
              <c:showPercent val="0"/>
            </c:dLbl>
            <c:dLbl>
              <c:idx val="3"/>
              <c:dLblPos val="outEnd"/>
              <c:showLegendKey val="0"/>
              <c:showVal val="1"/>
              <c:showCatName val="1"/>
              <c:showSerName val="0"/>
              <c:showPercent val="0"/>
            </c:dLbl>
            <c:dLbl>
              <c:idx val="4"/>
              <c:dLblPos val="outEnd"/>
              <c:showLegendKey val="0"/>
              <c:showVal val="1"/>
              <c:showCatName val="1"/>
              <c:showSerName val="0"/>
              <c:showPercent val="0"/>
            </c:dLbl>
            <c:dLbl>
              <c:idx val="5"/>
              <c:dLblPos val="outEnd"/>
              <c:showLegendKey val="0"/>
              <c:showVal val="1"/>
              <c:showCatName val="1"/>
              <c:showSerName val="0"/>
              <c:showPercent val="0"/>
            </c:dLbl>
            <c:dLbl>
              <c:idx val="6"/>
              <c:dLblPos val="outEnd"/>
              <c:showLegendKey val="0"/>
              <c:showVal val="1"/>
              <c:showCatName val="1"/>
              <c:showSerName val="0"/>
              <c:showPercent val="0"/>
            </c:dLbl>
            <c:dLbl>
              <c:idx val="7"/>
              <c:dLblPos val="outEnd"/>
              <c:showLegendKey val="0"/>
              <c:showVal val="1"/>
              <c:showCatName val="1"/>
              <c:showSerName val="0"/>
              <c:showPercent val="0"/>
            </c:dLbl>
            <c:dLbl>
              <c:idx val="8"/>
              <c:dLblPos val="outEnd"/>
              <c:showLegendKey val="0"/>
              <c:showVal val="1"/>
              <c:showCatName val="1"/>
              <c:showSerName val="0"/>
              <c:showPercent val="0"/>
            </c:dLbl>
            <c:dLbl>
              <c:idx val="9"/>
              <c:dLblPos val="bestFit"/>
              <c:showLegendKey val="0"/>
              <c:showVal val="1"/>
              <c:showCatName val="1"/>
              <c:showSerName val="0"/>
              <c:showPercent val="0"/>
            </c:dLbl>
            <c:dLbl>
              <c:idx val="10"/>
              <c:dLblPos val="outEnd"/>
              <c:showLegendKey val="0"/>
              <c:showVal val="1"/>
              <c:showCatName val="1"/>
              <c:showSerName val="0"/>
              <c:showPercent val="0"/>
            </c:dLbl>
            <c:dLbl>
              <c:idx val="11"/>
              <c:dLblPos val="bestFit"/>
              <c:showLegendKey val="0"/>
              <c:showVal val="1"/>
              <c:showCatName val="1"/>
              <c:showSerName val="0"/>
              <c:showPercent val="0"/>
            </c:dLbl>
            <c:dLblPos val="outEnd"/>
            <c:showLegendKey val="0"/>
            <c:showVal val="1"/>
            <c:showCatName val="1"/>
            <c:showSerName val="0"/>
            <c:showPercent val="0"/>
            <c:showLeaderLines val="0"/>
          </c:dLbls>
          <c:cat>
            <c:strRef>
              <c:f>categories</c:f>
              <c:strCache>
                <c:ptCount val="12"/>
                <c:pt idx="0">
                  <c:v>banking</c:v>
                </c:pt>
                <c:pt idx="1">
                  <c:v>chat</c:v>
                </c:pt>
                <c:pt idx="2">
                  <c:v>browsing</c:v>
                </c:pt>
                <c:pt idx="3">
                  <c:v>shopping</c:v>
                </c:pt>
                <c:pt idx="4">
                  <c:v>printing</c:v>
                </c:pt>
                <c:pt idx="5">
                  <c:v>email</c:v>
                </c:pt>
                <c:pt idx="6">
                  <c:v>writing</c:v>
                </c:pt>
                <c:pt idx="7">
                  <c:v>games</c:v>
                </c:pt>
                <c:pt idx="8">
                  <c:v>movies/DVDs</c:v>
                </c:pt>
                <c:pt idx="9">
                  <c:v>music</c:v>
                </c:pt>
                <c:pt idx="10">
                  <c:v>facebook</c:v>
                </c:pt>
                <c:pt idx="11">
                  <c:v>photos</c:v>
                </c:pt>
              </c:strCache>
            </c:strRef>
          </c:cat>
          <c:val>
            <c:numRef>
              <c:f>0</c:f>
              <c:numCache>
                <c:formatCode>General</c:formatCode>
                <c:ptCount val="12"/>
                <c:pt idx="0">
                  <c:v>11</c:v>
                </c:pt>
                <c:pt idx="1">
                  <c:v>2</c:v>
                </c:pt>
                <c:pt idx="2">
                  <c:v>17</c:v>
                </c:pt>
                <c:pt idx="3">
                  <c:v>3</c:v>
                </c:pt>
                <c:pt idx="4">
                  <c:v>11</c:v>
                </c:pt>
                <c:pt idx="5">
                  <c:v>7</c:v>
                </c:pt>
                <c:pt idx="6">
                  <c:v>4</c:v>
                </c:pt>
                <c:pt idx="7">
                  <c:v>10</c:v>
                </c:pt>
                <c:pt idx="8">
                  <c:v>10</c:v>
                </c:pt>
                <c:pt idx="9">
                  <c:v>5</c:v>
                </c:pt>
                <c:pt idx="10">
                  <c:v>3</c:v>
                </c:pt>
                <c:pt idx="11">
                  <c:v>3</c:v>
                </c:pt>
              </c:numCache>
            </c:numRef>
          </c:val>
        </c:ser>
        <c:firstSliceAng val="0"/>
      </c:pieChart>
      <c:spPr>
        <a:noFill/>
        <a:ln>
          <a:noFill/>
        </a:ln>
      </c:spPr>
    </c:plotArea>
    <c:plotVisOnly val="1"/>
    <c:dispBlanksAs val="zero"/>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pieChart>
        <c:varyColors val="1"/>
        <c:ser>
          <c:idx val="0"/>
          <c:order val="0"/>
          <c:tx>
            <c:strRef>
              <c:f>label 0</c:f>
              <c:strCache>
                <c:ptCount val="1"/>
                <c:pt idx="0">
                  <c:v/>
                </c:pt>
              </c:strCache>
            </c:strRef>
          </c:tx>
          <c:spPr>
            <a:solidFill>
              <a:srgbClr val="5b9bd5"/>
            </a:solidFill>
            <a:ln>
              <a:noFill/>
            </a:ln>
          </c:spPr>
          <c:explosion val="0"/>
          <c:dPt>
            <c:idx val="0"/>
            <c:spPr>
              <a:solidFill>
                <a:srgbClr val="5b9bd5"/>
              </a:solidFill>
              <a:ln w="19080">
                <a:solidFill>
                  <a:srgbClr val="ffffff"/>
                </a:solidFill>
                <a:round/>
              </a:ln>
            </c:spPr>
          </c:dPt>
          <c:dPt>
            <c:idx val="1"/>
            <c:spPr>
              <a:solidFill>
                <a:srgbClr val="ed7d31"/>
              </a:solidFill>
              <a:ln w="19080">
                <a:solidFill>
                  <a:srgbClr val="ffffff"/>
                </a:solidFill>
                <a:round/>
              </a:ln>
            </c:spPr>
          </c:dPt>
          <c:dPt>
            <c:idx val="2"/>
            <c:spPr>
              <a:solidFill>
                <a:srgbClr val="a5a5a5"/>
              </a:solidFill>
              <a:ln w="19080">
                <a:solidFill>
                  <a:srgbClr val="ffffff"/>
                </a:solidFill>
                <a:round/>
              </a:ln>
            </c:spPr>
          </c:dPt>
          <c:dPt>
            <c:idx val="3"/>
            <c:spPr>
              <a:solidFill>
                <a:srgbClr val="ffc000"/>
              </a:solidFill>
              <a:ln w="19080">
                <a:solidFill>
                  <a:srgbClr val="ffffff"/>
                </a:solidFill>
                <a:round/>
              </a:ln>
            </c:spPr>
          </c:dPt>
          <c:dPt>
            <c:idx val="4"/>
            <c:spPr>
              <a:solidFill>
                <a:srgbClr val="4472c4"/>
              </a:solidFill>
              <a:ln w="19080">
                <a:solidFill>
                  <a:srgbClr val="ffffff"/>
                </a:solidFill>
                <a:round/>
              </a:ln>
            </c:spPr>
          </c:dPt>
          <c:dPt>
            <c:idx val="5"/>
            <c:spPr>
              <a:solidFill>
                <a:srgbClr val="70ad47"/>
              </a:solidFill>
              <a:ln w="19080">
                <a:solidFill>
                  <a:srgbClr val="ffffff"/>
                </a:solidFill>
                <a:round/>
              </a:ln>
            </c:spPr>
          </c:dPt>
          <c:dPt>
            <c:idx val="6"/>
            <c:spPr>
              <a:solidFill>
                <a:srgbClr val="255e91"/>
              </a:solidFill>
              <a:ln w="19080">
                <a:solidFill>
                  <a:srgbClr val="ffffff"/>
                </a:solidFill>
                <a:round/>
              </a:ln>
            </c:spPr>
          </c:dPt>
          <c:dPt>
            <c:idx val="7"/>
            <c:spPr>
              <a:solidFill>
                <a:srgbClr val="9e480e"/>
              </a:solidFill>
              <a:ln w="19080">
                <a:solidFill>
                  <a:srgbClr val="ffffff"/>
                </a:solidFill>
                <a:round/>
              </a:ln>
            </c:spPr>
          </c:dPt>
          <c:dPt>
            <c:idx val="8"/>
            <c:spPr>
              <a:solidFill>
                <a:srgbClr val="636363"/>
              </a:solidFill>
              <a:ln w="19080">
                <a:solidFill>
                  <a:srgbClr val="ffffff"/>
                </a:solidFill>
                <a:round/>
              </a:ln>
            </c:spPr>
          </c:dPt>
          <c:dPt>
            <c:idx val="9"/>
            <c:spPr>
              <a:solidFill>
                <a:srgbClr val="997300"/>
              </a:solidFill>
              <a:ln w="19080">
                <a:solidFill>
                  <a:srgbClr val="ffffff"/>
                </a:solidFill>
                <a:round/>
              </a:ln>
            </c:spPr>
          </c:dPt>
          <c:dPt>
            <c:idx val="10"/>
            <c:spPr>
              <a:solidFill>
                <a:srgbClr val="264478"/>
              </a:solidFill>
              <a:ln w="19080">
                <a:solidFill>
                  <a:srgbClr val="ffffff"/>
                </a:solidFill>
                <a:round/>
              </a:ln>
            </c:spPr>
          </c:dPt>
          <c:dPt>
            <c:idx val="11"/>
            <c:spPr>
              <a:solidFill>
                <a:srgbClr val="43682b"/>
              </a:solidFill>
              <a:ln w="19080">
                <a:solidFill>
                  <a:srgbClr val="ffffff"/>
                </a:solidFill>
                <a:round/>
              </a:ln>
            </c:spPr>
          </c:dPt>
          <c:dLbls>
            <c:dLbl>
              <c:idx val="0"/>
              <c:dLblPos val="bestFit"/>
              <c:showLegendKey val="0"/>
              <c:showVal val="1"/>
              <c:showCatName val="1"/>
              <c:showSerName val="0"/>
              <c:showPercent val="0"/>
            </c:dLbl>
            <c:dLbl>
              <c:idx val="1"/>
              <c:dLblPos val="bestFit"/>
              <c:showLegendKey val="0"/>
              <c:showVal val="1"/>
              <c:showCatName val="1"/>
              <c:showSerName val="0"/>
              <c:showPercent val="0"/>
            </c:dLbl>
            <c:dLbl>
              <c:idx val="2"/>
              <c:dLblPos val="outEnd"/>
              <c:showLegendKey val="0"/>
              <c:showVal val="1"/>
              <c:showCatName val="1"/>
              <c:showSerName val="0"/>
              <c:showPercent val="0"/>
            </c:dLbl>
            <c:dLbl>
              <c:idx val="3"/>
              <c:dLblPos val="outEnd"/>
              <c:showLegendKey val="0"/>
              <c:showVal val="1"/>
              <c:showCatName val="1"/>
              <c:showSerName val="0"/>
              <c:showPercent val="0"/>
            </c:dLbl>
            <c:dLbl>
              <c:idx val="4"/>
              <c:dLblPos val="outEnd"/>
              <c:showLegendKey val="0"/>
              <c:showVal val="1"/>
              <c:showCatName val="1"/>
              <c:showSerName val="0"/>
              <c:showPercent val="0"/>
            </c:dLbl>
            <c:dLbl>
              <c:idx val="5"/>
              <c:dLblPos val="outEnd"/>
              <c:showLegendKey val="0"/>
              <c:showVal val="1"/>
              <c:showCatName val="1"/>
              <c:showSerName val="0"/>
              <c:showPercent val="0"/>
            </c:dLbl>
            <c:dLbl>
              <c:idx val="6"/>
              <c:dLblPos val="outEnd"/>
              <c:showLegendKey val="0"/>
              <c:showVal val="1"/>
              <c:showCatName val="1"/>
              <c:showSerName val="0"/>
              <c:showPercent val="0"/>
            </c:dLbl>
            <c:dLbl>
              <c:idx val="7"/>
              <c:dLblPos val="outEnd"/>
              <c:showLegendKey val="0"/>
              <c:showVal val="1"/>
              <c:showCatName val="1"/>
              <c:showSerName val="0"/>
              <c:showPercent val="0"/>
            </c:dLbl>
            <c:dLbl>
              <c:idx val="8"/>
              <c:dLblPos val="outEnd"/>
              <c:showLegendKey val="0"/>
              <c:showVal val="1"/>
              <c:showCatName val="1"/>
              <c:showSerName val="0"/>
              <c:showPercent val="0"/>
            </c:dLbl>
            <c:dLbl>
              <c:idx val="9"/>
              <c:dLblPos val="bestFit"/>
              <c:showLegendKey val="0"/>
              <c:showVal val="1"/>
              <c:showCatName val="1"/>
              <c:showSerName val="0"/>
              <c:showPercent val="0"/>
            </c:dLbl>
            <c:dLbl>
              <c:idx val="10"/>
              <c:dLblPos val="bestFit"/>
              <c:showLegendKey val="0"/>
              <c:showVal val="1"/>
              <c:showCatName val="1"/>
              <c:showSerName val="0"/>
              <c:showPercent val="0"/>
            </c:dLbl>
            <c:dLbl>
              <c:idx val="11"/>
              <c:dLblPos val="bestFit"/>
              <c:showLegendKey val="0"/>
              <c:showVal val="1"/>
              <c:showCatName val="1"/>
              <c:showSerName val="0"/>
              <c:showPercent val="0"/>
            </c:dLbl>
            <c:dLblPos val="outEnd"/>
            <c:showLegendKey val="0"/>
            <c:showVal val="1"/>
            <c:showCatName val="1"/>
            <c:showSerName val="0"/>
            <c:showPercent val="0"/>
            <c:showLeaderLines val="0"/>
          </c:dLbls>
          <c:cat>
            <c:strRef>
              <c:f>categories</c:f>
              <c:strCache>
                <c:ptCount val="12"/>
                <c:pt idx="0">
                  <c:v>banking</c:v>
                </c:pt>
                <c:pt idx="1">
                  <c:v>chat</c:v>
                </c:pt>
                <c:pt idx="2">
                  <c:v>browsing</c:v>
                </c:pt>
                <c:pt idx="3">
                  <c:v>shopping</c:v>
                </c:pt>
                <c:pt idx="4">
                  <c:v>printing</c:v>
                </c:pt>
                <c:pt idx="5">
                  <c:v>email</c:v>
                </c:pt>
                <c:pt idx="6">
                  <c:v>writing</c:v>
                </c:pt>
                <c:pt idx="7">
                  <c:v>games</c:v>
                </c:pt>
                <c:pt idx="8">
                  <c:v>movies/DVDs</c:v>
                </c:pt>
                <c:pt idx="9">
                  <c:v>music</c:v>
                </c:pt>
                <c:pt idx="10">
                  <c:v>facebook</c:v>
                </c:pt>
                <c:pt idx="11">
                  <c:v>photos</c:v>
                </c:pt>
              </c:strCache>
            </c:strRef>
          </c:cat>
          <c:val>
            <c:numRef>
              <c:f>0</c:f>
              <c:numCache>
                <c:formatCode>General</c:formatCode>
                <c:ptCount val="12"/>
                <c:pt idx="0">
                  <c:v>9.83333333333334</c:v>
                </c:pt>
                <c:pt idx="1">
                  <c:v>3</c:v>
                </c:pt>
                <c:pt idx="2">
                  <c:v>16.0219780219781</c:v>
                </c:pt>
                <c:pt idx="3">
                  <c:v>10.4285714285714</c:v>
                </c:pt>
                <c:pt idx="4">
                  <c:v>10.1428571428571</c:v>
                </c:pt>
                <c:pt idx="5">
                  <c:v>13.7142857142857</c:v>
                </c:pt>
                <c:pt idx="6">
                  <c:v>13.4285714285714</c:v>
                </c:pt>
                <c:pt idx="7">
                  <c:v>16.8333333333332</c:v>
                </c:pt>
                <c:pt idx="8">
                  <c:v>15.8095238095238</c:v>
                </c:pt>
                <c:pt idx="9">
                  <c:v>19.0714285714286</c:v>
                </c:pt>
                <c:pt idx="10">
                  <c:v>18</c:v>
                </c:pt>
                <c:pt idx="11">
                  <c:v>7.5</c:v>
                </c:pt>
              </c:numCache>
            </c:numRef>
          </c:val>
        </c:ser>
        <c:firstSliceAng val="0"/>
      </c:pieChart>
      <c:spPr>
        <a:noFill/>
        <a:ln>
          <a:noFill/>
        </a:ln>
      </c:spPr>
    </c:plotArea>
    <c:plotVisOnly val="1"/>
    <c:dispBlanksAs val="zero"/>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Female</c:v>
                </c:pt>
              </c:strCache>
            </c:strRef>
          </c:tx>
          <c:spPr>
            <a:ln>
              <a:noFill/>
            </a:ln>
          </c:spPr>
          <c:invertIfNegative val="0"/>
          <c:dLbls>
            <c:dLblPos val="outEnd"/>
            <c:showLegendKey val="0"/>
            <c:showVal val="0"/>
            <c:showCatName val="0"/>
            <c:showSerName val="0"/>
            <c:showPercent val="0"/>
            <c:showLeaderLines val="0"/>
          </c:dLbls>
          <c:cat>
            <c:strRef>
              <c:f>categories</c:f>
              <c:strCache>
                <c:ptCount val="5"/>
                <c:pt idx="0">
                  <c:v>0-18</c:v>
                </c:pt>
                <c:pt idx="1">
                  <c:v>18-29</c:v>
                </c:pt>
                <c:pt idx="2">
                  <c:v>30-44</c:v>
                </c:pt>
                <c:pt idx="3">
                  <c:v>45-59</c:v>
                </c:pt>
                <c:pt idx="4">
                  <c:v>60+</c:v>
                </c:pt>
              </c:strCache>
            </c:strRef>
          </c:cat>
          <c:val>
            <c:numRef>
              <c:f>0</c:f>
              <c:numCache>
                <c:formatCode>General</c:formatCode>
                <c:ptCount val="5"/>
                <c:pt idx="0">
                  <c:v>14</c:v>
                </c:pt>
                <c:pt idx="1">
                  <c:v>7</c:v>
                </c:pt>
                <c:pt idx="2">
                  <c:v>1</c:v>
                </c:pt>
                <c:pt idx="3">
                  <c:v>1</c:v>
                </c:pt>
                <c:pt idx="4">
                  <c:v/>
                </c:pt>
              </c:numCache>
            </c:numRef>
          </c:val>
        </c:ser>
        <c:ser>
          <c:idx val="1"/>
          <c:order val="1"/>
          <c:tx>
            <c:strRef>
              <c:f>label 1</c:f>
              <c:strCache>
                <c:ptCount val="1"/>
                <c:pt idx="0">
                  <c:v>Male</c:v>
                </c:pt>
              </c:strCache>
            </c:strRef>
          </c:tx>
          <c:spPr>
            <a:ln>
              <a:noFill/>
            </a:ln>
          </c:spPr>
          <c:invertIfNegative val="0"/>
          <c:dLbls>
            <c:dLblPos val="outEnd"/>
            <c:showLegendKey val="0"/>
            <c:showVal val="0"/>
            <c:showCatName val="0"/>
            <c:showSerName val="0"/>
            <c:showPercent val="0"/>
            <c:showLeaderLines val="0"/>
          </c:dLbls>
          <c:cat>
            <c:strRef>
              <c:f>categories</c:f>
              <c:strCache>
                <c:ptCount val="5"/>
                <c:pt idx="0">
                  <c:v>0-18</c:v>
                </c:pt>
                <c:pt idx="1">
                  <c:v>18-29</c:v>
                </c:pt>
                <c:pt idx="2">
                  <c:v>30-44</c:v>
                </c:pt>
                <c:pt idx="3">
                  <c:v>45-59</c:v>
                </c:pt>
                <c:pt idx="4">
                  <c:v>60+</c:v>
                </c:pt>
              </c:strCache>
            </c:strRef>
          </c:cat>
          <c:val>
            <c:numRef>
              <c:f>1</c:f>
              <c:numCache>
                <c:formatCode>General</c:formatCode>
                <c:ptCount val="5"/>
                <c:pt idx="0">
                  <c:v>4</c:v>
                </c:pt>
                <c:pt idx="1">
                  <c:v>7</c:v>
                </c:pt>
                <c:pt idx="2">
                  <c:v>5</c:v>
                </c:pt>
                <c:pt idx="3">
                  <c:v>0</c:v>
                </c:pt>
                <c:pt idx="4">
                  <c:v/>
                </c:pt>
              </c:numCache>
            </c:numRef>
          </c:val>
        </c:ser>
        <c:ser>
          <c:idx val="2"/>
          <c:order val="2"/>
          <c:tx>
            <c:strRef>
              <c:f>label 2</c:f>
              <c:strCache>
                <c:ptCount val="1"/>
                <c:pt idx="0">
                  <c:v>Combined</c:v>
                </c:pt>
              </c:strCache>
            </c:strRef>
          </c:tx>
          <c:spPr>
            <a:ln>
              <a:noFill/>
            </a:ln>
          </c:spPr>
          <c:invertIfNegative val="0"/>
          <c:dLbls>
            <c:dLblPos val="outEnd"/>
            <c:showLegendKey val="0"/>
            <c:showVal val="0"/>
            <c:showCatName val="0"/>
            <c:showSerName val="0"/>
            <c:showPercent val="0"/>
            <c:showLeaderLines val="0"/>
          </c:dLbls>
          <c:cat>
            <c:strRef>
              <c:f>categories</c:f>
              <c:strCache>
                <c:ptCount val="5"/>
                <c:pt idx="0">
                  <c:v>0-18</c:v>
                </c:pt>
                <c:pt idx="1">
                  <c:v>18-29</c:v>
                </c:pt>
                <c:pt idx="2">
                  <c:v>30-44</c:v>
                </c:pt>
                <c:pt idx="3">
                  <c:v>45-59</c:v>
                </c:pt>
                <c:pt idx="4">
                  <c:v>60+</c:v>
                </c:pt>
              </c:strCache>
            </c:strRef>
          </c:cat>
          <c:val>
            <c:numRef>
              <c:f>2</c:f>
              <c:numCache>
                <c:formatCode>General</c:formatCode>
                <c:ptCount val="5"/>
                <c:pt idx="0">
                  <c:v>16</c:v>
                </c:pt>
                <c:pt idx="1">
                  <c:v>18</c:v>
                </c:pt>
                <c:pt idx="2">
                  <c:v>14</c:v>
                </c:pt>
                <c:pt idx="3">
                  <c:v>6</c:v>
                </c:pt>
                <c:pt idx="4">
                  <c:v>1</c:v>
                </c:pt>
              </c:numCache>
            </c:numRef>
          </c:val>
        </c:ser>
        <c:gapWidth val="150"/>
        <c:overlap val="0"/>
        <c:axId val="13804033"/>
        <c:axId val="90164269"/>
      </c:barChart>
      <c:catAx>
        <c:axId val="13804033"/>
        <c:scaling>
          <c:orientation val="minMax"/>
        </c:scaling>
        <c:delete val="0"/>
        <c:axPos val="b"/>
        <c:numFmt formatCode="DD/MM/YYYY"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90164269"/>
        <c:crosses val="autoZero"/>
        <c:auto val="1"/>
        <c:lblAlgn val="ctr"/>
        <c:lblOffset val="100"/>
      </c:catAx>
      <c:valAx>
        <c:axId val="90164269"/>
        <c:scaling>
          <c:orientation val="minMax"/>
        </c:scaling>
        <c:delete val="0"/>
        <c:axPos val="l"/>
        <c:majorGridlines>
          <c:spPr>
            <a:ln w="6480">
              <a:solidFill>
                <a:srgbClr val="8b8b8b"/>
              </a:solidFill>
              <a:round/>
            </a:ln>
          </c:spPr>
        </c:majorGridlines>
        <c:numFmt formatCode="General"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13804033"/>
        <c:crosses val="autoZero"/>
        <c:crossBetween val="midCat"/>
      </c:valAx>
      <c:spPr>
        <a:solidFill>
          <a:srgbClr val="ffffff"/>
        </a:solidFill>
        <a:ln>
          <a:noFill/>
        </a:ln>
      </c:spPr>
    </c:plotArea>
    <c:legend>
      <c:legendPos val="r"/>
      <c:overlay val="0"/>
      <c:spPr>
        <a:noFill/>
        <a:ln>
          <a:noFill/>
        </a:ln>
      </c:spPr>
    </c:legend>
    <c:plotVisOnly val="1"/>
    <c:dispBlanksAs val="gap"/>
  </c:chart>
  <c:spPr>
    <a:solidFill>
      <a:srgbClr val="ffffff"/>
    </a:solid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view3D>
      <c:rotX val="30"/>
      <c:rotY val="0"/>
      <c:rAngAx val="0"/>
      <c:perspective val="3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Women: Top 5 ICT activities</c:v>
                </c:pt>
              </c:strCache>
            </c:strRef>
          </c:tx>
          <c:spPr>
            <a:solidFill>
              <a:srgbClr val="5b9bd5"/>
            </a:solidFill>
            <a:ln>
              <a:noFill/>
            </a:ln>
          </c:spPr>
          <c:explosion val="0"/>
          <c:dPt>
            <c:idx val="0"/>
            <c:spPr>
              <a:solidFill>
                <a:srgbClr val="5b9bd5"/>
              </a:solidFill>
              <a:ln>
                <a:noFill/>
              </a:ln>
            </c:spPr>
          </c:dPt>
          <c:dPt>
            <c:idx val="1"/>
            <c:spPr>
              <a:solidFill>
                <a:srgbClr val="ed7d31"/>
              </a:solidFill>
              <a:ln>
                <a:noFill/>
              </a:ln>
            </c:spPr>
          </c:dPt>
          <c:dPt>
            <c:idx val="2"/>
            <c:spPr>
              <a:solidFill>
                <a:srgbClr val="a5a5a5"/>
              </a:solidFill>
              <a:ln>
                <a:noFill/>
              </a:ln>
            </c:spPr>
          </c:dPt>
          <c:dPt>
            <c:idx val="3"/>
            <c:spPr>
              <a:solidFill>
                <a:srgbClr val="ffc000"/>
              </a:solidFill>
              <a:ln>
                <a:noFill/>
              </a:ln>
            </c:spPr>
          </c:dPt>
          <c:dPt>
            <c:idx val="4"/>
            <c:spPr>
              <a:solidFill>
                <a:srgbClr val="4472c4"/>
              </a:solidFill>
              <a:ln>
                <a:noFill/>
              </a:ln>
            </c:spPr>
          </c:dPt>
          <c:dLbls>
            <c:dLbl>
              <c:idx val="0"/>
              <c:dLblPos val="bestFit"/>
              <c:showLegendKey val="0"/>
              <c:showVal val="0"/>
              <c:showCatName val="1"/>
              <c:showSerName val="0"/>
              <c:showPercent val="1"/>
            </c:dLbl>
            <c:dLbl>
              <c:idx val="1"/>
              <c:dLblPos val="bestFit"/>
              <c:showLegendKey val="0"/>
              <c:showVal val="0"/>
              <c:showCatName val="1"/>
              <c:showSerName val="0"/>
              <c:showPercent val="1"/>
            </c:dLbl>
            <c:dLbl>
              <c:idx val="2"/>
              <c:dLblPos val="bestFit"/>
              <c:showLegendKey val="0"/>
              <c:showVal val="0"/>
              <c:showCatName val="1"/>
              <c:showSerName val="0"/>
              <c:showPercent val="1"/>
            </c:dLbl>
            <c:dLbl>
              <c:idx val="3"/>
              <c:dLblPos val="bestFit"/>
              <c:showLegendKey val="0"/>
              <c:showVal val="0"/>
              <c:showCatName val="1"/>
              <c:showSerName val="0"/>
              <c:showPercent val="1"/>
            </c:dLbl>
            <c:dLbl>
              <c:idx val="4"/>
              <c:dLblPos val="bestFit"/>
              <c:showLegendKey val="0"/>
              <c:showVal val="0"/>
              <c:showCatName val="1"/>
              <c:showSerName val="0"/>
              <c:showPercent val="1"/>
            </c:dLbl>
            <c:dLblPos val="bestFit"/>
            <c:showLegendKey val="0"/>
            <c:showVal val="0"/>
            <c:showCatName val="1"/>
            <c:showSerName val="0"/>
            <c:showPercent val="1"/>
            <c:showLeaderLines val="0"/>
          </c:dLbls>
          <c:cat>
            <c:strRef>
              <c:f>categories</c:f>
              <c:strCache>
                <c:ptCount val="5"/>
                <c:pt idx="0">
                  <c:v>Banking</c:v>
                </c:pt>
                <c:pt idx="1">
                  <c:v>Centrelink</c:v>
                </c:pt>
                <c:pt idx="2">
                  <c:v>Watching DVDs</c:v>
                </c:pt>
                <c:pt idx="3">
                  <c:v>Playing Games</c:v>
                </c:pt>
                <c:pt idx="4">
                  <c:v>Music</c:v>
                </c:pt>
              </c:strCache>
            </c:strRef>
          </c:cat>
          <c:val>
            <c:numRef>
              <c:f>0</c:f>
              <c:numCache>
                <c:formatCode>General</c:formatCode>
                <c:ptCount val="5"/>
                <c:pt idx="0">
                  <c:v>26</c:v>
                </c:pt>
                <c:pt idx="1">
                  <c:v>21</c:v>
                </c:pt>
                <c:pt idx="2">
                  <c:v>21</c:v>
                </c:pt>
                <c:pt idx="3">
                  <c:v>20</c:v>
                </c:pt>
                <c:pt idx="4">
                  <c:v>18</c:v>
                </c:pt>
              </c:numCache>
            </c:numRef>
          </c:val>
        </c:ser>
      </c:pie3DChart>
      <c:spPr>
        <a:solidFill>
          <a:srgbClr val="d9d9d9"/>
        </a:solidFill>
        <a:ln>
          <a:noFill/>
        </a:ln>
      </c:spPr>
    </c:plotArea>
    <c:plotVisOnly val="1"/>
    <c:dispBlanksAs val="zero"/>
  </c:chart>
  <c:spPr>
    <a:solidFill>
      <a:srgbClr val="ffffff"/>
    </a:solidFill>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view3D>
      <c:rotX val="30"/>
      <c:rotY val="0"/>
      <c:rAngAx val="0"/>
      <c:perspective val="3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Men: Top 5 ICT activities</c:v>
                </c:pt>
              </c:strCache>
            </c:strRef>
          </c:tx>
          <c:spPr>
            <a:solidFill>
              <a:srgbClr val="5b9bd5"/>
            </a:solidFill>
            <a:ln>
              <a:noFill/>
            </a:ln>
          </c:spPr>
          <c:explosion val="0"/>
          <c:dPt>
            <c:idx val="0"/>
            <c:spPr>
              <a:solidFill>
                <a:srgbClr val="5b9bd5"/>
              </a:solidFill>
              <a:ln>
                <a:noFill/>
              </a:ln>
            </c:spPr>
          </c:dPt>
          <c:dPt>
            <c:idx val="1"/>
            <c:spPr>
              <a:solidFill>
                <a:srgbClr val="ed7d31"/>
              </a:solidFill>
              <a:ln>
                <a:noFill/>
              </a:ln>
            </c:spPr>
          </c:dPt>
          <c:dPt>
            <c:idx val="2"/>
            <c:spPr>
              <a:solidFill>
                <a:srgbClr val="a5a5a5"/>
              </a:solidFill>
              <a:ln>
                <a:noFill/>
              </a:ln>
            </c:spPr>
          </c:dPt>
          <c:dPt>
            <c:idx val="3"/>
            <c:spPr>
              <a:solidFill>
                <a:srgbClr val="ffc000"/>
              </a:solidFill>
              <a:ln>
                <a:noFill/>
              </a:ln>
            </c:spPr>
          </c:dPt>
          <c:dPt>
            <c:idx val="4"/>
            <c:spPr>
              <a:solidFill>
                <a:srgbClr val="4472c4"/>
              </a:solidFill>
              <a:ln>
                <a:noFill/>
              </a:ln>
            </c:spPr>
          </c:dPt>
          <c:dLbls>
            <c:dLbl>
              <c:idx val="0"/>
              <c:dLblPos val="bestFit"/>
              <c:showLegendKey val="0"/>
              <c:showVal val="0"/>
              <c:showCatName val="1"/>
              <c:showSerName val="0"/>
              <c:showPercent val="1"/>
            </c:dLbl>
            <c:dLbl>
              <c:idx val="1"/>
              <c:dLblPos val="bestFit"/>
              <c:showLegendKey val="0"/>
              <c:showVal val="0"/>
              <c:showCatName val="1"/>
              <c:showSerName val="0"/>
              <c:showPercent val="1"/>
            </c:dLbl>
            <c:dLbl>
              <c:idx val="2"/>
              <c:dLblPos val="bestFit"/>
              <c:showLegendKey val="0"/>
              <c:showVal val="0"/>
              <c:showCatName val="1"/>
              <c:showSerName val="0"/>
              <c:showPercent val="1"/>
            </c:dLbl>
            <c:dLbl>
              <c:idx val="3"/>
              <c:dLblPos val="bestFit"/>
              <c:showLegendKey val="0"/>
              <c:showVal val="0"/>
              <c:showCatName val="1"/>
              <c:showSerName val="0"/>
              <c:showPercent val="1"/>
            </c:dLbl>
            <c:dLbl>
              <c:idx val="4"/>
              <c:dLblPos val="bestFit"/>
              <c:showLegendKey val="0"/>
              <c:showVal val="0"/>
              <c:showCatName val="1"/>
              <c:showSerName val="0"/>
              <c:showPercent val="1"/>
            </c:dLbl>
            <c:dLblPos val="bestFit"/>
            <c:showLegendKey val="0"/>
            <c:showVal val="0"/>
            <c:showCatName val="1"/>
            <c:showSerName val="0"/>
            <c:showPercent val="1"/>
            <c:showLeaderLines val="0"/>
          </c:dLbls>
          <c:cat>
            <c:strRef>
              <c:f>categories</c:f>
              <c:strCache>
                <c:ptCount val="5"/>
                <c:pt idx="0">
                  <c:v>Playing games</c:v>
                </c:pt>
                <c:pt idx="1">
                  <c:v>Watching DVDs</c:v>
                </c:pt>
                <c:pt idx="2">
                  <c:v>Internet browsing</c:v>
                </c:pt>
                <c:pt idx="3">
                  <c:v>Banking</c:v>
                </c:pt>
                <c:pt idx="4">
                  <c:v>Centrelink</c:v>
                </c:pt>
              </c:strCache>
            </c:strRef>
          </c:cat>
          <c:val>
            <c:numRef>
              <c:f>0</c:f>
              <c:numCache>
                <c:formatCode>General</c:formatCode>
                <c:ptCount val="5"/>
                <c:pt idx="0">
                  <c:v>6</c:v>
                </c:pt>
                <c:pt idx="1">
                  <c:v>5</c:v>
                </c:pt>
                <c:pt idx="2">
                  <c:v>4</c:v>
                </c:pt>
                <c:pt idx="3">
                  <c:v>2</c:v>
                </c:pt>
                <c:pt idx="4">
                  <c:v>1</c:v>
                </c:pt>
              </c:numCache>
            </c:numRef>
          </c:val>
        </c:ser>
      </c:pie3DChart>
      <c:spPr>
        <a:solidFill>
          <a:srgbClr val="d9d9d9"/>
        </a:solidFill>
        <a:ln>
          <a:noFill/>
        </a:ln>
      </c:spPr>
    </c:plotArea>
    <c:plotVisOnly val="1"/>
    <c:dispBlanksAs val="zero"/>
  </c:chart>
  <c:spPr>
    <a:solidFill>
      <a:srgbClr val="ffffff"/>
    </a:solidFill>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plotArea>
      <c:pieChart>
        <c:varyColors val="1"/>
        <c:ser>
          <c:idx val="0"/>
          <c:order val="0"/>
          <c:tx>
            <c:strRef>
              <c:f>label 0</c:f>
              <c:strCache>
                <c:ptCount val="1"/>
                <c:pt idx="0">
                  <c:v>Column1</c:v>
                </c:pt>
              </c:strCache>
            </c:strRef>
          </c:tx>
          <c:spPr>
            <a:solidFill>
              <a:srgbClr val="5b9bd5"/>
            </a:solidFill>
            <a:ln>
              <a:noFill/>
            </a:ln>
          </c:spPr>
          <c:explosion val="0"/>
          <c:dPt>
            <c:idx val="0"/>
            <c:spPr>
              <a:solidFill>
                <a:srgbClr val="5b9bd5"/>
              </a:solidFill>
              <a:ln>
                <a:noFill/>
              </a:ln>
            </c:spPr>
          </c:dPt>
          <c:dPt>
            <c:idx val="1"/>
            <c:spPr>
              <a:solidFill>
                <a:srgbClr val="ed7d31"/>
              </a:solidFill>
              <a:ln>
                <a:noFill/>
              </a:ln>
            </c:spPr>
          </c:dPt>
          <c:dPt>
            <c:idx val="2"/>
            <c:spPr>
              <a:solidFill>
                <a:srgbClr val="a5a5a5"/>
              </a:solidFill>
              <a:ln>
                <a:noFill/>
              </a:ln>
            </c:spPr>
          </c:dPt>
          <c:dPt>
            <c:idx val="3"/>
            <c:spPr>
              <a:solidFill>
                <a:srgbClr val="ffc000"/>
              </a:solidFill>
              <a:ln>
                <a:noFill/>
              </a:ln>
            </c:spPr>
          </c:dPt>
          <c:dPt>
            <c:idx val="4"/>
            <c:spPr>
              <a:solidFill>
                <a:srgbClr val="4472c4"/>
              </a:solidFill>
              <a:ln>
                <a:noFill/>
              </a:ln>
            </c:spPr>
          </c:dPt>
          <c:dLbls>
            <c:dLbl>
              <c:idx val="0"/>
              <c:dLblPos val="bestFit"/>
              <c:showLegendKey val="0"/>
              <c:showVal val="0"/>
              <c:showCatName val="0"/>
              <c:showSerName val="0"/>
              <c:showPercent val="1"/>
            </c:dLbl>
            <c:dLbl>
              <c:idx val="1"/>
              <c:dLblPos val="bestFit"/>
              <c:showLegendKey val="0"/>
              <c:showVal val="0"/>
              <c:showCatName val="0"/>
              <c:showSerName val="0"/>
              <c:showPercent val="1"/>
            </c:dLbl>
            <c:dLbl>
              <c:idx val="2"/>
              <c:dLblPos val="bestFit"/>
              <c:showLegendKey val="0"/>
              <c:showVal val="0"/>
              <c:showCatName val="0"/>
              <c:showSerName val="0"/>
              <c:showPercent val="1"/>
            </c:dLbl>
            <c:dLbl>
              <c:idx val="3"/>
              <c:dLblPos val="bestFit"/>
              <c:showLegendKey val="0"/>
              <c:showVal val="0"/>
              <c:showCatName val="0"/>
              <c:showSerName val="0"/>
              <c:showPercent val="1"/>
            </c:dLbl>
            <c:dLbl>
              <c:idx val="4"/>
              <c:dLblPos val="bestFit"/>
              <c:showLegendKey val="0"/>
              <c:showVal val="0"/>
              <c:showCatName val="0"/>
              <c:showSerName val="0"/>
              <c:showPercent val="1"/>
            </c:dLbl>
            <c:dLblPos val="bestFit"/>
            <c:showLegendKey val="0"/>
            <c:showVal val="0"/>
            <c:showCatName val="0"/>
            <c:showSerName val="0"/>
            <c:showPercent val="1"/>
            <c:showLeaderLines val="0"/>
          </c:dLbls>
          <c:cat>
            <c:strRef>
              <c:f>categories</c:f>
              <c:strCache>
                <c:ptCount val="5"/>
                <c:pt idx="0">
                  <c:v>Self-taught</c:v>
                </c:pt>
                <c:pt idx="1">
                  <c:v>Watched others</c:v>
                </c:pt>
                <c:pt idx="2">
                  <c:v>Shown by someone</c:v>
                </c:pt>
                <c:pt idx="3">
                  <c:v>School/training</c:v>
                </c:pt>
                <c:pt idx="4">
                  <c:v>No response</c:v>
                </c:pt>
              </c:strCache>
            </c:strRef>
          </c:cat>
          <c:val>
            <c:numRef>
              <c:f>0</c:f>
              <c:numCache>
                <c:formatCode>General</c:formatCode>
                <c:ptCount val="5"/>
                <c:pt idx="0">
                  <c:v>0.09</c:v>
                </c:pt>
                <c:pt idx="1">
                  <c:v>0.09</c:v>
                </c:pt>
                <c:pt idx="2">
                  <c:v>0.32</c:v>
                </c:pt>
                <c:pt idx="3">
                  <c:v>0.13</c:v>
                </c:pt>
                <c:pt idx="4">
                  <c:v>0.37</c:v>
                </c:pt>
              </c:numCache>
            </c:numRef>
          </c:val>
        </c:ser>
        <c:firstSliceAng val="0"/>
      </c:pieChart>
      <c:spPr>
        <a:solidFill>
          <a:srgbClr val="ffffff"/>
        </a:solidFill>
        <a:ln>
          <a:noFill/>
        </a:ln>
      </c:spPr>
    </c:plotArea>
    <c:legend>
      <c:legendPos val="r"/>
      <c:overlay val="0"/>
      <c:spPr>
        <a:noFill/>
        <a:ln>
          <a:noFill/>
        </a:ln>
      </c:spPr>
    </c:legend>
    <c:plotVisOnly val="1"/>
    <c:dispBlanksAs val="gap"/>
  </c:chart>
  <c:spPr>
    <a:solidFill>
      <a:srgbClr val="ffffff"/>
    </a:solidFill>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percentStacked"/>
        <c:varyColors val="0"/>
        <c:ser>
          <c:idx val="0"/>
          <c:order val="0"/>
          <c:tx>
            <c:strRef>
              <c:f>label 0</c:f>
              <c:strCache>
                <c:ptCount val="1"/>
                <c:pt idx="0">
                  <c:v> task type requested by learners</c:v>
                </c:pt>
              </c:strCache>
            </c:strRef>
          </c:tx>
          <c:spPr>
            <a:solidFill>
              <a:srgbClr val="5b9bd5"/>
            </a:solidFill>
            <a:ln>
              <a:noFill/>
            </a:ln>
          </c:spPr>
          <c:invertIfNegative val="0"/>
          <c:dLbls>
            <c:dLblPos val="ctr"/>
            <c:showLegendKey val="0"/>
            <c:showVal val="0"/>
            <c:showCatName val="0"/>
            <c:showSerName val="0"/>
            <c:showPercent val="0"/>
            <c:showLeaderLines val="0"/>
          </c:dLbls>
          <c:cat>
            <c:strRef>
              <c:f>categories</c:f>
              <c:strCache>
                <c:ptCount val="5"/>
                <c:pt idx="0">
                  <c:v>App Use</c:v>
                </c:pt>
                <c:pt idx="1">
                  <c:v>Equipment Use</c:v>
                </c:pt>
                <c:pt idx="2">
                  <c:v>Maintenance</c:v>
                </c:pt>
                <c:pt idx="3">
                  <c:v>Admin Matters</c:v>
                </c:pt>
                <c:pt idx="4">
                  <c:v>Not recorded</c:v>
                </c:pt>
              </c:strCache>
            </c:strRef>
          </c:cat>
          <c:val>
            <c:numRef>
              <c:f>0</c:f>
              <c:numCache>
                <c:formatCode>General</c:formatCode>
                <c:ptCount val="5"/>
                <c:pt idx="0">
                  <c:v>46</c:v>
                </c:pt>
                <c:pt idx="1">
                  <c:v>9</c:v>
                </c:pt>
                <c:pt idx="2">
                  <c:v>3</c:v>
                </c:pt>
                <c:pt idx="3">
                  <c:v>2</c:v>
                </c:pt>
                <c:pt idx="4">
                  <c:v>0</c:v>
                </c:pt>
              </c:numCache>
            </c:numRef>
          </c:val>
        </c:ser>
        <c:ser>
          <c:idx val="1"/>
          <c:order val="1"/>
          <c:tx>
            <c:strRef>
              <c:f>label 1</c:f>
              <c:strCache>
                <c:ptCount val="1"/>
                <c:pt idx="0">
                  <c:v> task type suggested by researchers</c:v>
                </c:pt>
              </c:strCache>
            </c:strRef>
          </c:tx>
          <c:spPr>
            <a:solidFill>
              <a:srgbClr val="ed7d31"/>
            </a:solidFill>
            <a:ln>
              <a:noFill/>
            </a:ln>
          </c:spPr>
          <c:invertIfNegative val="0"/>
          <c:dLbls>
            <c:dLblPos val="ctr"/>
            <c:showLegendKey val="0"/>
            <c:showVal val="0"/>
            <c:showCatName val="0"/>
            <c:showSerName val="0"/>
            <c:showPercent val="0"/>
            <c:showLeaderLines val="0"/>
          </c:dLbls>
          <c:cat>
            <c:strRef>
              <c:f>categories</c:f>
              <c:strCache>
                <c:ptCount val="5"/>
                <c:pt idx="0">
                  <c:v>App Use</c:v>
                </c:pt>
                <c:pt idx="1">
                  <c:v>Equipment Use</c:v>
                </c:pt>
                <c:pt idx="2">
                  <c:v>Maintenance</c:v>
                </c:pt>
                <c:pt idx="3">
                  <c:v>Admin Matters</c:v>
                </c:pt>
                <c:pt idx="4">
                  <c:v>Not recorded</c:v>
                </c:pt>
              </c:strCache>
            </c:strRef>
          </c:cat>
          <c:val>
            <c:numRef>
              <c:f>1</c:f>
              <c:numCache>
                <c:formatCode>General</c:formatCode>
                <c:ptCount val="5"/>
                <c:pt idx="0">
                  <c:v>9</c:v>
                </c:pt>
                <c:pt idx="1">
                  <c:v>3</c:v>
                </c:pt>
                <c:pt idx="2">
                  <c:v>5</c:v>
                </c:pt>
                <c:pt idx="3">
                  <c:v>7</c:v>
                </c:pt>
                <c:pt idx="4">
                  <c:v>0</c:v>
                </c:pt>
              </c:numCache>
            </c:numRef>
          </c:val>
        </c:ser>
        <c:ser>
          <c:idx val="2"/>
          <c:order val="2"/>
          <c:tx>
            <c:strRef>
              <c:f>label 2</c:f>
              <c:strCache>
                <c:ptCount val="1"/>
                <c:pt idx="0">
                  <c:v> not recorded</c:v>
                </c:pt>
              </c:strCache>
            </c:strRef>
          </c:tx>
          <c:spPr>
            <a:solidFill>
              <a:srgbClr val="a5a5a5"/>
            </a:solidFill>
            <a:ln>
              <a:noFill/>
            </a:ln>
          </c:spPr>
          <c:invertIfNegative val="0"/>
          <c:dLbls>
            <c:dLblPos val="ctr"/>
            <c:showLegendKey val="0"/>
            <c:showVal val="0"/>
            <c:showCatName val="0"/>
            <c:showSerName val="0"/>
            <c:showPercent val="0"/>
            <c:showLeaderLines val="0"/>
          </c:dLbls>
          <c:cat>
            <c:strRef>
              <c:f>categories</c:f>
              <c:strCache>
                <c:ptCount val="5"/>
                <c:pt idx="0">
                  <c:v>App Use</c:v>
                </c:pt>
                <c:pt idx="1">
                  <c:v>Equipment Use</c:v>
                </c:pt>
                <c:pt idx="2">
                  <c:v>Maintenance</c:v>
                </c:pt>
                <c:pt idx="3">
                  <c:v>Admin Matters</c:v>
                </c:pt>
                <c:pt idx="4">
                  <c:v>Not recorded</c:v>
                </c:pt>
              </c:strCache>
            </c:strRef>
          </c:cat>
          <c:val>
            <c:numRef>
              <c:f>2</c:f>
              <c:numCache>
                <c:formatCode>General</c:formatCode>
                <c:ptCount val="5"/>
                <c:pt idx="0">
                  <c:v>29</c:v>
                </c:pt>
                <c:pt idx="1">
                  <c:v>6</c:v>
                </c:pt>
                <c:pt idx="2">
                  <c:v>1</c:v>
                </c:pt>
                <c:pt idx="3">
                  <c:v>6</c:v>
                </c:pt>
                <c:pt idx="4">
                  <c:v>3</c:v>
                </c:pt>
              </c:numCache>
            </c:numRef>
          </c:val>
        </c:ser>
        <c:gapWidth val="150"/>
        <c:overlap val="100"/>
        <c:axId val="83975370"/>
        <c:axId val="81086371"/>
      </c:barChart>
      <c:catAx>
        <c:axId val="83975370"/>
        <c:scaling>
          <c:orientation val="minMax"/>
        </c:scaling>
        <c:delete val="0"/>
        <c:axPos val="b"/>
        <c:title>
          <c:tx>
            <c:rich>
              <a:bodyPr rot="0"/>
              <a:lstStyle/>
              <a:p>
                <a:pPr>
                  <a:defRPr b="1" sz="1000" spc="-1" strike="noStrike">
                    <a:solidFill>
                      <a:srgbClr val="000000"/>
                    </a:solidFill>
                    <a:uFill>
                      <a:solidFill>
                        <a:srgbClr val="ffffff"/>
                      </a:solidFill>
                    </a:uFill>
                    <a:latin typeface="Calibri"/>
                  </a:defRPr>
                </a:pPr>
                <a:r>
                  <a:rPr b="1" sz="1000" spc="-1" strike="noStrike">
                    <a:solidFill>
                      <a:srgbClr val="000000"/>
                    </a:solidFill>
                    <a:uFill>
                      <a:solidFill>
                        <a:srgbClr val="ffffff"/>
                      </a:solidFill>
                    </a:uFill>
                    <a:latin typeface="Calibri"/>
                  </a:rPr>
                  <a:t>Type of task</a:t>
                </a:r>
              </a:p>
            </c:rich>
          </c:tx>
          <c:overlay val="0"/>
        </c:title>
        <c:numFmt formatCode="DD/MM/YYYY"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81086371"/>
        <c:crosses val="autoZero"/>
        <c:auto val="1"/>
        <c:lblAlgn val="ctr"/>
        <c:lblOffset val="100"/>
      </c:catAx>
      <c:valAx>
        <c:axId val="81086371"/>
        <c:scaling>
          <c:orientation val="minMax"/>
        </c:scaling>
        <c:delete val="0"/>
        <c:axPos val="l"/>
        <c:majorGridlines>
          <c:spPr>
            <a:ln w="6480">
              <a:solidFill>
                <a:srgbClr val="8b8b8b"/>
              </a:solidFill>
              <a:round/>
            </a:ln>
          </c:spPr>
        </c:majorGridlines>
        <c:title>
          <c:tx>
            <c:rich>
              <a:bodyPr rot="-5400000"/>
              <a:lstStyle/>
              <a:p>
                <a:pPr>
                  <a:defRPr b="1" sz="1000" spc="-1" strike="noStrike">
                    <a:solidFill>
                      <a:srgbClr val="000000"/>
                    </a:solidFill>
                    <a:uFill>
                      <a:solidFill>
                        <a:srgbClr val="ffffff"/>
                      </a:solidFill>
                    </a:uFill>
                    <a:latin typeface="Calibri"/>
                  </a:defRPr>
                </a:pPr>
                <a:r>
                  <a:rPr b="1" sz="1000" spc="-1" strike="noStrike">
                    <a:solidFill>
                      <a:srgbClr val="000000"/>
                    </a:solidFill>
                    <a:uFill>
                      <a:solidFill>
                        <a:srgbClr val="ffffff"/>
                      </a:solidFill>
                    </a:uFill>
                    <a:latin typeface="Calibri"/>
                  </a:rPr>
                  <a:t>% of task type</a:t>
                </a:r>
              </a:p>
            </c:rich>
          </c:tx>
          <c:overlay val="0"/>
        </c:title>
        <c:numFmt formatCode="0%"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83975370"/>
        <c:crosses val="autoZero"/>
        <c:crossBetween val="midCat"/>
      </c:valAx>
      <c:spPr>
        <a:solidFill>
          <a:srgbClr val="ffffff"/>
        </a:solidFill>
        <a:ln>
          <a:noFill/>
        </a:ln>
      </c:spPr>
    </c:plotArea>
    <c:legend>
      <c:legendPos val="r"/>
      <c:overlay val="0"/>
      <c:spPr>
        <a:noFill/>
        <a:ln>
          <a:noFill/>
        </a:ln>
      </c:spPr>
    </c:legend>
    <c:plotVisOnly val="1"/>
    <c:dispBlanksAs val="gap"/>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 of all learning opportunities</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5"/>
                <c:pt idx="0">
                  <c:v>App Use</c:v>
                </c:pt>
                <c:pt idx="1">
                  <c:v>Equipment Use</c:v>
                </c:pt>
                <c:pt idx="2">
                  <c:v>Maintenance</c:v>
                </c:pt>
                <c:pt idx="3">
                  <c:v>Admin Matters</c:v>
                </c:pt>
                <c:pt idx="4">
                  <c:v>Not recorded</c:v>
                </c:pt>
              </c:strCache>
            </c:strRef>
          </c:cat>
          <c:val>
            <c:numRef>
              <c:f>0</c:f>
              <c:numCache>
                <c:formatCode>General</c:formatCode>
                <c:ptCount val="5"/>
                <c:pt idx="0">
                  <c:v>66</c:v>
                </c:pt>
                <c:pt idx="1">
                  <c:v>14</c:v>
                </c:pt>
                <c:pt idx="2">
                  <c:v>7</c:v>
                </c:pt>
                <c:pt idx="3">
                  <c:v>11</c:v>
                </c:pt>
                <c:pt idx="4">
                  <c:v>2</c:v>
                </c:pt>
              </c:numCache>
            </c:numRef>
          </c:val>
        </c:ser>
        <c:gapWidth val="150"/>
        <c:overlap val="0"/>
        <c:axId val="35649686"/>
        <c:axId val="13943583"/>
      </c:barChart>
      <c:catAx>
        <c:axId val="35649686"/>
        <c:scaling>
          <c:orientation val="minMax"/>
        </c:scaling>
        <c:delete val="0"/>
        <c:axPos val="b"/>
        <c:title>
          <c:tx>
            <c:rich>
              <a:bodyPr rot="0"/>
              <a:lstStyle/>
              <a:p>
                <a:pPr>
                  <a:defRPr b="1" sz="1000" spc="-1" strike="noStrike">
                    <a:solidFill>
                      <a:srgbClr val="000000"/>
                    </a:solidFill>
                    <a:uFill>
                      <a:solidFill>
                        <a:srgbClr val="ffffff"/>
                      </a:solidFill>
                    </a:uFill>
                    <a:latin typeface="Calibri"/>
                  </a:defRPr>
                </a:pPr>
                <a:r>
                  <a:rPr b="1" sz="1000" spc="-1" strike="noStrike">
                    <a:solidFill>
                      <a:srgbClr val="000000"/>
                    </a:solidFill>
                    <a:uFill>
                      <a:solidFill>
                        <a:srgbClr val="ffffff"/>
                      </a:solidFill>
                    </a:uFill>
                    <a:latin typeface="Calibri"/>
                  </a:rPr>
                  <a:t>Type of task</a:t>
                </a:r>
              </a:p>
            </c:rich>
          </c:tx>
          <c:overlay val="0"/>
        </c:title>
        <c:numFmt formatCode="DD/MM/YYYY"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13943583"/>
        <c:crosses val="autoZero"/>
        <c:auto val="1"/>
        <c:lblAlgn val="ctr"/>
        <c:lblOffset val="100"/>
      </c:catAx>
      <c:valAx>
        <c:axId val="13943583"/>
        <c:scaling>
          <c:orientation val="minMax"/>
        </c:scaling>
        <c:delete val="0"/>
        <c:axPos val="l"/>
        <c:majorGridlines>
          <c:spPr>
            <a:ln w="6480">
              <a:solidFill>
                <a:srgbClr val="8b8b8b"/>
              </a:solidFill>
              <a:round/>
            </a:ln>
          </c:spPr>
        </c:majorGridlines>
        <c:title>
          <c:tx>
            <c:rich>
              <a:bodyPr rot="-5400000"/>
              <a:lstStyle/>
              <a:p>
                <a:pPr>
                  <a:defRPr b="1" sz="1000" spc="-1" strike="noStrike">
                    <a:solidFill>
                      <a:srgbClr val="000000"/>
                    </a:solidFill>
                    <a:uFill>
                      <a:solidFill>
                        <a:srgbClr val="ffffff"/>
                      </a:solidFill>
                    </a:uFill>
                    <a:latin typeface="Calibri"/>
                  </a:defRPr>
                </a:pPr>
                <a:r>
                  <a:rPr b="1" sz="1000" spc="-1" strike="noStrike">
                    <a:solidFill>
                      <a:srgbClr val="000000"/>
                    </a:solidFill>
                    <a:uFill>
                      <a:solidFill>
                        <a:srgbClr val="ffffff"/>
                      </a:solidFill>
                    </a:uFill>
                    <a:latin typeface="Calibri"/>
                  </a:rPr>
                  <a:t>% of all learning opportunities</a:t>
                </a:r>
              </a:p>
            </c:rich>
          </c:tx>
          <c:overlay val="0"/>
        </c:title>
        <c:numFmt formatCode="General" sourceLinked="0"/>
        <c:majorTickMark val="out"/>
        <c:minorTickMark val="none"/>
        <c:tickLblPos val="nextTo"/>
        <c:spPr>
          <a:ln w="6480">
            <a:solidFill>
              <a:srgbClr val="8b8b8b"/>
            </a:solidFill>
            <a:round/>
          </a:ln>
        </c:spPr>
        <c:txPr>
          <a:bodyPr/>
          <a:p>
            <a:pPr>
              <a:defRPr b="0" sz="1000" spc="-1" strike="noStrike">
                <a:solidFill>
                  <a:srgbClr val="000000"/>
                </a:solidFill>
                <a:uFill>
                  <a:solidFill>
                    <a:srgbClr val="ffffff"/>
                  </a:solidFill>
                </a:uFill>
                <a:latin typeface="Calibri"/>
              </a:defRPr>
            </a:pPr>
          </a:p>
        </c:txPr>
        <c:crossAx val="35649686"/>
        <c:crosses val="autoZero"/>
        <c:crossBetween val="midCat"/>
      </c:valAx>
      <c:spPr>
        <a:solidFill>
          <a:srgbClr val="ffffff"/>
        </a:solidFill>
        <a:ln>
          <a:noFill/>
        </a:ln>
      </c:spPr>
    </c:plotArea>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2</TotalTime>
  <Application>LibreOffice/5.1.1.3$MacOSX_X86_64 LibreOffice_project/89f508ef3ecebd2cfb8e1def0f0ba9a803b88a6d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2016-04-25T11:53:17Z</dcterms:created>
  <dc:creator/>
  <dc:description/>
  <dc:language>fr-FR</dc:language>
  <cp:lastModifiedBy/>
  <dcterms:modified xsi:type="dcterms:W3CDTF">2016-04-25T11:55:30Z</dcterms:modified>
  <cp:revision>3</cp:revision>
  <dc:subject/>
  <dc:title/>
</cp:coreProperties>
</file>