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F1A4A" w14:textId="6DB190A0" w:rsidR="00240492" w:rsidRPr="00952DD9" w:rsidRDefault="00952DD9" w:rsidP="00952DD9">
      <w:pPr>
        <w:pStyle w:val="Heading1"/>
      </w:pPr>
      <w:bookmarkStart w:id="0" w:name="_Toc524106393"/>
      <w:r w:rsidRPr="00952DD9">
        <w:t>FORE</w:t>
      </w:r>
      <w:bookmarkStart w:id="1" w:name="_GoBack"/>
      <w:bookmarkEnd w:id="1"/>
      <w:r w:rsidRPr="00952DD9">
        <w:t>WORD TO 2018 EDITION</w:t>
      </w:r>
      <w:bookmarkEnd w:id="0"/>
    </w:p>
    <w:p w14:paraId="383043B4" w14:textId="77777777" w:rsidR="00240492" w:rsidRPr="00337EEB" w:rsidRDefault="00240492" w:rsidP="00240492">
      <w:pPr>
        <w:spacing w:line="312" w:lineRule="auto"/>
        <w:ind w:firstLine="0"/>
        <w:rPr>
          <w:szCs w:val="24"/>
          <w:lang w:val="en-GB"/>
        </w:rPr>
      </w:pPr>
      <w:r w:rsidRPr="005D1F71">
        <w:rPr>
          <w:szCs w:val="24"/>
          <w:lang w:val="en-GB"/>
        </w:rPr>
        <w:t>This book was written between 2006 and 2009 as part of my Ph.D. promotion. As often with similar cases, at that time the reasons for not publishing it outnumbered the motives to follow up</w:t>
      </w:r>
      <w:r w:rsidRPr="00FD481B">
        <w:rPr>
          <w:szCs w:val="24"/>
          <w:lang w:val="en-GB"/>
        </w:rPr>
        <w:t xml:space="preserve">. First, by the time this book was finalized, the 2008 financial crisis was ravaging Europe, and odds of engaging in a research job </w:t>
      </w:r>
      <w:r w:rsidRPr="00337EEB">
        <w:rPr>
          <w:szCs w:val="24"/>
          <w:lang w:val="en-GB"/>
        </w:rPr>
        <w:t xml:space="preserve">in social sciences and humanities were infinitesimal. Some of the research </w:t>
      </w:r>
      <w:proofErr w:type="spellStart"/>
      <w:r w:rsidRPr="00337EEB">
        <w:rPr>
          <w:szCs w:val="24"/>
          <w:lang w:val="en-GB"/>
        </w:rPr>
        <w:t>centers</w:t>
      </w:r>
      <w:proofErr w:type="spellEnd"/>
      <w:r w:rsidRPr="00337EEB">
        <w:rPr>
          <w:szCs w:val="24"/>
          <w:lang w:val="en-GB"/>
        </w:rPr>
        <w:t xml:space="preserve"> with which I collaborated in conducting this research were discontinued in the same weeks </w:t>
      </w:r>
      <w:r>
        <w:rPr>
          <w:szCs w:val="24"/>
          <w:lang w:val="en-GB"/>
        </w:rPr>
        <w:t xml:space="preserve">in which </w:t>
      </w:r>
      <w:r w:rsidRPr="00337EEB">
        <w:rPr>
          <w:szCs w:val="24"/>
          <w:lang w:val="en-GB"/>
        </w:rPr>
        <w:t xml:space="preserve">I was laying down the conclusions. In such a scenario, this book was more likely to mark the end point of my research career – as that of many others, rather than </w:t>
      </w:r>
      <w:r>
        <w:rPr>
          <w:szCs w:val="24"/>
          <w:lang w:val="en-GB"/>
        </w:rPr>
        <w:t>its</w:t>
      </w:r>
      <w:r w:rsidRPr="00337EEB">
        <w:rPr>
          <w:szCs w:val="24"/>
          <w:lang w:val="en-GB"/>
        </w:rPr>
        <w:t xml:space="preserve"> beginning. Even when publishers started to approach me, I preferred not to indulge in what at that moment appeared as pointless vanity.</w:t>
      </w:r>
    </w:p>
    <w:p w14:paraId="2EA21A6C" w14:textId="77777777" w:rsidR="00240492" w:rsidRPr="00337EEB" w:rsidRDefault="00240492" w:rsidP="00240492">
      <w:pPr>
        <w:spacing w:line="312" w:lineRule="auto"/>
        <w:ind w:firstLine="0"/>
        <w:rPr>
          <w:szCs w:val="24"/>
          <w:lang w:val="en-GB"/>
        </w:rPr>
      </w:pPr>
    </w:p>
    <w:p w14:paraId="1BDC6665" w14:textId="77777777" w:rsidR="00240492" w:rsidRPr="00337EEB" w:rsidRDefault="00240492" w:rsidP="00240492">
      <w:pPr>
        <w:spacing w:line="312" w:lineRule="auto"/>
        <w:ind w:firstLine="0"/>
        <w:rPr>
          <w:szCs w:val="24"/>
          <w:lang w:val="en-GB"/>
        </w:rPr>
      </w:pPr>
      <w:r w:rsidRPr="00337EEB">
        <w:rPr>
          <w:szCs w:val="24"/>
          <w:lang w:val="en-GB"/>
        </w:rPr>
        <w:t>Second, at that time I was probably not fully aware of the importance of keeping a memory of the present. Being myself involved in some digital communitarian initiatives, conducting research was a way to reflect upon our collective grassroots practices in a moment</w:t>
      </w:r>
      <w:r>
        <w:rPr>
          <w:szCs w:val="24"/>
          <w:lang w:val="en-GB"/>
        </w:rPr>
        <w:t xml:space="preserve"> in which they were mimicked by</w:t>
      </w:r>
      <w:r w:rsidRPr="00337EEB">
        <w:rPr>
          <w:szCs w:val="24"/>
          <w:lang w:val="en-GB"/>
        </w:rPr>
        <w:t xml:space="preserve"> commercial services run by multinational corporations. The attempt to figure out in what </w:t>
      </w:r>
      <w:r>
        <w:rPr>
          <w:szCs w:val="24"/>
          <w:lang w:val="en-GB"/>
        </w:rPr>
        <w:t xml:space="preserve">ways </w:t>
      </w:r>
      <w:r w:rsidRPr="00337EEB">
        <w:rPr>
          <w:szCs w:val="24"/>
          <w:lang w:val="en-GB"/>
        </w:rPr>
        <w:t>our practices and infrastructures were different from the emerging services prevailed over the thrust</w:t>
      </w:r>
      <w:r>
        <w:rPr>
          <w:szCs w:val="24"/>
          <w:lang w:val="en-GB"/>
        </w:rPr>
        <w:t xml:space="preserve"> to </w:t>
      </w:r>
      <w:r w:rsidRPr="00337EEB">
        <w:rPr>
          <w:szCs w:val="24"/>
          <w:lang w:val="en-GB"/>
        </w:rPr>
        <w:t>historiciz</w:t>
      </w:r>
      <w:r>
        <w:rPr>
          <w:szCs w:val="24"/>
          <w:lang w:val="en-GB"/>
        </w:rPr>
        <w:t>e</w:t>
      </w:r>
      <w:r w:rsidRPr="00337EEB">
        <w:rPr>
          <w:szCs w:val="24"/>
          <w:lang w:val="en-GB"/>
        </w:rPr>
        <w:t>.</w:t>
      </w:r>
    </w:p>
    <w:p w14:paraId="7150FD44" w14:textId="77777777" w:rsidR="00240492" w:rsidRPr="00337EEB" w:rsidRDefault="00240492" w:rsidP="00240492">
      <w:pPr>
        <w:spacing w:line="312" w:lineRule="auto"/>
        <w:ind w:firstLine="0"/>
        <w:rPr>
          <w:szCs w:val="24"/>
          <w:lang w:val="en-GB"/>
        </w:rPr>
      </w:pPr>
    </w:p>
    <w:p w14:paraId="4B110BF8" w14:textId="77777777" w:rsidR="00240492" w:rsidRPr="005D1F71" w:rsidRDefault="00240492" w:rsidP="00240492">
      <w:pPr>
        <w:spacing w:line="312" w:lineRule="auto"/>
        <w:ind w:firstLine="0"/>
        <w:rPr>
          <w:szCs w:val="24"/>
          <w:lang w:val="en-GB"/>
        </w:rPr>
      </w:pPr>
      <w:r w:rsidRPr="00337EEB">
        <w:rPr>
          <w:szCs w:val="24"/>
          <w:lang w:val="en-GB"/>
        </w:rPr>
        <w:t>Last but definitely not least, as a young researcher</w:t>
      </w:r>
      <w:r>
        <w:rPr>
          <w:szCs w:val="24"/>
          <w:lang w:val="en-GB"/>
        </w:rPr>
        <w:t xml:space="preserve">, I </w:t>
      </w:r>
      <w:r w:rsidRPr="00337EEB">
        <w:rPr>
          <w:szCs w:val="24"/>
          <w:lang w:val="en-GB"/>
        </w:rPr>
        <w:t xml:space="preserve">was caught in </w:t>
      </w:r>
      <w:r w:rsidRPr="00DB4CBB">
        <w:rPr>
          <w:szCs w:val="24"/>
          <w:lang w:val="en-GB"/>
        </w:rPr>
        <w:t xml:space="preserve">the modesty of the witness. As Haraway </w:t>
      </w:r>
      <w:r w:rsidRPr="004B42EE">
        <w:rPr>
          <w:szCs w:val="24"/>
          <w:lang w:val="en-GB"/>
        </w:rPr>
        <w:t>has recalled, in order for modesty to be visible, the modest witness must be invisible.</w:t>
      </w:r>
      <w:r w:rsidRPr="00D50C43">
        <w:rPr>
          <w:rStyle w:val="FootnoteReference"/>
          <w:szCs w:val="24"/>
          <w:lang w:val="en-GB"/>
        </w:rPr>
        <w:footnoteReference w:id="1"/>
      </w:r>
      <w:r w:rsidRPr="00D50C43">
        <w:rPr>
          <w:szCs w:val="24"/>
          <w:lang w:val="en-GB"/>
        </w:rPr>
        <w:t xml:space="preserve"> It t</w:t>
      </w:r>
      <w:r w:rsidRPr="00442E07">
        <w:rPr>
          <w:szCs w:val="24"/>
          <w:lang w:val="en-GB"/>
        </w:rPr>
        <w:t>ook me some years, several readings</w:t>
      </w:r>
      <w:r w:rsidRPr="00D40CF0">
        <w:rPr>
          <w:szCs w:val="24"/>
          <w:lang w:val="en-GB"/>
        </w:rPr>
        <w:t>,</w:t>
      </w:r>
      <w:r w:rsidRPr="0041636B">
        <w:rPr>
          <w:szCs w:val="24"/>
          <w:lang w:val="en-GB"/>
        </w:rPr>
        <w:t xml:space="preserve"> </w:t>
      </w:r>
      <w:r w:rsidRPr="00032C17">
        <w:rPr>
          <w:szCs w:val="24"/>
          <w:lang w:val="en-GB"/>
        </w:rPr>
        <w:t xml:space="preserve">and many meaningful relationships </w:t>
      </w:r>
      <w:r w:rsidRPr="00542C1B">
        <w:rPr>
          <w:szCs w:val="24"/>
          <w:lang w:val="en-GB"/>
        </w:rPr>
        <w:t xml:space="preserve">to </w:t>
      </w:r>
      <w:r w:rsidRPr="002F0E20">
        <w:rPr>
          <w:szCs w:val="24"/>
          <w:lang w:val="en-GB"/>
        </w:rPr>
        <w:t xml:space="preserve">realize that modesty and invisibility are a luxury that women cannot afford. I wish to thank Joy Clancy, Stefania Milan, Nelly </w:t>
      </w:r>
      <w:proofErr w:type="spellStart"/>
      <w:r w:rsidRPr="002F0E20">
        <w:rPr>
          <w:szCs w:val="24"/>
          <w:lang w:val="en-GB"/>
        </w:rPr>
        <w:t>Oudshoorn</w:t>
      </w:r>
      <w:proofErr w:type="spellEnd"/>
      <w:r w:rsidRPr="002F0E20">
        <w:rPr>
          <w:szCs w:val="24"/>
          <w:lang w:val="en-GB"/>
        </w:rPr>
        <w:t xml:space="preserve">, </w:t>
      </w:r>
      <w:proofErr w:type="spellStart"/>
      <w:r w:rsidRPr="002F0E20">
        <w:rPr>
          <w:szCs w:val="24"/>
          <w:lang w:val="en-GB"/>
        </w:rPr>
        <w:t>Lissa</w:t>
      </w:r>
      <w:proofErr w:type="spellEnd"/>
      <w:r w:rsidRPr="002F0E20">
        <w:rPr>
          <w:szCs w:val="24"/>
          <w:lang w:val="en-GB"/>
        </w:rPr>
        <w:t xml:space="preserve"> Roberts – and more recently Evelyn </w:t>
      </w:r>
      <w:proofErr w:type="spellStart"/>
      <w:r w:rsidRPr="002F0E20">
        <w:rPr>
          <w:szCs w:val="24"/>
          <w:lang w:val="en-GB"/>
        </w:rPr>
        <w:t>Ruppert</w:t>
      </w:r>
      <w:proofErr w:type="spellEnd"/>
      <w:r w:rsidRPr="002F0E20">
        <w:rPr>
          <w:szCs w:val="24"/>
          <w:lang w:val="en-GB"/>
        </w:rPr>
        <w:t xml:space="preserve">, Anita Say Chan, Lucy </w:t>
      </w:r>
      <w:proofErr w:type="spellStart"/>
      <w:r w:rsidRPr="002F0E20">
        <w:rPr>
          <w:szCs w:val="24"/>
          <w:lang w:val="en-GB"/>
        </w:rPr>
        <w:t>Suchman</w:t>
      </w:r>
      <w:proofErr w:type="spellEnd"/>
      <w:r w:rsidRPr="002F0E20">
        <w:rPr>
          <w:szCs w:val="24"/>
          <w:lang w:val="en-GB"/>
        </w:rPr>
        <w:t>, and Sally Wyatt – for having nurtured this awareness. I am also deepl</w:t>
      </w:r>
      <w:r w:rsidRPr="005D1F71">
        <w:rPr>
          <w:szCs w:val="24"/>
          <w:lang w:val="en-GB"/>
        </w:rPr>
        <w:t xml:space="preserve">y grateful to Geert </w:t>
      </w:r>
      <w:proofErr w:type="spellStart"/>
      <w:r w:rsidRPr="005D1F71">
        <w:rPr>
          <w:szCs w:val="24"/>
          <w:lang w:val="en-GB"/>
        </w:rPr>
        <w:t>Lovink</w:t>
      </w:r>
      <w:proofErr w:type="spellEnd"/>
      <w:r w:rsidRPr="005D1F71">
        <w:rPr>
          <w:szCs w:val="24"/>
          <w:lang w:val="en-GB"/>
        </w:rPr>
        <w:t xml:space="preserve"> and Miriam Rasch at the </w:t>
      </w:r>
      <w:r w:rsidRPr="005D1F71">
        <w:rPr>
          <w:i/>
          <w:szCs w:val="24"/>
          <w:lang w:val="en-GB"/>
        </w:rPr>
        <w:t>Institute of Networked Cultures</w:t>
      </w:r>
      <w:r w:rsidRPr="005D1F71">
        <w:rPr>
          <w:szCs w:val="24"/>
          <w:lang w:val="en-GB"/>
        </w:rPr>
        <w:t xml:space="preserve"> in Amsterdam for having expressed their enthusiasm in making this work visible.</w:t>
      </w:r>
    </w:p>
    <w:p w14:paraId="68050315" w14:textId="77777777" w:rsidR="00240492" w:rsidRPr="005D1F71" w:rsidRDefault="00240492" w:rsidP="00240492">
      <w:pPr>
        <w:spacing w:line="312" w:lineRule="auto"/>
        <w:ind w:firstLine="0"/>
        <w:rPr>
          <w:szCs w:val="24"/>
          <w:lang w:val="en-GB"/>
        </w:rPr>
      </w:pPr>
    </w:p>
    <w:p w14:paraId="23541C3D" w14:textId="77777777" w:rsidR="00240492" w:rsidRPr="004B42EE" w:rsidRDefault="00240492" w:rsidP="00240492">
      <w:pPr>
        <w:spacing w:line="312" w:lineRule="auto"/>
        <w:ind w:firstLine="0"/>
        <w:rPr>
          <w:szCs w:val="24"/>
          <w:lang w:val="en-GB"/>
        </w:rPr>
      </w:pPr>
      <w:r w:rsidRPr="005D1F71">
        <w:rPr>
          <w:szCs w:val="24"/>
          <w:lang w:val="en-GB"/>
        </w:rPr>
        <w:t xml:space="preserve">So, why have I made </w:t>
      </w:r>
      <w:r>
        <w:rPr>
          <w:szCs w:val="24"/>
          <w:lang w:val="en-GB"/>
        </w:rPr>
        <w:t xml:space="preserve">up </w:t>
      </w:r>
      <w:r w:rsidRPr="005D1F71">
        <w:rPr>
          <w:szCs w:val="24"/>
          <w:lang w:val="en-GB"/>
        </w:rPr>
        <w:t>my mind and decide to publish this book almost ten years after its first release for academic purposes?</w:t>
      </w:r>
      <w:r w:rsidRPr="005D1F71">
        <w:rPr>
          <w:lang w:val="en-GB"/>
        </w:rPr>
        <w:t xml:space="preserve"> </w:t>
      </w:r>
      <w:r w:rsidRPr="005D1F71">
        <w:rPr>
          <w:szCs w:val="24"/>
          <w:lang w:val="en-GB"/>
        </w:rPr>
        <w:t xml:space="preserve">A few factors led me to </w:t>
      </w:r>
      <w:r>
        <w:rPr>
          <w:szCs w:val="24"/>
          <w:lang w:val="en-GB"/>
        </w:rPr>
        <w:t>overcome</w:t>
      </w:r>
      <w:r w:rsidRPr="005D1F71">
        <w:rPr>
          <w:szCs w:val="24"/>
          <w:lang w:val="en-GB"/>
        </w:rPr>
        <w:t xml:space="preserve"> my reticence. First, in January 2017 I read a </w:t>
      </w:r>
      <w:r w:rsidRPr="005D1F71">
        <w:rPr>
          <w:i/>
          <w:szCs w:val="24"/>
          <w:lang w:val="en-GB"/>
        </w:rPr>
        <w:t>Wired</w:t>
      </w:r>
      <w:r w:rsidRPr="005D1F71">
        <w:rPr>
          <w:szCs w:val="24"/>
          <w:lang w:val="en-GB"/>
        </w:rPr>
        <w:t xml:space="preserve"> article titled ‘How Silicon Valley </w:t>
      </w:r>
      <w:r w:rsidRPr="005D1F71">
        <w:rPr>
          <w:szCs w:val="24"/>
          <w:lang w:val="en-GB"/>
        </w:rPr>
        <w:lastRenderedPageBreak/>
        <w:t>Utopianism Brought You the Dystopian Trump Presidency’.</w:t>
      </w:r>
      <w:r>
        <w:rPr>
          <w:rStyle w:val="FootnoteReference"/>
          <w:szCs w:val="24"/>
          <w:lang w:val="en-GB"/>
        </w:rPr>
        <w:footnoteReference w:id="2"/>
      </w:r>
      <w:r w:rsidRPr="005D1F71">
        <w:rPr>
          <w:szCs w:val="24"/>
          <w:lang w:val="en-GB"/>
        </w:rPr>
        <w:t xml:space="preserve"> The main argument </w:t>
      </w:r>
      <w:r>
        <w:rPr>
          <w:szCs w:val="24"/>
          <w:lang w:val="en-GB"/>
        </w:rPr>
        <w:t>of this article that</w:t>
      </w:r>
      <w:r w:rsidRPr="005D1F71">
        <w:rPr>
          <w:szCs w:val="24"/>
          <w:lang w:val="en-GB"/>
        </w:rPr>
        <w:t xml:space="preserve"> Donal</w:t>
      </w:r>
      <w:r>
        <w:rPr>
          <w:szCs w:val="24"/>
          <w:lang w:val="en-GB"/>
        </w:rPr>
        <w:t>d</w:t>
      </w:r>
      <w:r w:rsidRPr="005D1F71">
        <w:rPr>
          <w:szCs w:val="24"/>
          <w:lang w:val="en-GB"/>
        </w:rPr>
        <w:t xml:space="preserve"> Trump came to power by cleverly harnessing cyberculture’s libertarian myths and social media</w:t>
      </w:r>
      <w:r>
        <w:rPr>
          <w:szCs w:val="24"/>
          <w:lang w:val="en-GB"/>
        </w:rPr>
        <w:t>,</w:t>
      </w:r>
      <w:r w:rsidRPr="005D1F71">
        <w:rPr>
          <w:szCs w:val="24"/>
          <w:lang w:val="en-GB"/>
        </w:rPr>
        <w:t xml:space="preserve"> was embarrassing. </w:t>
      </w:r>
      <w:r w:rsidRPr="00337EEB">
        <w:rPr>
          <w:i/>
          <w:szCs w:val="24"/>
          <w:lang w:val="en-GB"/>
        </w:rPr>
        <w:t>Wired</w:t>
      </w:r>
      <w:r w:rsidRPr="00337EEB">
        <w:rPr>
          <w:szCs w:val="24"/>
          <w:lang w:val="en-GB"/>
        </w:rPr>
        <w:t xml:space="preserve"> was </w:t>
      </w:r>
      <w:r>
        <w:rPr>
          <w:szCs w:val="24"/>
          <w:lang w:val="en-GB"/>
        </w:rPr>
        <w:t xml:space="preserve">indeed </w:t>
      </w:r>
      <w:r w:rsidRPr="00337EEB">
        <w:rPr>
          <w:szCs w:val="24"/>
          <w:lang w:val="en-GB"/>
        </w:rPr>
        <w:t xml:space="preserve">admitting that populism has been boosted by social media and underpinned by libertarian credos. </w:t>
      </w:r>
      <w:r>
        <w:rPr>
          <w:szCs w:val="24"/>
          <w:lang w:val="en-GB"/>
        </w:rPr>
        <w:t xml:space="preserve">The source of </w:t>
      </w:r>
      <w:proofErr w:type="spellStart"/>
      <w:r>
        <w:rPr>
          <w:szCs w:val="24"/>
          <w:lang w:val="en-GB"/>
        </w:rPr>
        <w:t>embarassement</w:t>
      </w:r>
      <w:proofErr w:type="spellEnd"/>
      <w:r>
        <w:rPr>
          <w:szCs w:val="24"/>
          <w:lang w:val="en-GB"/>
        </w:rPr>
        <w:t xml:space="preserve"> was that </w:t>
      </w:r>
      <w:r w:rsidRPr="0049482B">
        <w:rPr>
          <w:i/>
          <w:szCs w:val="24"/>
          <w:lang w:val="en-GB"/>
        </w:rPr>
        <w:t>Wired</w:t>
      </w:r>
      <w:r>
        <w:rPr>
          <w:szCs w:val="24"/>
          <w:lang w:val="en-GB"/>
        </w:rPr>
        <w:t xml:space="preserve"> was writing it. One could say that n</w:t>
      </w:r>
      <w:r w:rsidRPr="00337EEB">
        <w:rPr>
          <w:szCs w:val="24"/>
          <w:lang w:val="en-GB"/>
        </w:rPr>
        <w:t xml:space="preserve">owadays no one can avoid being populist, for the reason that cultural traits introduced by libertarian cyberculture are not recognized anymore in their historically situated genesis. They have become universal and </w:t>
      </w:r>
      <w:r w:rsidRPr="00337EEB">
        <w:rPr>
          <w:i/>
          <w:szCs w:val="24"/>
          <w:lang w:val="en-GB"/>
        </w:rPr>
        <w:t>Wired</w:t>
      </w:r>
      <w:r w:rsidRPr="00337EEB">
        <w:rPr>
          <w:szCs w:val="24"/>
          <w:lang w:val="en-GB"/>
        </w:rPr>
        <w:t xml:space="preserve"> </w:t>
      </w:r>
      <w:r>
        <w:rPr>
          <w:szCs w:val="24"/>
          <w:lang w:val="en-GB"/>
        </w:rPr>
        <w:t xml:space="preserve">has </w:t>
      </w:r>
      <w:r w:rsidRPr="00337EEB">
        <w:rPr>
          <w:szCs w:val="24"/>
          <w:lang w:val="en-GB"/>
        </w:rPr>
        <w:t xml:space="preserve">had a major role in such universalization. </w:t>
      </w:r>
      <w:r w:rsidRPr="00DB4CBB">
        <w:rPr>
          <w:szCs w:val="24"/>
          <w:lang w:val="en-GB"/>
        </w:rPr>
        <w:t>Only an arch</w:t>
      </w:r>
      <w:r>
        <w:rPr>
          <w:szCs w:val="24"/>
          <w:lang w:val="en-GB"/>
        </w:rPr>
        <w:t>a</w:t>
      </w:r>
      <w:r w:rsidRPr="00DB4CBB">
        <w:rPr>
          <w:szCs w:val="24"/>
          <w:lang w:val="en-GB"/>
        </w:rPr>
        <w:t xml:space="preserve">eology can return </w:t>
      </w:r>
      <w:proofErr w:type="spellStart"/>
      <w:r w:rsidRPr="00DB4CBB">
        <w:rPr>
          <w:szCs w:val="24"/>
          <w:lang w:val="en-GB"/>
        </w:rPr>
        <w:t>anarco</w:t>
      </w:r>
      <w:proofErr w:type="spellEnd"/>
      <w:r w:rsidRPr="00DB4CBB">
        <w:rPr>
          <w:szCs w:val="24"/>
          <w:lang w:val="en-GB"/>
        </w:rPr>
        <w:t>-individualism, suspicion of institutions</w:t>
      </w:r>
      <w:r>
        <w:rPr>
          <w:szCs w:val="24"/>
          <w:lang w:val="en-GB"/>
        </w:rPr>
        <w:t>,</w:t>
      </w:r>
      <w:r w:rsidRPr="00DB4CBB">
        <w:rPr>
          <w:szCs w:val="24"/>
          <w:lang w:val="en-GB"/>
        </w:rPr>
        <w:t xml:space="preserve"> and techno-localism to their </w:t>
      </w:r>
      <w:r w:rsidRPr="004B42EE">
        <w:rPr>
          <w:szCs w:val="24"/>
          <w:lang w:val="en-GB"/>
        </w:rPr>
        <w:t>historical context, and thus trim their universalistic reach. To some extent, this book constitutes an archaeology. A double arch</w:t>
      </w:r>
      <w:r>
        <w:rPr>
          <w:szCs w:val="24"/>
          <w:lang w:val="en-GB"/>
        </w:rPr>
        <w:t>a</w:t>
      </w:r>
      <w:r w:rsidRPr="004B42EE">
        <w:rPr>
          <w:szCs w:val="24"/>
          <w:lang w:val="en-GB"/>
        </w:rPr>
        <w:t>eology. I will soon return to this point.</w:t>
      </w:r>
    </w:p>
    <w:p w14:paraId="6CCC214E" w14:textId="77777777" w:rsidR="00240492" w:rsidRPr="0021572C" w:rsidRDefault="00240492" w:rsidP="00240492">
      <w:pPr>
        <w:spacing w:line="312" w:lineRule="auto"/>
        <w:ind w:firstLine="0"/>
        <w:rPr>
          <w:szCs w:val="24"/>
          <w:lang w:val="en-GB"/>
        </w:rPr>
      </w:pPr>
    </w:p>
    <w:p w14:paraId="6E26A2AC" w14:textId="77777777" w:rsidR="00240492" w:rsidRPr="00671EF3" w:rsidRDefault="00240492" w:rsidP="00240492">
      <w:pPr>
        <w:spacing w:line="312" w:lineRule="auto"/>
        <w:ind w:firstLine="0"/>
        <w:rPr>
          <w:szCs w:val="24"/>
          <w:lang w:val="en-GB"/>
        </w:rPr>
      </w:pPr>
      <w:r w:rsidRPr="0021572C">
        <w:rPr>
          <w:szCs w:val="24"/>
          <w:lang w:val="en-GB"/>
        </w:rPr>
        <w:t>Second,</w:t>
      </w:r>
      <w:r w:rsidRPr="0021572C">
        <w:t xml:space="preserve"> </w:t>
      </w:r>
      <w:r w:rsidRPr="0021572C">
        <w:rPr>
          <w:szCs w:val="24"/>
          <w:lang w:val="en-GB"/>
        </w:rPr>
        <w:t>the Cambridge Analytica scandal is only starting to reveal the subtle mechanisms of manipulation allowed by social media platforms.</w:t>
      </w:r>
      <w:r w:rsidRPr="0021572C">
        <w:t xml:space="preserve"> </w:t>
      </w:r>
      <w:r w:rsidRPr="0021572C">
        <w:rPr>
          <w:szCs w:val="24"/>
          <w:lang w:val="en-GB"/>
        </w:rPr>
        <w:t xml:space="preserve">For those who participated in the early 2000s critical internet studies wave, these revelations can hardly come as a surprise. </w:t>
      </w:r>
      <w:r w:rsidRPr="00DD4B26">
        <w:rPr>
          <w:szCs w:val="24"/>
          <w:lang w:val="en-GB"/>
        </w:rPr>
        <w:t>Very early social media abdicated to their communitarian, peer origins, and reproduced the intermediated broadcasting model. I</w:t>
      </w:r>
      <w:r w:rsidRPr="0021572C">
        <w:rPr>
          <w:szCs w:val="24"/>
          <w:lang w:val="en-GB"/>
        </w:rPr>
        <w:t xml:space="preserve">t is thus worthwhile to recall </w:t>
      </w:r>
      <w:r w:rsidRPr="00671EF3">
        <w:rPr>
          <w:szCs w:val="24"/>
          <w:lang w:val="en-GB"/>
        </w:rPr>
        <w:t>– as this book does in its first part – the genesis of the Web 2.0 ideology in a period in which internet cultures were confused by the Dotcom burst and new business models were lagging behind.</w:t>
      </w:r>
    </w:p>
    <w:p w14:paraId="5B3B8BB5" w14:textId="77777777" w:rsidR="00240492" w:rsidRPr="00671EF3" w:rsidRDefault="00240492" w:rsidP="00240492">
      <w:pPr>
        <w:spacing w:line="312" w:lineRule="auto"/>
        <w:ind w:firstLine="0"/>
        <w:rPr>
          <w:szCs w:val="24"/>
          <w:lang w:val="en-GB"/>
        </w:rPr>
      </w:pPr>
    </w:p>
    <w:p w14:paraId="166B75E6" w14:textId="77777777" w:rsidR="00240492" w:rsidRPr="00811568" w:rsidRDefault="00240492" w:rsidP="00240492">
      <w:pPr>
        <w:spacing w:line="312" w:lineRule="auto"/>
        <w:ind w:firstLine="0"/>
        <w:rPr>
          <w:szCs w:val="24"/>
          <w:lang w:val="en-GB"/>
        </w:rPr>
      </w:pPr>
      <w:r w:rsidRPr="00671EF3">
        <w:rPr>
          <w:szCs w:val="24"/>
          <w:lang w:val="en-GB"/>
        </w:rPr>
        <w:t xml:space="preserve">This point brings me to the third reason for publishing this book now. The book is thought for those who have not lived the early days of the Web 2.0 hype, a cohort that has now reached the age of higher education. These are primarily Generation Z students and those who are interested in how the internet looked like before </w:t>
      </w:r>
      <w:r w:rsidRPr="00671EF3">
        <w:rPr>
          <w:i/>
          <w:szCs w:val="24"/>
          <w:lang w:val="en-GB"/>
        </w:rPr>
        <w:t>Facebook</w:t>
      </w:r>
      <w:r w:rsidRPr="00D81ED5">
        <w:rPr>
          <w:szCs w:val="24"/>
          <w:lang w:val="en-GB"/>
        </w:rPr>
        <w:t xml:space="preserve"> and </w:t>
      </w:r>
      <w:r w:rsidRPr="00D81ED5">
        <w:rPr>
          <w:i/>
          <w:szCs w:val="24"/>
          <w:lang w:val="en-GB"/>
        </w:rPr>
        <w:t>YouTube</w:t>
      </w:r>
      <w:r w:rsidRPr="00D81ED5">
        <w:rPr>
          <w:szCs w:val="24"/>
          <w:lang w:val="en-GB"/>
        </w:rPr>
        <w:t>. My students at a</w:t>
      </w:r>
      <w:r>
        <w:rPr>
          <w:szCs w:val="24"/>
          <w:lang w:val="en-GB"/>
        </w:rPr>
        <w:t xml:space="preserve"> </w:t>
      </w:r>
      <w:r w:rsidRPr="00D81ED5">
        <w:rPr>
          <w:szCs w:val="24"/>
          <w:lang w:val="en-GB"/>
        </w:rPr>
        <w:t>technical university in Northern Europe</w:t>
      </w:r>
      <w:r w:rsidRPr="006B21D2">
        <w:rPr>
          <w:szCs w:val="24"/>
          <w:lang w:val="en-GB"/>
        </w:rPr>
        <w:t xml:space="preserve">, for example, know about the mailing list culture of the 1990s. They also know about art </w:t>
      </w:r>
      <w:r w:rsidRPr="0067335F">
        <w:rPr>
          <w:szCs w:val="24"/>
          <w:lang w:val="en-GB"/>
        </w:rPr>
        <w:t xml:space="preserve">and communitarian experiments in the same period. However, they know less about how utopian roots turned into ideologies that eventually brought </w:t>
      </w:r>
      <w:r>
        <w:rPr>
          <w:szCs w:val="24"/>
          <w:lang w:val="en-GB"/>
        </w:rPr>
        <w:t>on</w:t>
      </w:r>
      <w:r w:rsidRPr="0067335F">
        <w:rPr>
          <w:szCs w:val="24"/>
          <w:lang w:val="en-GB"/>
        </w:rPr>
        <w:t xml:space="preserve"> the commercialization of the internet, its geographical closure</w:t>
      </w:r>
      <w:r>
        <w:rPr>
          <w:szCs w:val="24"/>
          <w:lang w:val="en-GB"/>
        </w:rPr>
        <w:t>,</w:t>
      </w:r>
      <w:r w:rsidRPr="0067335F">
        <w:rPr>
          <w:szCs w:val="24"/>
          <w:lang w:val="en-GB"/>
        </w:rPr>
        <w:t xml:space="preserve"> and its </w:t>
      </w:r>
      <w:proofErr w:type="spellStart"/>
      <w:r w:rsidRPr="0067335F">
        <w:rPr>
          <w:szCs w:val="24"/>
          <w:lang w:val="en-GB"/>
        </w:rPr>
        <w:t>securization</w:t>
      </w:r>
      <w:proofErr w:type="spellEnd"/>
      <w:r w:rsidRPr="0067335F">
        <w:rPr>
          <w:szCs w:val="24"/>
          <w:lang w:val="en-GB"/>
        </w:rPr>
        <w:t xml:space="preserve">. While the goal of this book is not nostalgic, it suggests that things could </w:t>
      </w:r>
      <w:r>
        <w:rPr>
          <w:szCs w:val="24"/>
          <w:lang w:val="en-GB"/>
        </w:rPr>
        <w:t xml:space="preserve">have </w:t>
      </w:r>
      <w:r w:rsidRPr="0067335F">
        <w:rPr>
          <w:szCs w:val="24"/>
          <w:lang w:val="en-GB"/>
        </w:rPr>
        <w:t>be</w:t>
      </w:r>
      <w:r>
        <w:rPr>
          <w:szCs w:val="24"/>
          <w:lang w:val="en-GB"/>
        </w:rPr>
        <w:t>en</w:t>
      </w:r>
      <w:r w:rsidRPr="0067335F">
        <w:rPr>
          <w:szCs w:val="24"/>
          <w:lang w:val="en-GB"/>
        </w:rPr>
        <w:t xml:space="preserve"> otherwise. </w:t>
      </w:r>
    </w:p>
    <w:p w14:paraId="3396B58C" w14:textId="77777777" w:rsidR="00240492" w:rsidRPr="00811568" w:rsidRDefault="00240492" w:rsidP="00240492">
      <w:pPr>
        <w:spacing w:line="312" w:lineRule="auto"/>
        <w:ind w:firstLine="0"/>
        <w:rPr>
          <w:szCs w:val="24"/>
          <w:lang w:val="en-GB"/>
        </w:rPr>
      </w:pPr>
    </w:p>
    <w:p w14:paraId="37BF9028" w14:textId="77777777" w:rsidR="00240492" w:rsidRPr="00696BAA" w:rsidRDefault="00240492" w:rsidP="00240492">
      <w:pPr>
        <w:spacing w:line="312" w:lineRule="auto"/>
        <w:ind w:firstLine="0"/>
        <w:rPr>
          <w:szCs w:val="24"/>
          <w:lang w:val="en-GB"/>
        </w:rPr>
      </w:pPr>
      <w:r w:rsidRPr="00811568">
        <w:rPr>
          <w:szCs w:val="24"/>
          <w:lang w:val="en-GB"/>
        </w:rPr>
        <w:t>In 2018, a</w:t>
      </w:r>
      <w:r w:rsidRPr="00811568">
        <w:t xml:space="preserve"> </w:t>
      </w:r>
      <w:r w:rsidRPr="00811568">
        <w:rPr>
          <w:szCs w:val="24"/>
          <w:lang w:val="en-GB"/>
        </w:rPr>
        <w:t>book written between 2006 and 2009 can be read under the lens of a double arch</w:t>
      </w:r>
      <w:r>
        <w:rPr>
          <w:szCs w:val="24"/>
          <w:lang w:val="en-GB"/>
        </w:rPr>
        <w:t>a</w:t>
      </w:r>
      <w:r w:rsidRPr="00811568">
        <w:rPr>
          <w:szCs w:val="24"/>
          <w:lang w:val="en-GB"/>
        </w:rPr>
        <w:t xml:space="preserve">eology. On one hand, the 2009 edition encompassed hegemonic and </w:t>
      </w:r>
      <w:proofErr w:type="spellStart"/>
      <w:r w:rsidRPr="00811568">
        <w:rPr>
          <w:szCs w:val="24"/>
          <w:lang w:val="en-GB"/>
        </w:rPr>
        <w:lastRenderedPageBreak/>
        <w:t>minoritiarian</w:t>
      </w:r>
      <w:proofErr w:type="spellEnd"/>
      <w:r w:rsidRPr="00811568">
        <w:rPr>
          <w:szCs w:val="24"/>
          <w:lang w:val="en-GB"/>
        </w:rPr>
        <w:t xml:space="preserve"> early digital experiences. </w:t>
      </w:r>
      <w:r>
        <w:rPr>
          <w:szCs w:val="24"/>
          <w:lang w:val="en-GB"/>
        </w:rPr>
        <w:t>F</w:t>
      </w:r>
      <w:r w:rsidRPr="00811568">
        <w:rPr>
          <w:szCs w:val="24"/>
          <w:lang w:val="en-GB"/>
        </w:rPr>
        <w:t xml:space="preserve">rom the here-and-now of 2009, it looked back to the genesis of network cultures in </w:t>
      </w:r>
      <w:r>
        <w:rPr>
          <w:szCs w:val="24"/>
          <w:lang w:val="en-GB"/>
        </w:rPr>
        <w:t xml:space="preserve">the </w:t>
      </w:r>
      <w:r w:rsidRPr="00811568">
        <w:rPr>
          <w:szCs w:val="24"/>
          <w:lang w:val="en-GB"/>
        </w:rPr>
        <w:t>1980s and 1990s. In the second part, it compared those early discourses and practices to</w:t>
      </w:r>
      <w:r w:rsidRPr="007F0DAA">
        <w:rPr>
          <w:szCs w:val="24"/>
          <w:lang w:val="en-GB"/>
        </w:rPr>
        <w:t xml:space="preserve"> current communitarian developments.</w:t>
      </w:r>
      <w:r w:rsidRPr="009945D6">
        <w:rPr>
          <w:szCs w:val="24"/>
          <w:lang w:val="en-GB"/>
        </w:rPr>
        <w:t xml:space="preserve"> On the other hand, this 2018 edition adds a second level of </w:t>
      </w:r>
      <w:proofErr w:type="spellStart"/>
      <w:r w:rsidRPr="009945D6">
        <w:rPr>
          <w:szCs w:val="24"/>
          <w:lang w:val="en-GB"/>
        </w:rPr>
        <w:t>historicization</w:t>
      </w:r>
      <w:proofErr w:type="spellEnd"/>
      <w:r w:rsidRPr="009945D6">
        <w:rPr>
          <w:szCs w:val="24"/>
          <w:lang w:val="en-GB"/>
        </w:rPr>
        <w:t>.</w:t>
      </w:r>
      <w:r>
        <w:rPr>
          <w:szCs w:val="24"/>
          <w:lang w:val="en-GB"/>
        </w:rPr>
        <w:t xml:space="preserve"> From the 2018-</w:t>
      </w:r>
      <w:r w:rsidRPr="009945D6">
        <w:rPr>
          <w:szCs w:val="24"/>
          <w:lang w:val="en-GB"/>
        </w:rPr>
        <w:t xml:space="preserve">now, </w:t>
      </w:r>
      <w:r w:rsidRPr="00E77477">
        <w:rPr>
          <w:szCs w:val="24"/>
          <w:lang w:val="en-GB"/>
        </w:rPr>
        <w:t xml:space="preserve">it looks back ten years, before Snowden, </w:t>
      </w:r>
      <w:r w:rsidRPr="00664C76">
        <w:rPr>
          <w:szCs w:val="24"/>
          <w:lang w:val="en-GB"/>
        </w:rPr>
        <w:t xml:space="preserve">when Lawrence Lessig was committed to foster </w:t>
      </w:r>
      <w:r>
        <w:rPr>
          <w:szCs w:val="24"/>
          <w:lang w:val="en-GB"/>
        </w:rPr>
        <w:t xml:space="preserve">the </w:t>
      </w:r>
      <w:r w:rsidRPr="00664C76">
        <w:rPr>
          <w:szCs w:val="24"/>
          <w:lang w:val="en-GB"/>
        </w:rPr>
        <w:t xml:space="preserve">Creative Commons, </w:t>
      </w:r>
      <w:r>
        <w:rPr>
          <w:szCs w:val="24"/>
          <w:lang w:val="en-GB"/>
        </w:rPr>
        <w:t xml:space="preserve">and </w:t>
      </w:r>
      <w:r w:rsidRPr="00664C76">
        <w:rPr>
          <w:szCs w:val="24"/>
          <w:lang w:val="en-GB"/>
        </w:rPr>
        <w:t xml:space="preserve">when a book </w:t>
      </w:r>
      <w:r>
        <w:rPr>
          <w:szCs w:val="24"/>
          <w:lang w:val="en-GB"/>
        </w:rPr>
        <w:t xml:space="preserve">such </w:t>
      </w:r>
      <w:r w:rsidRPr="00664C76">
        <w:rPr>
          <w:szCs w:val="24"/>
          <w:lang w:val="en-GB"/>
        </w:rPr>
        <w:t xml:space="preserve">as Goldsmith and Wu’s </w:t>
      </w:r>
      <w:r w:rsidRPr="00664C76">
        <w:rPr>
          <w:i/>
          <w:szCs w:val="24"/>
          <w:lang w:val="en-GB"/>
        </w:rPr>
        <w:t>Who Controls the Internet</w:t>
      </w:r>
      <w:r w:rsidRPr="00664C76">
        <w:rPr>
          <w:szCs w:val="24"/>
          <w:lang w:val="en-GB"/>
        </w:rPr>
        <w:t xml:space="preserve"> could cause a stir</w:t>
      </w:r>
      <w:r>
        <w:rPr>
          <w:rStyle w:val="FootnoteReference"/>
          <w:szCs w:val="24"/>
          <w:lang w:val="en-GB"/>
        </w:rPr>
        <w:footnoteReference w:id="3"/>
      </w:r>
      <w:r w:rsidRPr="00664C76">
        <w:rPr>
          <w:szCs w:val="24"/>
          <w:lang w:val="en-GB"/>
        </w:rPr>
        <w:t>.</w:t>
      </w:r>
      <w:r w:rsidRPr="009230B3">
        <w:rPr>
          <w:szCs w:val="24"/>
          <w:lang w:val="en-GB"/>
        </w:rPr>
        <w:t xml:space="preserve"> </w:t>
      </w:r>
      <w:r w:rsidRPr="00722233">
        <w:rPr>
          <w:szCs w:val="24"/>
          <w:lang w:val="en-GB"/>
        </w:rPr>
        <w:t>That was a time when peer-to-peer networks still challenged centralizati</w:t>
      </w:r>
      <w:r w:rsidRPr="00D303FA">
        <w:rPr>
          <w:szCs w:val="24"/>
          <w:lang w:val="en-GB"/>
        </w:rPr>
        <w:t>on attempts by big players. Many of those networks are analysed in this book. Some of them have ceased to exist for various reasons, some others are still active today.</w:t>
      </w:r>
    </w:p>
    <w:p w14:paraId="4B0A0F45" w14:textId="77777777" w:rsidR="00240492" w:rsidRPr="00F64383" w:rsidRDefault="00240492" w:rsidP="00240492">
      <w:pPr>
        <w:spacing w:line="312" w:lineRule="auto"/>
        <w:ind w:firstLine="0"/>
        <w:rPr>
          <w:szCs w:val="24"/>
          <w:lang w:val="en-GB"/>
        </w:rPr>
      </w:pPr>
    </w:p>
    <w:p w14:paraId="5BF8A182" w14:textId="77777777" w:rsidR="00240492" w:rsidRDefault="00240492" w:rsidP="00240492">
      <w:pPr>
        <w:spacing w:line="312" w:lineRule="auto"/>
        <w:ind w:firstLine="0"/>
        <w:rPr>
          <w:szCs w:val="24"/>
          <w:lang w:val="en-GB"/>
        </w:rPr>
      </w:pPr>
      <w:r>
        <w:rPr>
          <w:szCs w:val="24"/>
          <w:lang w:val="en-GB"/>
        </w:rPr>
        <w:t>T</w:t>
      </w:r>
      <w:r w:rsidRPr="00F64383">
        <w:rPr>
          <w:szCs w:val="24"/>
          <w:lang w:val="en-GB"/>
        </w:rPr>
        <w:t xml:space="preserve">his double temporality </w:t>
      </w:r>
      <w:r>
        <w:rPr>
          <w:szCs w:val="24"/>
          <w:lang w:val="en-GB"/>
        </w:rPr>
        <w:t xml:space="preserve">allows </w:t>
      </w:r>
      <w:r w:rsidRPr="00907B78">
        <w:rPr>
          <w:szCs w:val="24"/>
          <w:lang w:val="en-GB"/>
        </w:rPr>
        <w:t>div</w:t>
      </w:r>
      <w:r>
        <w:rPr>
          <w:szCs w:val="24"/>
          <w:lang w:val="en-GB"/>
        </w:rPr>
        <w:t>ing</w:t>
      </w:r>
      <w:r w:rsidRPr="00907B78">
        <w:rPr>
          <w:szCs w:val="24"/>
          <w:lang w:val="en-GB"/>
        </w:rPr>
        <w:t xml:space="preserve"> into digi</w:t>
      </w:r>
      <w:r w:rsidRPr="0003374E">
        <w:rPr>
          <w:szCs w:val="24"/>
          <w:lang w:val="en-GB"/>
        </w:rPr>
        <w:t>tal communalism at different</w:t>
      </w:r>
      <w:r w:rsidRPr="00B639C5">
        <w:rPr>
          <w:szCs w:val="24"/>
          <w:lang w:val="en-GB"/>
        </w:rPr>
        <w:t xml:space="preserve"> depth</w:t>
      </w:r>
      <w:r w:rsidRPr="007E4540">
        <w:rPr>
          <w:szCs w:val="24"/>
          <w:lang w:val="en-GB"/>
        </w:rPr>
        <w:t xml:space="preserve">s. The reader could approach it from the present tense indicating the 2009 now, and follow </w:t>
      </w:r>
      <w:r w:rsidRPr="00C733BE">
        <w:rPr>
          <w:szCs w:val="24"/>
          <w:lang w:val="en-GB"/>
        </w:rPr>
        <w:t>communitarian accounts</w:t>
      </w:r>
      <w:r w:rsidRPr="00045ABA">
        <w:rPr>
          <w:szCs w:val="24"/>
          <w:lang w:val="en-GB"/>
        </w:rPr>
        <w:t xml:space="preserve"> as they unfold. Alternatively, she can retain a 2018 </w:t>
      </w:r>
      <w:r w:rsidRPr="003A2970">
        <w:rPr>
          <w:szCs w:val="24"/>
          <w:lang w:val="en-GB"/>
        </w:rPr>
        <w:t xml:space="preserve">point of view and </w:t>
      </w:r>
      <w:r w:rsidRPr="009175E6">
        <w:rPr>
          <w:szCs w:val="24"/>
          <w:lang w:val="en-GB"/>
        </w:rPr>
        <w:t>trace back current developments to th</w:t>
      </w:r>
      <w:r w:rsidRPr="007E7CD0">
        <w:rPr>
          <w:szCs w:val="24"/>
          <w:lang w:val="en-GB"/>
        </w:rPr>
        <w:t xml:space="preserve">at period of profound internet transformations. </w:t>
      </w:r>
      <w:r>
        <w:t>On</w:t>
      </w:r>
      <w:r w:rsidRPr="008F4EA9">
        <w:t xml:space="preserve"> a </w:t>
      </w:r>
      <w:proofErr w:type="spellStart"/>
      <w:r w:rsidRPr="008F4EA9">
        <w:t>close</w:t>
      </w:r>
      <w:proofErr w:type="spellEnd"/>
      <w:r w:rsidRPr="008F4EA9">
        <w:t xml:space="preserve"> look, </w:t>
      </w:r>
      <w:proofErr w:type="spellStart"/>
      <w:r w:rsidRPr="008F4EA9">
        <w:t>these</w:t>
      </w:r>
      <w:proofErr w:type="spellEnd"/>
      <w:r w:rsidRPr="008F4EA9">
        <w:t xml:space="preserve"> </w:t>
      </w:r>
      <w:proofErr w:type="spellStart"/>
      <w:r w:rsidRPr="008F4EA9">
        <w:t>two</w:t>
      </w:r>
      <w:proofErr w:type="spellEnd"/>
      <w:r w:rsidRPr="008F4EA9">
        <w:t xml:space="preserve"> </w:t>
      </w:r>
      <w:proofErr w:type="spellStart"/>
      <w:r w:rsidRPr="008F4EA9">
        <w:t>attitudes</w:t>
      </w:r>
      <w:proofErr w:type="spellEnd"/>
      <w:r w:rsidRPr="008F4EA9">
        <w:t xml:space="preserve"> </w:t>
      </w:r>
      <w:proofErr w:type="spellStart"/>
      <w:r w:rsidRPr="008F4EA9">
        <w:t>may</w:t>
      </w:r>
      <w:proofErr w:type="spellEnd"/>
      <w:r w:rsidRPr="008F4EA9">
        <w:t xml:space="preserve"> be </w:t>
      </w:r>
      <w:proofErr w:type="spellStart"/>
      <w:r w:rsidRPr="008F4EA9">
        <w:t>respectively</w:t>
      </w:r>
      <w:proofErr w:type="spellEnd"/>
      <w:r w:rsidRPr="008F4EA9">
        <w:t xml:space="preserve"> </w:t>
      </w:r>
      <w:proofErr w:type="spellStart"/>
      <w:r w:rsidRPr="008F4EA9">
        <w:t>compared</w:t>
      </w:r>
      <w:proofErr w:type="spellEnd"/>
      <w:r w:rsidRPr="008F4EA9">
        <w:t xml:space="preserve"> to </w:t>
      </w:r>
      <w:proofErr w:type="spellStart"/>
      <w:r w:rsidRPr="008F4EA9">
        <w:t>Silver’s</w:t>
      </w:r>
      <w:proofErr w:type="spellEnd"/>
      <w:r w:rsidRPr="008F4EA9">
        <w:t xml:space="preserve"> </w:t>
      </w:r>
      <w:proofErr w:type="spellStart"/>
      <w:r w:rsidRPr="00235CA5">
        <w:t>descriptive</w:t>
      </w:r>
      <w:proofErr w:type="spellEnd"/>
      <w:r w:rsidRPr="00235CA5">
        <w:t xml:space="preserve"> and </w:t>
      </w:r>
      <w:proofErr w:type="spellStart"/>
      <w:r w:rsidRPr="00235CA5">
        <w:t>analytical</w:t>
      </w:r>
      <w:proofErr w:type="spellEnd"/>
      <w:r w:rsidRPr="00235CA5">
        <w:t xml:space="preserve"> stage</w:t>
      </w:r>
      <w:r w:rsidRPr="006F79A1">
        <w:t xml:space="preserve"> of internet </w:t>
      </w:r>
      <w:proofErr w:type="spellStart"/>
      <w:r w:rsidRPr="006F79A1">
        <w:t>studies</w:t>
      </w:r>
      <w:proofErr w:type="spellEnd"/>
      <w:r w:rsidRPr="006F79A1">
        <w:t>.</w:t>
      </w:r>
      <w:r w:rsidRPr="00D50C43">
        <w:rPr>
          <w:rStyle w:val="FootnoteReference"/>
          <w:szCs w:val="24"/>
          <w:lang w:val="en-GB"/>
        </w:rPr>
        <w:footnoteReference w:id="4"/>
      </w:r>
      <w:r w:rsidRPr="00E9220E">
        <w:rPr>
          <w:szCs w:val="24"/>
          <w:lang w:val="en-GB"/>
        </w:rPr>
        <w:t xml:space="preserve"> </w:t>
      </w:r>
      <w:r w:rsidRPr="009C241F">
        <w:rPr>
          <w:szCs w:val="24"/>
          <w:lang w:val="en-GB"/>
        </w:rPr>
        <w:t>It is in order to keep this double arch</w:t>
      </w:r>
      <w:r>
        <w:rPr>
          <w:szCs w:val="24"/>
          <w:lang w:val="en-GB"/>
        </w:rPr>
        <w:t>a</w:t>
      </w:r>
      <w:r w:rsidRPr="009C241F">
        <w:rPr>
          <w:szCs w:val="24"/>
          <w:lang w:val="en-GB"/>
        </w:rPr>
        <w:t>eological lens that the manuscript has not undergone major modifications in its 2018 edition.</w:t>
      </w:r>
      <w:r w:rsidRPr="00D50C43">
        <w:rPr>
          <w:szCs w:val="24"/>
          <w:lang w:val="en-GB"/>
        </w:rPr>
        <w:t xml:space="preserve"> Most changes have been stylistic and linguistic</w:t>
      </w:r>
      <w:r w:rsidRPr="00442E07">
        <w:rPr>
          <w:szCs w:val="24"/>
          <w:lang w:val="en-GB"/>
        </w:rPr>
        <w:t>. A methodological chapter has been shru</w:t>
      </w:r>
      <w:r w:rsidRPr="00D40CF0">
        <w:rPr>
          <w:szCs w:val="24"/>
          <w:lang w:val="en-GB"/>
        </w:rPr>
        <w:t>nk and integrated in the introduction for readability’s sake. Data and cases are those from the original</w:t>
      </w:r>
      <w:r w:rsidRPr="0041636B">
        <w:rPr>
          <w:szCs w:val="24"/>
          <w:lang w:val="en-GB"/>
        </w:rPr>
        <w:t xml:space="preserve"> 2009 manuscript. </w:t>
      </w:r>
      <w:r w:rsidRPr="00501697">
        <w:rPr>
          <w:szCs w:val="24"/>
          <w:lang w:val="en-GB"/>
        </w:rPr>
        <w:t>When a note was added in 2018 in the light of major developments, this is clearly marked.</w:t>
      </w:r>
    </w:p>
    <w:p w14:paraId="6C58D117" w14:textId="77777777" w:rsidR="00240492" w:rsidRPr="002F0E20" w:rsidRDefault="00240492" w:rsidP="00240492">
      <w:pPr>
        <w:spacing w:line="312" w:lineRule="auto"/>
        <w:ind w:firstLine="0"/>
        <w:rPr>
          <w:szCs w:val="24"/>
          <w:lang w:val="en-GB"/>
        </w:rPr>
      </w:pPr>
      <w:r w:rsidRPr="002F0E20">
        <w:rPr>
          <w:i/>
          <w:szCs w:val="24"/>
          <w:lang w:val="en-GB"/>
        </w:rPr>
        <w:t>Communities at a Crossroads</w:t>
      </w:r>
      <w:r w:rsidRPr="002F0E20">
        <w:rPr>
          <w:szCs w:val="24"/>
          <w:lang w:val="en-GB"/>
        </w:rPr>
        <w:t xml:space="preserve"> returns a multi-faceted picture of internet sociability between the two centuries. </w:t>
      </w:r>
      <w:r>
        <w:rPr>
          <w:szCs w:val="24"/>
          <w:lang w:val="en-GB"/>
        </w:rPr>
        <w:t>Almost one thousand d</w:t>
      </w:r>
      <w:r w:rsidRPr="002F0E20">
        <w:rPr>
          <w:szCs w:val="24"/>
          <w:lang w:val="en-GB"/>
        </w:rPr>
        <w:t xml:space="preserve">igital communities are analysed here through their own words and rationales, as well as by focusing on the degrees of access and participation that their software architectures allowed. What emerges is a composite landscape made of non-profit and commercial, grassroots and institutional, deterministic, and open efforts to articulate the tension between technology and society. Above all, this rather encompassing study of digital sociability shows that in </w:t>
      </w:r>
      <w:r>
        <w:rPr>
          <w:szCs w:val="24"/>
          <w:lang w:val="en-GB"/>
        </w:rPr>
        <w:t xml:space="preserve">the </w:t>
      </w:r>
      <w:r w:rsidRPr="002F0E20">
        <w:rPr>
          <w:szCs w:val="24"/>
          <w:lang w:val="en-GB"/>
        </w:rPr>
        <w:t>2000s stabilization and innovation dynamics materialized in similar ways in textual and software artefacts. Today, one could say that this study anticipated the ‘material turn’ in Technology Studies, without renouncing to textual components.</w:t>
      </w:r>
    </w:p>
    <w:p w14:paraId="265A4988" w14:textId="77777777" w:rsidR="00240492" w:rsidRPr="002F0E20" w:rsidRDefault="00240492" w:rsidP="00240492">
      <w:pPr>
        <w:spacing w:line="312" w:lineRule="auto"/>
        <w:ind w:firstLine="0"/>
        <w:rPr>
          <w:szCs w:val="24"/>
          <w:lang w:val="en-GB"/>
        </w:rPr>
      </w:pPr>
    </w:p>
    <w:p w14:paraId="70C3A8B7" w14:textId="77777777" w:rsidR="00240492" w:rsidRPr="002F0E20" w:rsidRDefault="00240492" w:rsidP="00240492">
      <w:pPr>
        <w:spacing w:line="312" w:lineRule="auto"/>
        <w:ind w:firstLine="567"/>
        <w:rPr>
          <w:szCs w:val="24"/>
          <w:lang w:val="en-GB"/>
        </w:rPr>
      </w:pPr>
      <w:r w:rsidRPr="002F0E20">
        <w:rPr>
          <w:szCs w:val="24"/>
          <w:lang w:val="en-GB"/>
        </w:rPr>
        <w:lastRenderedPageBreak/>
        <w:t xml:space="preserve">Annalisa </w:t>
      </w:r>
      <w:proofErr w:type="spellStart"/>
      <w:r w:rsidRPr="002F0E20">
        <w:rPr>
          <w:szCs w:val="24"/>
          <w:lang w:val="en-GB"/>
        </w:rPr>
        <w:t>Pelizza</w:t>
      </w:r>
      <w:proofErr w:type="spellEnd"/>
    </w:p>
    <w:p w14:paraId="1D2C6B2B" w14:textId="77777777" w:rsidR="00240492" w:rsidRPr="005D1F71" w:rsidRDefault="00240492" w:rsidP="00240492">
      <w:pPr>
        <w:spacing w:line="312" w:lineRule="auto"/>
        <w:ind w:firstLine="567"/>
        <w:rPr>
          <w:szCs w:val="24"/>
          <w:lang w:val="en-GB"/>
        </w:rPr>
      </w:pPr>
      <w:r w:rsidRPr="002F0E20">
        <w:rPr>
          <w:szCs w:val="24"/>
          <w:lang w:val="en-GB"/>
        </w:rPr>
        <w:t>Amsterdam/</w:t>
      </w:r>
      <w:r w:rsidRPr="005D1F71">
        <w:rPr>
          <w:szCs w:val="24"/>
          <w:lang w:val="en-GB"/>
        </w:rPr>
        <w:t>Sydney, August 2018</w:t>
      </w:r>
    </w:p>
    <w:p w14:paraId="7399645F" w14:textId="77777777" w:rsidR="00934E5A" w:rsidRDefault="006545A7"/>
    <w:sectPr w:rsidR="00934E5A" w:rsidSect="00131DF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00DAD" w14:textId="77777777" w:rsidR="006545A7" w:rsidRDefault="006545A7" w:rsidP="00240492">
      <w:r>
        <w:separator/>
      </w:r>
    </w:p>
  </w:endnote>
  <w:endnote w:type="continuationSeparator" w:id="0">
    <w:p w14:paraId="4ECF325B" w14:textId="77777777" w:rsidR="006545A7" w:rsidRDefault="006545A7" w:rsidP="00240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3DD37" w14:textId="77777777" w:rsidR="006545A7" w:rsidRDefault="006545A7" w:rsidP="00240492">
      <w:r>
        <w:separator/>
      </w:r>
    </w:p>
  </w:footnote>
  <w:footnote w:type="continuationSeparator" w:id="0">
    <w:p w14:paraId="65146B41" w14:textId="77777777" w:rsidR="006545A7" w:rsidRDefault="006545A7" w:rsidP="00240492">
      <w:r>
        <w:continuationSeparator/>
      </w:r>
    </w:p>
  </w:footnote>
  <w:footnote w:id="1">
    <w:p w14:paraId="4C181FAC" w14:textId="77777777" w:rsidR="00240492" w:rsidRPr="00CA3AE8" w:rsidRDefault="00240492" w:rsidP="00240492">
      <w:pPr>
        <w:pStyle w:val="FootnoteText"/>
        <w:spacing w:line="240" w:lineRule="auto"/>
        <w:rPr>
          <w:sz w:val="24"/>
          <w:lang w:val="en-US"/>
        </w:rPr>
      </w:pPr>
      <w:r w:rsidRPr="00CA3AE8">
        <w:rPr>
          <w:rStyle w:val="FootnoteReference"/>
          <w:sz w:val="24"/>
        </w:rPr>
        <w:footnoteRef/>
      </w:r>
      <w:r w:rsidRPr="00CA3AE8">
        <w:rPr>
          <w:sz w:val="24"/>
        </w:rPr>
        <w:t xml:space="preserve"> </w:t>
      </w:r>
      <w:r w:rsidRPr="00501697">
        <w:rPr>
          <w:sz w:val="24"/>
        </w:rPr>
        <w:t>D.</w:t>
      </w:r>
      <w:r>
        <w:rPr>
          <w:sz w:val="24"/>
        </w:rPr>
        <w:t xml:space="preserve"> </w:t>
      </w:r>
      <w:r w:rsidRPr="00501697">
        <w:rPr>
          <w:sz w:val="24"/>
        </w:rPr>
        <w:t xml:space="preserve">Haraway, </w:t>
      </w:r>
      <w:proofErr w:type="spellStart"/>
      <w:r w:rsidRPr="009F726A">
        <w:rPr>
          <w:i/>
          <w:sz w:val="24"/>
        </w:rPr>
        <w:t>M</w:t>
      </w:r>
      <w:r w:rsidRPr="00501697">
        <w:rPr>
          <w:i/>
          <w:sz w:val="24"/>
        </w:rPr>
        <w:t>odest_witness@Second_Millenium</w:t>
      </w:r>
      <w:proofErr w:type="spellEnd"/>
      <w:r w:rsidRPr="00501697">
        <w:rPr>
          <w:i/>
          <w:sz w:val="24"/>
        </w:rPr>
        <w:t xml:space="preserve">. </w:t>
      </w:r>
      <w:proofErr w:type="spellStart"/>
      <w:r w:rsidRPr="00501697">
        <w:rPr>
          <w:i/>
          <w:sz w:val="24"/>
        </w:rPr>
        <w:t>FemaleMan_meets</w:t>
      </w:r>
      <w:proofErr w:type="spellEnd"/>
      <w:r w:rsidRPr="00501697">
        <w:rPr>
          <w:i/>
          <w:sz w:val="24"/>
        </w:rPr>
        <w:t xml:space="preserve">_ </w:t>
      </w:r>
      <w:proofErr w:type="spellStart"/>
      <w:r w:rsidRPr="00501697">
        <w:rPr>
          <w:i/>
          <w:sz w:val="24"/>
        </w:rPr>
        <w:t>Onco_Mouse</w:t>
      </w:r>
      <w:proofErr w:type="spellEnd"/>
      <w:r w:rsidRPr="00501697">
        <w:rPr>
          <w:i/>
          <w:sz w:val="24"/>
        </w:rPr>
        <w:t>™: Feminism and technoscience</w:t>
      </w:r>
      <w:r w:rsidRPr="00501697">
        <w:rPr>
          <w:sz w:val="24"/>
        </w:rPr>
        <w:t>, New York: Routledge, 1997.</w:t>
      </w:r>
      <w:r>
        <w:rPr>
          <w:sz w:val="24"/>
        </w:rPr>
        <w:t xml:space="preserve"> </w:t>
      </w:r>
    </w:p>
  </w:footnote>
  <w:footnote w:id="2">
    <w:p w14:paraId="5483D529" w14:textId="77777777" w:rsidR="00240492" w:rsidRDefault="00240492" w:rsidP="00240492">
      <w:pPr>
        <w:pStyle w:val="FootnoteText"/>
        <w:spacing w:line="240" w:lineRule="auto"/>
        <w:rPr>
          <w:sz w:val="24"/>
          <w:highlight w:val="green"/>
        </w:rPr>
      </w:pPr>
      <w:r w:rsidRPr="00CA3AE8">
        <w:rPr>
          <w:rStyle w:val="FootnoteReference"/>
          <w:sz w:val="24"/>
        </w:rPr>
        <w:footnoteRef/>
      </w:r>
      <w:r w:rsidRPr="00CA3AE8">
        <w:rPr>
          <w:sz w:val="24"/>
        </w:rPr>
        <w:t xml:space="preserve"> </w:t>
      </w:r>
      <w:r w:rsidRPr="00501697">
        <w:rPr>
          <w:sz w:val="24"/>
        </w:rPr>
        <w:t xml:space="preserve">J. </w:t>
      </w:r>
      <w:proofErr w:type="spellStart"/>
      <w:r w:rsidRPr="00501697">
        <w:rPr>
          <w:sz w:val="24"/>
        </w:rPr>
        <w:t>Tanz</w:t>
      </w:r>
      <w:proofErr w:type="spellEnd"/>
      <w:r w:rsidRPr="00501697">
        <w:rPr>
          <w:sz w:val="24"/>
        </w:rPr>
        <w:t xml:space="preserve">, ‘How Silicon Valley Utopianism Brought You the Dystopian Trump Presidency’, </w:t>
      </w:r>
      <w:r w:rsidRPr="00387228">
        <w:rPr>
          <w:i/>
          <w:sz w:val="24"/>
        </w:rPr>
        <w:t>Wired</w:t>
      </w:r>
      <w:r w:rsidRPr="00501697">
        <w:rPr>
          <w:sz w:val="24"/>
        </w:rPr>
        <w:t xml:space="preserve">, 20 January 2017, </w:t>
      </w:r>
      <w:r w:rsidRPr="00387228">
        <w:rPr>
          <w:sz w:val="24"/>
        </w:rPr>
        <w:t>htt</w:t>
      </w:r>
      <w:r w:rsidRPr="008031E7">
        <w:rPr>
          <w:sz w:val="24"/>
        </w:rPr>
        <w:t>ps://www.wired.com/2017/01/silicon-valley-utopianism-brought-dystopian-trump-presidency/?mbid=nl_12217_p3&amp;CNDID=</w:t>
      </w:r>
      <w:r>
        <w:rPr>
          <w:sz w:val="24"/>
        </w:rPr>
        <w:t>.</w:t>
      </w:r>
    </w:p>
    <w:p w14:paraId="60957144" w14:textId="77777777" w:rsidR="00240492" w:rsidRPr="00CA3AE8" w:rsidRDefault="00240492" w:rsidP="00240492">
      <w:pPr>
        <w:pStyle w:val="FootnoteText"/>
        <w:spacing w:line="240" w:lineRule="auto"/>
        <w:rPr>
          <w:sz w:val="24"/>
          <w:highlight w:val="green"/>
          <w:lang w:val="en-US"/>
        </w:rPr>
      </w:pPr>
    </w:p>
  </w:footnote>
  <w:footnote w:id="3">
    <w:p w14:paraId="602722B4" w14:textId="77777777" w:rsidR="00240492" w:rsidRDefault="00240492" w:rsidP="00240492">
      <w:pPr>
        <w:pStyle w:val="BibliografiatesiNisa"/>
        <w:spacing w:line="240" w:lineRule="auto"/>
        <w:ind w:left="0" w:firstLine="0"/>
      </w:pPr>
      <w:r>
        <w:rPr>
          <w:rStyle w:val="FootnoteReference"/>
        </w:rPr>
        <w:footnoteRef/>
      </w:r>
      <w:r>
        <w:t xml:space="preserve"> </w:t>
      </w:r>
      <w:r w:rsidRPr="00E13ED9">
        <w:t>J. Goldsmith</w:t>
      </w:r>
      <w:r>
        <w:t xml:space="preserve"> </w:t>
      </w:r>
      <w:r w:rsidRPr="00E13ED9">
        <w:t xml:space="preserve">and </w:t>
      </w:r>
      <w:r>
        <w:t xml:space="preserve">T. </w:t>
      </w:r>
      <w:r w:rsidRPr="00E13ED9">
        <w:t xml:space="preserve">Wu, </w:t>
      </w:r>
      <w:r w:rsidRPr="00E13ED9">
        <w:rPr>
          <w:i/>
        </w:rPr>
        <w:t xml:space="preserve">Who Controls the </w:t>
      </w:r>
      <w:proofErr w:type="gramStart"/>
      <w:r w:rsidRPr="00E13ED9">
        <w:rPr>
          <w:i/>
        </w:rPr>
        <w:t>Internet?</w:t>
      </w:r>
      <w:r>
        <w:rPr>
          <w:i/>
        </w:rPr>
        <w:t>:</w:t>
      </w:r>
      <w:proofErr w:type="gramEnd"/>
      <w:r w:rsidRPr="00E13ED9">
        <w:rPr>
          <w:i/>
        </w:rPr>
        <w:t xml:space="preserve"> Illusions of a Borderless World</w:t>
      </w:r>
      <w:r w:rsidRPr="00E13ED9">
        <w:t>, New York: Oxford University Press, 2006.</w:t>
      </w:r>
    </w:p>
    <w:p w14:paraId="586B4DE6" w14:textId="77777777" w:rsidR="00240492" w:rsidRPr="00491E6D" w:rsidRDefault="00240492" w:rsidP="00240492">
      <w:pPr>
        <w:pStyle w:val="BibliografiatesiNisa"/>
        <w:spacing w:line="240" w:lineRule="auto"/>
        <w:ind w:left="0" w:firstLine="0"/>
      </w:pPr>
    </w:p>
  </w:footnote>
  <w:footnote w:id="4">
    <w:p w14:paraId="279849B9" w14:textId="77777777" w:rsidR="00240492" w:rsidRPr="00D303FA" w:rsidRDefault="00240492" w:rsidP="00240492">
      <w:pPr>
        <w:pStyle w:val="BibliografiatesiNisa"/>
        <w:spacing w:line="240" w:lineRule="auto"/>
        <w:ind w:left="0" w:firstLine="0"/>
      </w:pPr>
      <w:r w:rsidRPr="00722233">
        <w:rPr>
          <w:rStyle w:val="FootnoteReference"/>
        </w:rPr>
        <w:footnoteRef/>
      </w:r>
      <w:r w:rsidRPr="00722233">
        <w:t xml:space="preserve"> D. Silver,</w:t>
      </w:r>
      <w:r w:rsidRPr="00D303FA">
        <w:t xml:space="preserve"> ‘Looking Backwards, Looking Forwards: Cyberculture </w:t>
      </w:r>
      <w:proofErr w:type="gramStart"/>
      <w:r w:rsidRPr="00D303FA">
        <w:t>Studies,</w:t>
      </w:r>
      <w:r>
        <w:t xml:space="preserve">   </w:t>
      </w:r>
      <w:proofErr w:type="gramEnd"/>
      <w:r>
        <w:t xml:space="preserve">                            </w:t>
      </w:r>
      <w:r w:rsidRPr="00D303FA">
        <w:t xml:space="preserve">1990-2000’, in D. </w:t>
      </w:r>
      <w:proofErr w:type="spellStart"/>
      <w:r>
        <w:t>Gaunlett</w:t>
      </w:r>
      <w:proofErr w:type="spellEnd"/>
      <w:r w:rsidRPr="00D303FA">
        <w:t xml:space="preserve"> (ed</w:t>
      </w:r>
      <w:r>
        <w:t>.</w:t>
      </w:r>
      <w:r w:rsidRPr="00D303FA">
        <w:t xml:space="preserve">) </w:t>
      </w:r>
      <w:r w:rsidRPr="00D303FA">
        <w:rPr>
          <w:i/>
        </w:rPr>
        <w:t>Web</w:t>
      </w:r>
      <w:r>
        <w:rPr>
          <w:i/>
        </w:rPr>
        <w:t xml:space="preserve"> </w:t>
      </w:r>
      <w:r w:rsidRPr="00D303FA">
        <w:rPr>
          <w:i/>
        </w:rPr>
        <w:t>Studies</w:t>
      </w:r>
      <w:r>
        <w:t xml:space="preserve">, London: Arnold </w:t>
      </w:r>
      <w:r w:rsidRPr="00D303FA">
        <w:t>Publishers, 2000.</w:t>
      </w:r>
    </w:p>
    <w:p w14:paraId="1850F788" w14:textId="77777777" w:rsidR="00240492" w:rsidRPr="002A35EF" w:rsidRDefault="00240492" w:rsidP="00240492">
      <w:pPr>
        <w:pStyle w:val="FootnoteText"/>
        <w:rPr>
          <w:lang w:val="en-U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492"/>
    <w:rsid w:val="00131DF4"/>
    <w:rsid w:val="00240492"/>
    <w:rsid w:val="00352E6A"/>
    <w:rsid w:val="003A12AA"/>
    <w:rsid w:val="006545A7"/>
    <w:rsid w:val="00924172"/>
    <w:rsid w:val="00952DD9"/>
    <w:rsid w:val="00C32E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6CCE82"/>
  <w14:defaultImageDpi w14:val="32767"/>
  <w15:chartTrackingRefBased/>
  <w15:docId w15:val="{FF6E1DFE-58CF-9A45-A251-241B0CDD4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40492"/>
    <w:pPr>
      <w:ind w:firstLine="284"/>
      <w:jc w:val="both"/>
    </w:pPr>
    <w:rPr>
      <w:rFonts w:ascii="Arial" w:eastAsia="Times New Roman" w:hAnsi="Arial" w:cs="Times New Roman"/>
      <w:szCs w:val="20"/>
      <w:lang w:val="it-IT" w:eastAsia="it-IT"/>
    </w:rPr>
  </w:style>
  <w:style w:type="paragraph" w:styleId="Heading1">
    <w:name w:val="heading 1"/>
    <w:basedOn w:val="Heading2"/>
    <w:next w:val="Normal"/>
    <w:link w:val="Heading1Char"/>
    <w:uiPriority w:val="9"/>
    <w:qFormat/>
    <w:rsid w:val="00952DD9"/>
    <w:pPr>
      <w:outlineLvl w:val="0"/>
    </w:pPr>
    <w:rPr>
      <w:sz w:val="32"/>
      <w:szCs w:val="32"/>
    </w:rPr>
  </w:style>
  <w:style w:type="paragraph" w:styleId="Heading2">
    <w:name w:val="heading 2"/>
    <w:aliases w:val="Titolo 2 tesi Nisa"/>
    <w:basedOn w:val="Normal"/>
    <w:next w:val="Normal"/>
    <w:link w:val="Heading2Char"/>
    <w:qFormat/>
    <w:rsid w:val="00240492"/>
    <w:pPr>
      <w:keepNext/>
      <w:spacing w:before="240" w:after="120" w:line="312" w:lineRule="auto"/>
      <w:ind w:firstLine="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Titolo 2 tesi Nisa Char"/>
    <w:basedOn w:val="DefaultParagraphFont"/>
    <w:link w:val="Heading2"/>
    <w:rsid w:val="00240492"/>
    <w:rPr>
      <w:rFonts w:ascii="Arial" w:eastAsia="Times New Roman" w:hAnsi="Arial" w:cs="Times New Roman"/>
      <w:b/>
      <w:sz w:val="28"/>
      <w:szCs w:val="28"/>
      <w:lang w:val="it-IT" w:eastAsia="it-IT"/>
    </w:rPr>
  </w:style>
  <w:style w:type="paragraph" w:styleId="FootnoteText">
    <w:name w:val="footnote text"/>
    <w:aliases w:val="Testo nota a piè di pagina tesi Nisa"/>
    <w:basedOn w:val="Normal"/>
    <w:link w:val="FootnoteTextChar"/>
    <w:semiHidden/>
    <w:rsid w:val="00240492"/>
    <w:pPr>
      <w:keepLines/>
      <w:spacing w:line="312" w:lineRule="auto"/>
      <w:ind w:firstLine="0"/>
    </w:pPr>
    <w:rPr>
      <w:sz w:val="20"/>
      <w:szCs w:val="24"/>
      <w:lang w:val="en-GB"/>
    </w:rPr>
  </w:style>
  <w:style w:type="character" w:customStyle="1" w:styleId="FootnoteTextChar">
    <w:name w:val="Footnote Text Char"/>
    <w:aliases w:val="Testo nota a piè di pagina tesi Nisa Char"/>
    <w:basedOn w:val="DefaultParagraphFont"/>
    <w:link w:val="FootnoteText"/>
    <w:semiHidden/>
    <w:rsid w:val="00240492"/>
    <w:rPr>
      <w:rFonts w:ascii="Arial" w:eastAsia="Times New Roman" w:hAnsi="Arial" w:cs="Times New Roman"/>
      <w:sz w:val="20"/>
      <w:lang w:eastAsia="it-IT"/>
    </w:rPr>
  </w:style>
  <w:style w:type="character" w:styleId="FootnoteReference">
    <w:name w:val="footnote reference"/>
    <w:semiHidden/>
    <w:rsid w:val="00240492"/>
    <w:rPr>
      <w:vertAlign w:val="superscript"/>
    </w:rPr>
  </w:style>
  <w:style w:type="paragraph" w:customStyle="1" w:styleId="BibliografiatesiNisa">
    <w:name w:val="Bibliografia tesi Nisa"/>
    <w:basedOn w:val="Normal"/>
    <w:rsid w:val="00240492"/>
    <w:pPr>
      <w:spacing w:line="480" w:lineRule="auto"/>
      <w:ind w:left="567" w:hanging="567"/>
    </w:pPr>
    <w:rPr>
      <w:szCs w:val="24"/>
      <w:lang w:val="en-GB"/>
    </w:rPr>
  </w:style>
  <w:style w:type="character" w:customStyle="1" w:styleId="Heading1Char">
    <w:name w:val="Heading 1 Char"/>
    <w:basedOn w:val="DefaultParagraphFont"/>
    <w:link w:val="Heading1"/>
    <w:uiPriority w:val="9"/>
    <w:rsid w:val="00952DD9"/>
    <w:rPr>
      <w:rFonts w:ascii="Arial" w:eastAsia="Times New Roman" w:hAnsi="Arial" w:cs="Times New Roman"/>
      <w:b/>
      <w:sz w:val="32"/>
      <w:szCs w:val="32"/>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1113</Words>
  <Characters>6348</Characters>
  <Application>Microsoft Office Word</Application>
  <DocSecurity>0</DocSecurity>
  <Lines>52</Lines>
  <Paragraphs>14</Paragraphs>
  <ScaleCrop>false</ScaleCrop>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2018-11-09T11:39:00Z</dcterms:created>
  <dcterms:modified xsi:type="dcterms:W3CDTF">2018-11-12T10:45:00Z</dcterms:modified>
</cp:coreProperties>
</file>