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0B6E7" w14:textId="542782B5" w:rsidR="00B02871" w:rsidRPr="00875BED" w:rsidRDefault="00875BED" w:rsidP="00875BED">
      <w:pPr>
        <w:pStyle w:val="Heading1"/>
      </w:pPr>
      <w:bookmarkStart w:id="0" w:name="_Toc524106396"/>
      <w:r w:rsidRPr="00875BED">
        <w:t>INTRODUCTION</w:t>
      </w:r>
      <w:bookmarkEnd w:id="0"/>
    </w:p>
    <w:p w14:paraId="2515AF9C" w14:textId="77777777" w:rsidR="00B02871" w:rsidRPr="00CA3AE8" w:rsidRDefault="00B02871" w:rsidP="00875BED">
      <w:pPr>
        <w:pStyle w:val="Heading2"/>
      </w:pPr>
      <w:r w:rsidRPr="0020461A">
        <w:t xml:space="preserve">‘Digital </w:t>
      </w:r>
      <w:r w:rsidRPr="00F6720E">
        <w:t>Communities’</w:t>
      </w:r>
      <w:r w:rsidRPr="003048DD">
        <w:t>,</w:t>
      </w:r>
      <w:r w:rsidRPr="00AD37E2">
        <w:t xml:space="preserve"> a </w:t>
      </w:r>
      <w:r w:rsidRPr="00113A9D">
        <w:t>Shifting Subject</w:t>
      </w:r>
    </w:p>
    <w:p w14:paraId="4BFEB888" w14:textId="77777777" w:rsidR="00B02871" w:rsidRPr="00B02871" w:rsidRDefault="00B02871" w:rsidP="00B02871">
      <w:r w:rsidRPr="00B02871">
        <w:t>‘To what extent is talking of communal ties on the internet meaningful today?’ At the turn of the 21st century this question resonates with many who had taken part in the early waves of TCP/IP-mediated grassroots cultures.</w:t>
      </w:r>
      <w:r w:rsidRPr="00B02871">
        <w:rPr>
          <w:rStyle w:val="FootnoteReference"/>
          <w:vertAlign w:val="baseline"/>
        </w:rPr>
        <w:footnoteReference w:id="1"/>
      </w:r>
      <w:r w:rsidRPr="00B02871">
        <w:t xml:space="preserve"> With the 2000’s ‘Dotcom burst’, the War on Terror and its privacy intrusions, and the emergence of the ‘Web 2.0’ wave, spontaneous online aggregations find themselves at a crossroads. This book investigates the conditions under which, since the early 2000s, it has been possible to re-launch a discourse on online digital sociability, despite increasing trends in commercialization, </w:t>
      </w:r>
      <w:proofErr w:type="spellStart"/>
      <w:r w:rsidRPr="00B02871">
        <w:t>securization</w:t>
      </w:r>
      <w:proofErr w:type="spellEnd"/>
      <w:r w:rsidRPr="00B02871">
        <w:t xml:space="preserve">, and </w:t>
      </w:r>
      <w:proofErr w:type="spellStart"/>
      <w:r w:rsidRPr="00B02871">
        <w:t>territorialization</w:t>
      </w:r>
      <w:proofErr w:type="spellEnd"/>
      <w:r w:rsidRPr="00B02871">
        <w:t>. Far from being ill-timed, investigating online communities today is strategic. Indeed, after the Dotcom burst and the aftermath of 9/11, on one hand, and the explosive renaissance of digital participation with social networking applications, on the other, the culture of digital communitarians</w:t>
      </w:r>
      <w:r w:rsidRPr="00B02871">
        <w:rPr>
          <w:rStyle w:val="FootnoteReference"/>
          <w:vertAlign w:val="baseline"/>
        </w:rPr>
        <w:footnoteReference w:id="2"/>
      </w:r>
      <w:r w:rsidRPr="00B02871">
        <w:t xml:space="preserve"> seems to have either lost autonomy in favour of giant internet companies and governments or been popularized and absorbed into the ‘Web 2.0’ hype.</w:t>
      </w:r>
      <w:r w:rsidRPr="00B02871">
        <w:rPr>
          <w:rStyle w:val="FootnoteReference"/>
          <w:vertAlign w:val="baseline"/>
        </w:rPr>
        <w:footnoteReference w:id="3"/>
      </w:r>
      <w:r w:rsidRPr="00B02871">
        <w:t xml:space="preserve"> </w:t>
      </w:r>
      <w:r w:rsidRPr="00B02871">
        <w:rPr>
          <w:rStyle w:val="FootnoteReference"/>
          <w:vertAlign w:val="baseline"/>
        </w:rPr>
        <w:footnoteReference w:id="4"/>
      </w:r>
    </w:p>
    <w:p w14:paraId="05FA107A" w14:textId="77777777" w:rsidR="00B02871" w:rsidRPr="004B42EE" w:rsidRDefault="00B02871" w:rsidP="00B02871">
      <w:pPr>
        <w:pStyle w:val="CorpodeltestotesiNisa"/>
      </w:pPr>
    </w:p>
    <w:p w14:paraId="6556CE57" w14:textId="77777777" w:rsidR="00B02871" w:rsidRPr="00D303FA" w:rsidRDefault="00B02871" w:rsidP="00D91C9F">
      <w:r w:rsidRPr="004B42EE">
        <w:t>T</w:t>
      </w:r>
      <w:r w:rsidRPr="0021572C">
        <w:t>he experiences that marked the birth and development of digital communitarian cultures until the end of 1990s have been extensively mapped by historical, cultural</w:t>
      </w:r>
      <w:r w:rsidRPr="00671EF3">
        <w:t>, and media literature. From cold-war academic research with its cybernetic decentralized logics, to early civic networks pursuing the democratization of information technology; from counter-</w:t>
      </w:r>
      <w:r w:rsidRPr="00D81ED5">
        <w:t xml:space="preserve">culture’s communitarian legacy, to virtual life on the </w:t>
      </w:r>
      <w:r w:rsidRPr="00D81ED5">
        <w:rPr>
          <w:i/>
        </w:rPr>
        <w:t>WELL</w:t>
      </w:r>
      <w:r w:rsidRPr="00D81ED5">
        <w:t xml:space="preserve">; from </w:t>
      </w:r>
      <w:r w:rsidRPr="006B21D2">
        <w:t>1970s’ and 1980s’ early Bulletin Board System</w:t>
      </w:r>
      <w:r w:rsidRPr="0067335F">
        <w:t>s (BBS), to Free and Libre Open Source Software (F</w:t>
      </w:r>
      <w:r w:rsidRPr="00811568">
        <w:t xml:space="preserve">LOSS) communities based on reputation capital; from net art’s focus on the aesthetic of interaction and underground lists like </w:t>
      </w:r>
      <w:r w:rsidRPr="00811568">
        <w:rPr>
          <w:i/>
        </w:rPr>
        <w:t>Nettime</w:t>
      </w:r>
      <w:r w:rsidRPr="00811568">
        <w:t>, to the encounter of media artists with</w:t>
      </w:r>
      <w:r w:rsidRPr="00811568">
        <w:rPr>
          <w:i/>
        </w:rPr>
        <w:t xml:space="preserve"> </w:t>
      </w:r>
      <w:r w:rsidRPr="007F0DAA">
        <w:t>the global movement for social justice which saw the emergence of</w:t>
      </w:r>
      <w:r w:rsidRPr="007F0DAA">
        <w:rPr>
          <w:i/>
        </w:rPr>
        <w:t xml:space="preserve"> </w:t>
      </w:r>
      <w:r w:rsidRPr="009945D6">
        <w:rPr>
          <w:i/>
        </w:rPr>
        <w:t>Indymedia</w:t>
      </w:r>
      <w:r w:rsidRPr="009945D6">
        <w:t>: these diverse experiences</w:t>
      </w:r>
      <w:r w:rsidRPr="00E77477">
        <w:t xml:space="preserve"> have partly overlapped and contributed elements to the communitarian cultures </w:t>
      </w:r>
      <w:r w:rsidRPr="00664C76">
        <w:t>which crystallize</w:t>
      </w:r>
      <w:r>
        <w:t>d</w:t>
      </w:r>
      <w:r w:rsidRPr="00664C76">
        <w:t xml:space="preserve"> by mid</w:t>
      </w:r>
      <w:r w:rsidRPr="009230B3">
        <w:t xml:space="preserve"> 1990s</w:t>
      </w:r>
      <w:r w:rsidRPr="00722233">
        <w:t>.</w:t>
      </w:r>
    </w:p>
    <w:p w14:paraId="4E36DE62" w14:textId="77777777" w:rsidR="00B02871" w:rsidRPr="00696BAA" w:rsidRDefault="00B02871" w:rsidP="00B02871">
      <w:pPr>
        <w:pStyle w:val="CorpodeltestotesiNisa"/>
      </w:pPr>
    </w:p>
    <w:p w14:paraId="29FE3C54" w14:textId="77777777" w:rsidR="00B02871" w:rsidRPr="00031905" w:rsidRDefault="00B02871" w:rsidP="00D91C9F">
      <w:r w:rsidRPr="00F64383">
        <w:t>What came after the first i</w:t>
      </w:r>
      <w:r w:rsidRPr="00907B78">
        <w:t>nternet bubble has received less systematic scholarly attention. This wa</w:t>
      </w:r>
      <w:r w:rsidRPr="0003374E">
        <w:t xml:space="preserve">s partly due to </w:t>
      </w:r>
      <w:r w:rsidRPr="00B639C5">
        <w:t>diverse sectors and actors appropriating the landscape of digital socia</w:t>
      </w:r>
      <w:r w:rsidRPr="007E4540">
        <w:t xml:space="preserve">bility in the first decade of the 21st </w:t>
      </w:r>
      <w:r w:rsidRPr="00C733BE">
        <w:t>century</w:t>
      </w:r>
      <w:r w:rsidRPr="00045ABA">
        <w:t>, so that i</w:t>
      </w:r>
      <w:r w:rsidRPr="009175E6">
        <w:t>ts boundaries became less clearly identifiable. While ‘</w:t>
      </w:r>
      <w:r w:rsidRPr="007E7CD0">
        <w:t xml:space="preserve">online </w:t>
      </w:r>
      <w:r w:rsidRPr="008F4EA9">
        <w:t>communities’ disappeared from the digital culture’s agenda</w:t>
      </w:r>
      <w:r w:rsidRPr="00235CA5">
        <w:t>, articles about ‘social networking sites’ colonized high-tech magazines’ c</w:t>
      </w:r>
      <w:r w:rsidRPr="006F79A1">
        <w:t>olumns; ‘communities of practice’ constitute</w:t>
      </w:r>
      <w:r w:rsidRPr="00E9220E">
        <w:t xml:space="preserve">d the backbone of corporate knowledge management policies; </w:t>
      </w:r>
      <w:r>
        <w:t xml:space="preserve">and </w:t>
      </w:r>
      <w:r w:rsidRPr="009C241F">
        <w:t>i</w:t>
      </w:r>
      <w:r w:rsidRPr="005E3A2F">
        <w:t>nternet marketers</w:t>
      </w:r>
      <w:r w:rsidRPr="00817DDE">
        <w:t xml:space="preserve"> invoked use of ‘Web 2.0’ platforms as strategic component</w:t>
      </w:r>
      <w:r w:rsidRPr="00804216">
        <w:t>s</w:t>
      </w:r>
      <w:r w:rsidRPr="00C26A4A">
        <w:t xml:space="preserve"> </w:t>
      </w:r>
      <w:r w:rsidRPr="009309B7">
        <w:t>of business strategies.</w:t>
      </w:r>
    </w:p>
    <w:p w14:paraId="195D3D7B" w14:textId="77777777" w:rsidR="00B02871" w:rsidRPr="00812485" w:rsidRDefault="00B02871" w:rsidP="00B02871">
      <w:pPr>
        <w:pStyle w:val="CorpodeltestotesiNisa"/>
      </w:pPr>
    </w:p>
    <w:p w14:paraId="290C5ECB" w14:textId="77777777" w:rsidR="00B02871" w:rsidRDefault="00B02871" w:rsidP="00D91C9F">
      <w:r w:rsidRPr="000A1FAF">
        <w:t xml:space="preserve">To understand the origins of </w:t>
      </w:r>
      <w:r w:rsidRPr="00692AAE">
        <w:t>a</w:t>
      </w:r>
      <w:r w:rsidRPr="00404FAA">
        <w:t xml:space="preserve"> shift that has tr</w:t>
      </w:r>
      <w:r w:rsidRPr="004011B4">
        <w:t xml:space="preserve">ansformed the </w:t>
      </w:r>
      <w:r w:rsidRPr="00797DBE">
        <w:t xml:space="preserve">online </w:t>
      </w:r>
      <w:r w:rsidRPr="00273DF1">
        <w:t>communitarian</w:t>
      </w:r>
      <w:r w:rsidRPr="00565C37">
        <w:t xml:space="preserve"> </w:t>
      </w:r>
      <w:r w:rsidRPr="00755553">
        <w:t xml:space="preserve">landscape </w:t>
      </w:r>
      <w:r w:rsidRPr="000C32A1">
        <w:t xml:space="preserve">for good, </w:t>
      </w:r>
      <w:r w:rsidRPr="00FF702B">
        <w:t>this book</w:t>
      </w:r>
      <w:r w:rsidRPr="000C7C4B">
        <w:t xml:space="preserve"> begins by recognizing that the anarchic prairie of the internet has turn</w:t>
      </w:r>
      <w:r w:rsidRPr="006A05F2">
        <w:t>ed into a battlefield. Nowadays it is well acknowledged that many of the utopias that underpinned the ‘</w:t>
      </w:r>
      <w:r w:rsidRPr="0069689A">
        <w:t>digital revolution’ have revealed their naivety, if not complicity with the established</w:t>
      </w:r>
      <w:r w:rsidRPr="00184504">
        <w:t xml:space="preserve"> order</w:t>
      </w:r>
      <w:r w:rsidRPr="00AB766A">
        <w:t>.</w:t>
      </w:r>
      <w:r w:rsidRPr="00D50C43">
        <w:rPr>
          <w:rStyle w:val="FootnoteReference"/>
        </w:rPr>
        <w:footnoteReference w:id="5"/>
      </w:r>
      <w:r w:rsidRPr="00D50C43">
        <w:t xml:space="preserve"> </w:t>
      </w:r>
      <w:r w:rsidRPr="00442E07">
        <w:t>Th</w:t>
      </w:r>
      <w:r w:rsidRPr="00D40CF0">
        <w:t>e</w:t>
      </w:r>
      <w:r w:rsidRPr="0041636B">
        <w:t xml:space="preserve"> book shows some signs</w:t>
      </w:r>
      <w:r w:rsidRPr="00032C17">
        <w:t xml:space="preserve"> of this shift that</w:t>
      </w:r>
      <w:r w:rsidRPr="00542C1B">
        <w:t xml:space="preserve"> have beco</w:t>
      </w:r>
      <w:r w:rsidRPr="002F0E20">
        <w:t xml:space="preserve">me undoubtedly visible in this first decade of the new century, when libertarian cyberculture that had nurtured </w:t>
      </w:r>
      <w:r>
        <w:t>a</w:t>
      </w:r>
      <w:r w:rsidRPr="002F0E20">
        <w:t xml:space="preserve"> virtual communitarian utopia of peer networks – as means for the empowerment of individuals, strengthening of democracy, and </w:t>
      </w:r>
      <w:r>
        <w:t>achievement of</w:t>
      </w:r>
      <w:r w:rsidRPr="002F0E20">
        <w:t xml:space="preserve"> social </w:t>
      </w:r>
      <w:r w:rsidRPr="005D1F71">
        <w:t>justice – has come to a crossroads. In the last years, free internet communitarian culture had to face three major threats: massive commercial expansion of internet companies</w:t>
      </w:r>
      <w:r>
        <w:t>;</w:t>
      </w:r>
      <w:r w:rsidRPr="005D1F71">
        <w:t xml:space="preserve"> increasingly strict law</w:t>
      </w:r>
      <w:r>
        <w:t>s</w:t>
      </w:r>
      <w:r w:rsidRPr="005D1F71">
        <w:t xml:space="preserve"> on intellectual </w:t>
      </w:r>
      <w:r w:rsidRPr="005D1F71">
        <w:lastRenderedPageBreak/>
        <w:t>property</w:t>
      </w:r>
      <w:r>
        <w:t>;</w:t>
      </w:r>
      <w:r w:rsidRPr="005D1F71">
        <w:t xml:space="preserve"> and the proliferation of ‘dataveillance’ technologies related to the ‘War on Terror’.</w:t>
      </w:r>
      <w:r w:rsidRPr="00D50C43">
        <w:rPr>
          <w:rStyle w:val="FootnoteReference"/>
        </w:rPr>
        <w:footnoteReference w:id="6"/>
      </w:r>
      <w:r w:rsidRPr="00D50C43">
        <w:t xml:space="preserve"> </w:t>
      </w:r>
    </w:p>
    <w:p w14:paraId="5A9D53AF" w14:textId="77777777" w:rsidR="00B02871" w:rsidRPr="0041636B" w:rsidRDefault="00B02871" w:rsidP="00B02871">
      <w:pPr>
        <w:pStyle w:val="CorpodeltestotesiNisa"/>
      </w:pPr>
    </w:p>
    <w:p w14:paraId="60A0346B" w14:textId="77777777" w:rsidR="00B02871" w:rsidRPr="00442E07" w:rsidRDefault="00B02871" w:rsidP="00D91C9F">
      <w:r w:rsidRPr="0041636B">
        <w:t xml:space="preserve">By the end of 2000s, </w:t>
      </w:r>
      <w:r w:rsidRPr="00032C17">
        <w:t>disenchantment</w:t>
      </w:r>
      <w:r w:rsidRPr="00542C1B">
        <w:t xml:space="preserve"> about the use of information and communication tec</w:t>
      </w:r>
      <w:r w:rsidRPr="002F0E20">
        <w:t>hnologies (ICT</w:t>
      </w:r>
      <w:r>
        <w:t>s</w:t>
      </w:r>
      <w:r w:rsidRPr="002F0E20">
        <w:t xml:space="preserve">) for collaborative production of knowledge </w:t>
      </w:r>
      <w:r>
        <w:t xml:space="preserve">was </w:t>
      </w:r>
      <w:r w:rsidRPr="002F0E20">
        <w:t xml:space="preserve">shared by many. According to </w:t>
      </w:r>
      <w:r w:rsidRPr="002F0E20">
        <w:rPr>
          <w:i/>
        </w:rPr>
        <w:t>Nettime</w:t>
      </w:r>
      <w:r w:rsidRPr="002F0E20">
        <w:t xml:space="preserve">’s moderator Felix </w:t>
      </w:r>
      <w:proofErr w:type="spellStart"/>
      <w:r w:rsidRPr="002F0E20">
        <w:t>Stalder</w:t>
      </w:r>
      <w:proofErr w:type="spellEnd"/>
      <w:r w:rsidRPr="002F0E20">
        <w:t>, ‘by now it is clear that something more than simple collaboration is needed in order to create community’.</w:t>
      </w:r>
      <w:r w:rsidRPr="00D50C43">
        <w:rPr>
          <w:rStyle w:val="FootnoteReference"/>
        </w:rPr>
        <w:footnoteReference w:id="7"/>
      </w:r>
      <w:r w:rsidRPr="00D50C43">
        <w:t xml:space="preserve"> </w:t>
      </w:r>
      <w:r w:rsidRPr="00442E07">
        <w:t xml:space="preserve">According to </w:t>
      </w:r>
      <w:proofErr w:type="spellStart"/>
      <w:r w:rsidRPr="00442E07">
        <w:t>Stalder</w:t>
      </w:r>
      <w:proofErr w:type="spellEnd"/>
      <w:r w:rsidRPr="00D40CF0">
        <w:t>,</w:t>
      </w:r>
      <w:r w:rsidRPr="0041636B">
        <w:t xml:space="preserve"> the aim of collaboration ha</w:t>
      </w:r>
      <w:r w:rsidRPr="00032C17">
        <w:t>s</w:t>
      </w:r>
      <w:r w:rsidRPr="00542C1B">
        <w:t xml:space="preserve"> shifted from community-making towa</w:t>
      </w:r>
      <w:r w:rsidRPr="002F0E20">
        <w:t>rds purpose-specific projects. Such conviction is shared by activist and artistic networks that reflect on state-of-the-art forms of digital aggregation. They are trying to re-focus the scope of online communities, while at the same time questioning the innovative potential of social networking platforms.</w:t>
      </w:r>
      <w:r w:rsidRPr="00D50C43">
        <w:rPr>
          <w:rStyle w:val="FootnoteReference"/>
        </w:rPr>
        <w:footnoteReference w:id="8"/>
      </w:r>
      <w:r w:rsidRPr="00D50C43">
        <w:t xml:space="preserve"> </w:t>
      </w:r>
    </w:p>
    <w:p w14:paraId="7D07D086" w14:textId="77777777" w:rsidR="00B02871" w:rsidRPr="00B82420" w:rsidRDefault="00B02871" w:rsidP="00875BED">
      <w:pPr>
        <w:pStyle w:val="Heading2"/>
      </w:pPr>
      <w:r w:rsidRPr="00163FA0">
        <w:t xml:space="preserve">The Crisis of </w:t>
      </w:r>
      <w:r w:rsidRPr="00B82420">
        <w:t>Foundational Myths</w:t>
      </w:r>
    </w:p>
    <w:p w14:paraId="2FD794D9" w14:textId="77777777" w:rsidR="00B02871" w:rsidRPr="00FD481B" w:rsidRDefault="00B02871" w:rsidP="00D91C9F">
      <w:r w:rsidRPr="00D50C43">
        <w:t>Between late</w:t>
      </w:r>
      <w:r w:rsidRPr="00442E07">
        <w:t xml:space="preserve"> 1990s and</w:t>
      </w:r>
      <w:r w:rsidRPr="00D40CF0">
        <w:t xml:space="preserve"> </w:t>
      </w:r>
      <w:r w:rsidRPr="0041636B">
        <w:t>mid-2000s</w:t>
      </w:r>
      <w:r w:rsidRPr="00032C17">
        <w:t>,</w:t>
      </w:r>
      <w:r w:rsidRPr="00542C1B">
        <w:t xml:space="preserve"> three main </w:t>
      </w:r>
      <w:r w:rsidRPr="002F0E20">
        <w:t xml:space="preserve">techno-libertarian myths had to face counter-evidence. These myths were based on the cybernetic vision of information technology as the source of a second industrial revolution </w:t>
      </w:r>
      <w:r>
        <w:t xml:space="preserve">that bore </w:t>
      </w:r>
      <w:r w:rsidRPr="002F0E20">
        <w:t xml:space="preserve">the promise of emancipation for the citizenry. First, </w:t>
      </w:r>
      <w:r>
        <w:t>i</w:t>
      </w:r>
      <w:r w:rsidRPr="002F0E20">
        <w:t xml:space="preserve">n spite of declarations of cyberspace </w:t>
      </w:r>
      <w:r w:rsidRPr="005D1F71">
        <w:t>independence, it turned out that geography matters</w:t>
      </w:r>
      <w:r>
        <w:t xml:space="preserve">, and that </w:t>
      </w:r>
      <w:r w:rsidRPr="002F0E20">
        <w:t xml:space="preserve">the libertarian credo of an intrinsically ungovernable internet </w:t>
      </w:r>
      <w:r>
        <w:t>was</w:t>
      </w:r>
      <w:r w:rsidRPr="002F0E20">
        <w:t xml:space="preserve"> an illusion. </w:t>
      </w:r>
      <w:r w:rsidRPr="005D1F71">
        <w:t>In 2006, Stanford’s researchers</w:t>
      </w:r>
      <w:r>
        <w:t xml:space="preserve"> </w:t>
      </w:r>
      <w:r w:rsidRPr="005D1F71">
        <w:t xml:space="preserve">Goldsmith and Wu depicted a more and more controlled and territorialized internet. The ‘Balkanization of the </w:t>
      </w:r>
      <w:r w:rsidRPr="00501697">
        <w:t>Net’</w:t>
      </w:r>
      <w:r w:rsidRPr="00501697">
        <w:rPr>
          <w:rStyle w:val="FootnoteReference"/>
        </w:rPr>
        <w:footnoteReference w:id="9"/>
      </w:r>
      <w:r w:rsidRPr="005D1F71">
        <w:t xml:space="preserve"> was the result of cooperation between governments and global internet companies, officially fostering freedom of networking. As a consequence, one of the pillars of cyberculture – i.e., </w:t>
      </w:r>
      <w:r w:rsidRPr="00FD481B">
        <w:t xml:space="preserve">the possibility </w:t>
      </w:r>
      <w:r>
        <w:t>that</w:t>
      </w:r>
      <w:r w:rsidRPr="00FD481B">
        <w:t xml:space="preserve"> the virtual and the brick-and-mortar domains </w:t>
      </w:r>
      <w:r>
        <w:t xml:space="preserve">could be kept </w:t>
      </w:r>
      <w:r w:rsidRPr="00FD481B">
        <w:t>separate – began to crumble.</w:t>
      </w:r>
    </w:p>
    <w:p w14:paraId="7C761F85" w14:textId="77777777" w:rsidR="00B02871" w:rsidRPr="00337EEB" w:rsidRDefault="00B02871" w:rsidP="00B02871">
      <w:pPr>
        <w:pStyle w:val="CorpodeltestotesiNisa"/>
      </w:pPr>
    </w:p>
    <w:p w14:paraId="5AA43796" w14:textId="77777777" w:rsidR="00B02871" w:rsidRPr="002F0E20" w:rsidRDefault="00B02871" w:rsidP="00D91C9F">
      <w:r w:rsidRPr="00337EEB">
        <w:lastRenderedPageBreak/>
        <w:t>The second libertarian myth</w:t>
      </w:r>
      <w:r>
        <w:t>,</w:t>
      </w:r>
      <w:r w:rsidRPr="00337EEB">
        <w:t xml:space="preserve"> that had to face the new climax of early 2000s</w:t>
      </w:r>
      <w:r>
        <w:t>,</w:t>
      </w:r>
      <w:r w:rsidRPr="00337EEB">
        <w:t xml:space="preserve"> was the </w:t>
      </w:r>
      <w:r>
        <w:t>that of</w:t>
      </w:r>
      <w:r w:rsidRPr="00337EEB">
        <w:t xml:space="preserve"> the emergence of a creative class: a new social class whose roots would lie at the convergence of cultural values prompted by the social actors that had led the digital revolution, on one side, and internet entrepreneurs’ vision, on the other. The lifestyle and economic weight of such a class was expected to influence the global market as well as political systems. </w:t>
      </w:r>
      <w:r>
        <w:t>However</w:t>
      </w:r>
      <w:r w:rsidRPr="00337EEB">
        <w:t>, the Dotcom burst ratified the failure of the ‘Fifth State’.</w:t>
      </w:r>
      <w:r w:rsidRPr="00D50C43">
        <w:rPr>
          <w:rStyle w:val="FootnoteReference"/>
        </w:rPr>
        <w:footnoteReference w:id="10"/>
      </w:r>
      <w:r w:rsidRPr="00D50C43">
        <w:t xml:space="preserve"> </w:t>
      </w:r>
      <w:r>
        <w:t>Even i</w:t>
      </w:r>
      <w:r w:rsidRPr="00D50C43">
        <w:t xml:space="preserve">f the </w:t>
      </w:r>
      <w:r w:rsidRPr="00442E07">
        <w:t xml:space="preserve">net </w:t>
      </w:r>
      <w:r w:rsidRPr="0041636B">
        <w:t xml:space="preserve">economy </w:t>
      </w:r>
      <w:r w:rsidRPr="00032C17">
        <w:t xml:space="preserve">did </w:t>
      </w:r>
      <w:r>
        <w:t xml:space="preserve">eventually </w:t>
      </w:r>
      <w:r w:rsidRPr="00032C17">
        <w:t>recover from the b</w:t>
      </w:r>
      <w:r w:rsidRPr="00542C1B">
        <w:t xml:space="preserve">urst, the coalition between knowledge workers and </w:t>
      </w:r>
      <w:r w:rsidRPr="002F0E20">
        <w:t xml:space="preserve">internet companies – that in the meanwhile had become giant corporations – never did. </w:t>
      </w:r>
    </w:p>
    <w:p w14:paraId="68F56283" w14:textId="77777777" w:rsidR="00B02871" w:rsidRPr="002F0E20" w:rsidRDefault="00B02871" w:rsidP="00B02871">
      <w:pPr>
        <w:pStyle w:val="CorpodeltestotesiNisa"/>
      </w:pPr>
    </w:p>
    <w:p w14:paraId="28D12072" w14:textId="77777777" w:rsidR="00B02871" w:rsidRPr="00D40CF0" w:rsidRDefault="00B02871" w:rsidP="00D91C9F">
      <w:r w:rsidRPr="002F0E20">
        <w:t xml:space="preserve">The third myth that had to face a self-reflexive stage concerned the creation of digital commons. </w:t>
      </w:r>
      <w:r>
        <w:t>The d</w:t>
      </w:r>
      <w:r w:rsidRPr="002F0E20">
        <w:t>igital commons</w:t>
      </w:r>
      <w:r>
        <w:t>, it was believed,</w:t>
      </w:r>
      <w:r w:rsidRPr="005D1F71">
        <w:t xml:space="preserve"> would empower disadvantaged individuals against governmental authorities and business interests. However, while the openness of digital architecture – of code, practices</w:t>
      </w:r>
      <w:r>
        <w:t>,</w:t>
      </w:r>
      <w:r w:rsidRPr="005D1F71">
        <w:t xml:space="preserve"> and standards – was a </w:t>
      </w:r>
      <w:proofErr w:type="spellStart"/>
      <w:r w:rsidRPr="005D1F71">
        <w:rPr>
          <w:i/>
        </w:rPr>
        <w:t>condicio</w:t>
      </w:r>
      <w:proofErr w:type="spellEnd"/>
      <w:r w:rsidRPr="005D1F71">
        <w:rPr>
          <w:i/>
        </w:rPr>
        <w:t xml:space="preserve"> sine qua non</w:t>
      </w:r>
      <w:r w:rsidRPr="005D1F71">
        <w:t xml:space="preserve"> for the existence of the early internet, the question of how a digital commons-driven economy should</w:t>
      </w:r>
      <w:r>
        <w:t xml:space="preserve"> or could</w:t>
      </w:r>
      <w:r w:rsidRPr="005D1F71">
        <w:t xml:space="preserve"> distribute resources and wealth has long been a matter of dispute. The rapid diffusion of social behaviours and commercial services subsumed under the heading ‘Web 2.0’ is a perfect example. With commercial multi-user platforms and user-generated content</w:t>
      </w:r>
      <w:r w:rsidRPr="00FD481B">
        <w:t xml:space="preserve">, the rationale behind independent communities focusing on collaborative knowledge production seemed to have come to large-scale realization thanks to the corporate facilities provided by </w:t>
      </w:r>
      <w:r w:rsidRPr="00337EEB">
        <w:rPr>
          <w:i/>
        </w:rPr>
        <w:t>YouTube</w:t>
      </w:r>
      <w:r w:rsidRPr="00337EEB">
        <w:t xml:space="preserve">, </w:t>
      </w:r>
      <w:proofErr w:type="spellStart"/>
      <w:r w:rsidRPr="00337EEB">
        <w:rPr>
          <w:i/>
        </w:rPr>
        <w:t>MySpace</w:t>
      </w:r>
      <w:proofErr w:type="spellEnd"/>
      <w:r w:rsidRPr="00337EEB">
        <w:t xml:space="preserve">, </w:t>
      </w:r>
      <w:r w:rsidRPr="00337EEB">
        <w:rPr>
          <w:i/>
        </w:rPr>
        <w:t>Flickr</w:t>
      </w:r>
      <w:r w:rsidRPr="00337EEB">
        <w:t xml:space="preserve">, and </w:t>
      </w:r>
      <w:r w:rsidRPr="00337EEB">
        <w:rPr>
          <w:i/>
        </w:rPr>
        <w:t>Yahoo</w:t>
      </w:r>
      <w:r w:rsidRPr="00337EEB">
        <w:t xml:space="preserve">!. However, as </w:t>
      </w:r>
      <w:proofErr w:type="spellStart"/>
      <w:r w:rsidRPr="00337EEB">
        <w:t>Lovink</w:t>
      </w:r>
      <w:proofErr w:type="spellEnd"/>
      <w:r w:rsidRPr="00337EEB">
        <w:t xml:space="preserve"> has pointed out, while the ‘ideology of the free’ has been pushing millions of people to contribute with their content to Web 2.0 platforms, there is </w:t>
      </w:r>
      <w:proofErr w:type="gramStart"/>
      <w:r w:rsidRPr="00337EEB">
        <w:t>a</w:t>
      </w:r>
      <w:proofErr w:type="gramEnd"/>
      <w:r w:rsidRPr="00337EEB">
        <w:t xml:space="preserve"> endemic lack of models fostering a distributed and decentralized internet economy.</w:t>
      </w:r>
      <w:r w:rsidRPr="00D50C43">
        <w:rPr>
          <w:rStyle w:val="FootnoteReference"/>
        </w:rPr>
        <w:footnoteReference w:id="11"/>
      </w:r>
      <w:r w:rsidRPr="00D50C43">
        <w:t xml:space="preserve"> No consistent </w:t>
      </w:r>
      <w:r w:rsidRPr="00442E07">
        <w:t>distribution of resources corresponds to th</w:t>
      </w:r>
      <w:r w:rsidRPr="00D55F2A">
        <w:t xml:space="preserve">e </w:t>
      </w:r>
      <w:r w:rsidRPr="00501697">
        <w:t>‘cult of the amateur’</w:t>
      </w:r>
      <w:r w:rsidRPr="00501697">
        <w:rPr>
          <w:rStyle w:val="FootnoteReference"/>
        </w:rPr>
        <w:footnoteReference w:id="12"/>
      </w:r>
      <w:r w:rsidRPr="00501697">
        <w:t>.</w:t>
      </w:r>
    </w:p>
    <w:p w14:paraId="79D67B9E" w14:textId="77777777" w:rsidR="00B02871" w:rsidRPr="0041636B" w:rsidRDefault="00B02871" w:rsidP="00B02871">
      <w:pPr>
        <w:pStyle w:val="CorpodeltestotesiNisa"/>
      </w:pPr>
    </w:p>
    <w:p w14:paraId="3451642B" w14:textId="77777777" w:rsidR="00B02871" w:rsidRPr="005D1F71" w:rsidRDefault="00B02871" w:rsidP="00D91C9F">
      <w:r w:rsidRPr="00032C17">
        <w:t>These arguments will be further discussed in chapter</w:t>
      </w:r>
      <w:r w:rsidRPr="00542C1B">
        <w:t>s</w:t>
      </w:r>
      <w:r w:rsidRPr="002F0E20">
        <w:t xml:space="preserve"> 1-3. For the time being, we can anticipate that they highlight a set of contradictions between recent developments and key characteristics that had originally marked the growth of the online community paradigm, and of the internet as a whole. The Dotcom burst, the </w:t>
      </w:r>
      <w:proofErr w:type="spellStart"/>
      <w:r w:rsidRPr="002F0E20">
        <w:t>territorialization</w:t>
      </w:r>
      <w:proofErr w:type="spellEnd"/>
      <w:r w:rsidRPr="002F0E20">
        <w:t xml:space="preserve"> of the net, and the advent of Web 2.0, in particular, brought to light fractures in communitarian i</w:t>
      </w:r>
      <w:r w:rsidRPr="005D1F71">
        <w:t>nternet culture</w:t>
      </w:r>
      <w:r>
        <w:t>s</w:t>
      </w:r>
      <w:r w:rsidRPr="005D1F71">
        <w:t xml:space="preserve">. These fractures have been </w:t>
      </w:r>
      <w:r>
        <w:t>pointed to</w:t>
      </w:r>
      <w:r w:rsidRPr="005D1F71">
        <w:t xml:space="preserve"> by scholars </w:t>
      </w:r>
      <w:r w:rsidRPr="005D1F71">
        <w:lastRenderedPageBreak/>
        <w:t xml:space="preserve">from diverse disciplines, who </w:t>
      </w:r>
      <w:r>
        <w:t xml:space="preserve">indeed </w:t>
      </w:r>
      <w:r w:rsidRPr="005D1F71">
        <w:t>wondered about the enduring possibility of communitarian ties on the internet.</w:t>
      </w:r>
    </w:p>
    <w:p w14:paraId="317CA48E" w14:textId="77777777" w:rsidR="00B02871" w:rsidRPr="00BB05C9" w:rsidRDefault="00B02871" w:rsidP="00875BED">
      <w:pPr>
        <w:pStyle w:val="Heading2"/>
      </w:pPr>
      <w:r w:rsidRPr="00EA4171">
        <w:t xml:space="preserve">Scholars’ Reactions to the Crisis of the Digital </w:t>
      </w:r>
      <w:r w:rsidRPr="00BB05C9">
        <w:t>Communitarian Culture</w:t>
      </w:r>
    </w:p>
    <w:p w14:paraId="15C1BABF" w14:textId="77777777" w:rsidR="00B02871" w:rsidRPr="002F0E20" w:rsidRDefault="00B02871" w:rsidP="00D91C9F">
      <w:r w:rsidRPr="00D50C43">
        <w:t>B</w:t>
      </w:r>
      <w:r w:rsidRPr="00442E07">
        <w:t>y introducing</w:t>
      </w:r>
      <w:r w:rsidRPr="00D40CF0">
        <w:t xml:space="preserve"> ‘network individualism’, Manuel Castells and Barry Wellman have called into question the possibility </w:t>
      </w:r>
      <w:r>
        <w:t>of</w:t>
      </w:r>
      <w:r w:rsidRPr="00D40CF0">
        <w:t xml:space="preserve"> identify</w:t>
      </w:r>
      <w:r>
        <w:t>ing</w:t>
      </w:r>
      <w:r w:rsidRPr="00D40CF0">
        <w:t xml:space="preserve"> communi</w:t>
      </w:r>
      <w:r w:rsidRPr="0041636B">
        <w:t xml:space="preserve">tarian </w:t>
      </w:r>
      <w:r w:rsidRPr="00032C17">
        <w:t>relationships</w:t>
      </w:r>
      <w:r w:rsidRPr="00542C1B">
        <w:t xml:space="preserve"> online. According to Wellman, portability, ubiquitous computing</w:t>
      </w:r>
      <w:r>
        <w:t>,</w:t>
      </w:r>
      <w:r w:rsidRPr="00542C1B">
        <w:t xml:space="preserve"> and globalized connectivity </w:t>
      </w:r>
      <w:r w:rsidRPr="002F0E20">
        <w:t>fostered the movement from place-to-place aggregations to person-to-person networks. As a consequence, communities are not to be found in bounded groups anymore, but rather in loose networks.</w:t>
      </w:r>
      <w:r w:rsidRPr="002F0E20">
        <w:rPr>
          <w:rStyle w:val="FootnoteReference"/>
        </w:rPr>
        <w:footnoteReference w:id="13"/>
      </w:r>
      <w:r w:rsidRPr="002F0E20">
        <w:t xml:space="preserve"> Similarly, in Castells’ </w:t>
      </w:r>
      <w:r>
        <w:t>‘</w:t>
      </w:r>
      <w:r w:rsidRPr="002F0E20">
        <w:t>space of flows</w:t>
      </w:r>
      <w:r>
        <w:t>’</w:t>
      </w:r>
      <w:r w:rsidRPr="002F0E20">
        <w:t xml:space="preserve"> the individual is the hub of different kinds of flows that move from the place to the subject and vice versa.</w:t>
      </w:r>
      <w:r w:rsidRPr="002F0E20">
        <w:rPr>
          <w:rStyle w:val="FootnoteReference"/>
        </w:rPr>
        <w:footnoteReference w:id="14"/>
      </w:r>
      <w:r w:rsidRPr="002F0E20">
        <w:t xml:space="preserve"> </w:t>
      </w:r>
    </w:p>
    <w:p w14:paraId="4425FF16" w14:textId="77777777" w:rsidR="00B02871" w:rsidRPr="002F0E20" w:rsidRDefault="00B02871" w:rsidP="00B02871">
      <w:pPr>
        <w:pStyle w:val="CorpodeltestotesiNisa"/>
      </w:pPr>
    </w:p>
    <w:p w14:paraId="00B7D6B2" w14:textId="77777777" w:rsidR="00B02871" w:rsidRPr="0041636B" w:rsidRDefault="00B02871" w:rsidP="00D91C9F">
      <w:r w:rsidRPr="002F0E20">
        <w:t xml:space="preserve">Rather than advocating for macro models, humanities on their side have produced meta-reflections aiming at putting order among the multiple souls of digital communitarian culture. Sociologist of culture Patrice </w:t>
      </w:r>
      <w:proofErr w:type="spellStart"/>
      <w:r w:rsidRPr="002F0E20">
        <w:t>Flichy</w:t>
      </w:r>
      <w:proofErr w:type="spellEnd"/>
      <w:r w:rsidRPr="002F0E20">
        <w:t xml:space="preserve">, for example, called into question the existence of a homogeneous internet </w:t>
      </w:r>
      <w:r w:rsidRPr="005D1F71">
        <w:t xml:space="preserve">communitarian culture. He identified three principal imaginaries related to amateurs experimenting with information technology: initiatives linked with counter-culture and the hippie movement; hackers interested in technical </w:t>
      </w:r>
      <w:r>
        <w:t>virtuosity</w:t>
      </w:r>
      <w:r w:rsidRPr="005D1F71">
        <w:t xml:space="preserve">; </w:t>
      </w:r>
      <w:r>
        <w:t xml:space="preserve">and </w:t>
      </w:r>
      <w:r w:rsidRPr="005D1F71">
        <w:t>ICT community projects originated by civil society.</w:t>
      </w:r>
      <w:r w:rsidRPr="00D50C43">
        <w:rPr>
          <w:rStyle w:val="FootnoteReference"/>
        </w:rPr>
        <w:footnoteReference w:id="15"/>
      </w:r>
      <w:r w:rsidRPr="00D50C43">
        <w:t xml:space="preserve"> Differently, h</w:t>
      </w:r>
      <w:r w:rsidRPr="00442E07">
        <w:t>istorian Fred Turner</w:t>
      </w:r>
      <w:r w:rsidRPr="00D40CF0">
        <w:t xml:space="preserve"> </w:t>
      </w:r>
      <w:r w:rsidRPr="0041636B">
        <w:t xml:space="preserve">has traced the cultural origins of the </w:t>
      </w:r>
      <w:r w:rsidRPr="00032C17">
        <w:t>U.S.</w:t>
      </w:r>
      <w:r w:rsidRPr="00542C1B">
        <w:t xml:space="preserve"> cyberculture movement </w:t>
      </w:r>
      <w:r w:rsidRPr="002F0E20">
        <w:t>to the early days of the Free Speech movement. By focusing on spokespersons like Kevin Kelly, St</w:t>
      </w:r>
      <w:r>
        <w:t>ewart</w:t>
      </w:r>
      <w:r w:rsidRPr="002F0E20">
        <w:t xml:space="preserve"> Brand, and the </w:t>
      </w:r>
      <w:r w:rsidRPr="002F0E20">
        <w:rPr>
          <w:i/>
        </w:rPr>
        <w:t>Wired Magazine</w:t>
      </w:r>
      <w:r w:rsidRPr="002F0E20">
        <w:t xml:space="preserve">, Turner has shown that over the years the libertarian, anarchist </w:t>
      </w:r>
      <w:r w:rsidRPr="002F0E20">
        <w:rPr>
          <w:i/>
        </w:rPr>
        <w:t>digerati</w:t>
      </w:r>
      <w:r w:rsidRPr="002F0E20">
        <w:t xml:space="preserve"> culture ha</w:t>
      </w:r>
      <w:r w:rsidRPr="005D1F71">
        <w:t xml:space="preserve">s turned into open support </w:t>
      </w:r>
      <w:r>
        <w:t>for</w:t>
      </w:r>
      <w:r w:rsidRPr="005D1F71">
        <w:t xml:space="preserve"> neo-conservative political positions, like Newt Gingrich’s Contract with America.</w:t>
      </w:r>
      <w:r w:rsidRPr="00D50C43">
        <w:rPr>
          <w:rStyle w:val="FootnoteReference"/>
        </w:rPr>
        <w:footnoteReference w:id="16"/>
      </w:r>
      <w:r w:rsidRPr="00D50C43">
        <w:t xml:space="preserve"> </w:t>
      </w:r>
      <w:r w:rsidRPr="00D40CF0">
        <w:t>As a consequence</w:t>
      </w:r>
      <w:r w:rsidRPr="0041636B">
        <w:t xml:space="preserve">, those scholars </w:t>
      </w:r>
      <w:r w:rsidRPr="00032C17">
        <w:t>who</w:t>
      </w:r>
      <w:r w:rsidRPr="00542C1B">
        <w:t xml:space="preserve"> are </w:t>
      </w:r>
      <w:r w:rsidRPr="002F0E20">
        <w:t xml:space="preserve">more optimistic about the renaissance of digital ties based on commonality can be </w:t>
      </w:r>
      <w:r w:rsidRPr="002F0E20">
        <w:lastRenderedPageBreak/>
        <w:t xml:space="preserve">so only on condition that communitarian efforts get rid of libertarian ideology. Notably, media theorists Geert </w:t>
      </w:r>
      <w:proofErr w:type="spellStart"/>
      <w:r w:rsidRPr="002F0E20">
        <w:t>Lovink</w:t>
      </w:r>
      <w:proofErr w:type="spellEnd"/>
      <w:r w:rsidRPr="002F0E20">
        <w:t xml:space="preserve"> and Ned Rossiter have re-examined the notion of virtual communities as ‘organized networks’ and </w:t>
      </w:r>
      <w:r w:rsidRPr="005D1F71">
        <w:t>‘osmotic interfaces’ that reflect society while</w:t>
      </w:r>
      <w:r>
        <w:t xml:space="preserve"> anticipating</w:t>
      </w:r>
      <w:r w:rsidRPr="005D1F71">
        <w:t xml:space="preserve"> new forms of social interaction.</w:t>
      </w:r>
      <w:r w:rsidRPr="00D50C43">
        <w:rPr>
          <w:rStyle w:val="FootnoteReference"/>
        </w:rPr>
        <w:footnoteReference w:id="17"/>
      </w:r>
      <w:r w:rsidRPr="00D50C43">
        <w:t xml:space="preserve"> </w:t>
      </w:r>
    </w:p>
    <w:p w14:paraId="27B42D21" w14:textId="77777777" w:rsidR="00B02871" w:rsidRPr="001B3BDB" w:rsidRDefault="00B02871" w:rsidP="00875BED">
      <w:pPr>
        <w:pStyle w:val="Heading2"/>
      </w:pPr>
      <w:r w:rsidRPr="001B3BDB">
        <w:t>A Non-essentialist Perspective for Diluted Communities</w:t>
      </w:r>
    </w:p>
    <w:p w14:paraId="463402E3" w14:textId="77777777" w:rsidR="00B02871" w:rsidRPr="00337EEB" w:rsidRDefault="00B02871" w:rsidP="00D91C9F">
      <w:r w:rsidRPr="00D50C43">
        <w:t>According to many analysts, t</w:t>
      </w:r>
      <w:r w:rsidRPr="00442E07">
        <w:t xml:space="preserve">he </w:t>
      </w:r>
      <w:r w:rsidRPr="00D40CF0">
        <w:t>crisis of foundational myths</w:t>
      </w:r>
      <w:r w:rsidRPr="0041636B">
        <w:t xml:space="preserve"> </w:t>
      </w:r>
      <w:r w:rsidRPr="00032C17">
        <w:t>suggest</w:t>
      </w:r>
      <w:r w:rsidRPr="00542C1B">
        <w:t>s</w:t>
      </w:r>
      <w:r w:rsidRPr="002F0E20">
        <w:t xml:space="preserve"> that cyberculture utopias are facing the counter-evidence of both a more and more controlled and territorialized internet and of a newly new economy based on the exploitation of informal cognitive labour. This seems to have consequences for online </w:t>
      </w:r>
      <w:r w:rsidRPr="00501697">
        <w:t>communalism.</w:t>
      </w:r>
      <w:r w:rsidRPr="005D1F71">
        <w:t xml:space="preserve"> First, </w:t>
      </w:r>
      <w:r>
        <w:t xml:space="preserve">at stake is </w:t>
      </w:r>
      <w:r w:rsidRPr="005D1F71">
        <w:t>the correlation between access to digital networks and empowerment of individuals and communities. As we will see in chapter 1, such correlation lies at the core of the digital communitarian paradigm. However, with the rise of social networking services acting as intermediaries, the immediate character of th</w:t>
      </w:r>
      <w:r>
        <w:t>is</w:t>
      </w:r>
      <w:r w:rsidRPr="005D1F71">
        <w:t xml:space="preserve"> correlation cannot be taken for granted anymore. That uploading personal information on a digital platform, participating in e-democracy focus groups or keeping a personal blog would </w:t>
      </w:r>
      <w:r>
        <w:t xml:space="preserve">necessarily </w:t>
      </w:r>
      <w:r w:rsidRPr="005D1F71">
        <w:t>empower ind</w:t>
      </w:r>
      <w:r w:rsidRPr="00FD481B">
        <w:t xml:space="preserve">ividuals and communities indeed needs demonstration. </w:t>
      </w:r>
    </w:p>
    <w:p w14:paraId="545F90C6" w14:textId="77777777" w:rsidR="00B02871" w:rsidRPr="00337EEB" w:rsidRDefault="00B02871" w:rsidP="00B02871">
      <w:pPr>
        <w:pStyle w:val="CorpodeltestotesiNisa"/>
      </w:pPr>
    </w:p>
    <w:p w14:paraId="7141D70A" w14:textId="77777777" w:rsidR="00B02871" w:rsidRPr="00671EF3" w:rsidRDefault="00B02871" w:rsidP="00D91C9F">
      <w:r w:rsidRPr="00337EEB">
        <w:t xml:space="preserve">Second, with the above crisis, the communitarian paradigm has acquired a paradoxical character. While this first decade of the 21st century is witnessing the diffusion of the virtual </w:t>
      </w:r>
      <w:r w:rsidRPr="00337EEB">
        <w:rPr>
          <w:i/>
        </w:rPr>
        <w:t>gemeinschaft</w:t>
      </w:r>
      <w:r w:rsidRPr="00337EEB">
        <w:t xml:space="preserve"> well beyond </w:t>
      </w:r>
      <w:r w:rsidRPr="00337EEB">
        <w:rPr>
          <w:i/>
        </w:rPr>
        <w:t>digerati</w:t>
      </w:r>
      <w:r w:rsidRPr="00337EEB">
        <w:t xml:space="preserve"> niches, counterculture or civil society experiments, t</w:t>
      </w:r>
      <w:r w:rsidRPr="00DB4CBB">
        <w:t>his proliferation entails an ontological ‘dilution’. It is by no means clear whether there exist ties that are specific enough to be labelled ‘communitarian’, and that could make up a special type of relationship. ‘Community’ seems to be diluted everywhere and yet it is difficult to describe what it is supposed to be made of. While communitarian</w:t>
      </w:r>
      <w:r w:rsidRPr="004B42EE">
        <w:t xml:space="preserve"> ties enabled by digital platforms are</w:t>
      </w:r>
      <w:r w:rsidRPr="0021572C">
        <w:t xml:space="preserve"> more and more invoked, the internet is revealing itself as a more bureaucratic, controlled</w:t>
      </w:r>
      <w:r w:rsidRPr="00671EF3">
        <w:t xml:space="preserve">, and profit-oriented domain than ever. </w:t>
      </w:r>
    </w:p>
    <w:p w14:paraId="05E3960B" w14:textId="77777777" w:rsidR="00B02871" w:rsidRPr="00671EF3" w:rsidRDefault="00B02871" w:rsidP="00D91C9F"/>
    <w:p w14:paraId="06FFDDC5" w14:textId="77777777" w:rsidR="00B02871" w:rsidRPr="00D50C43" w:rsidRDefault="00B02871" w:rsidP="00D91C9F">
      <w:r w:rsidRPr="00671EF3">
        <w:t>As a consequence, scholars and commentators have argued that when the cyberculture paradigm – together with its actors and technical platforms – shows its limits, other players are likely to appropriate ‘online communities’ as techno-soc</w:t>
      </w:r>
      <w:r w:rsidRPr="00D81ED5">
        <w:t xml:space="preserve">ial </w:t>
      </w:r>
      <w:r w:rsidRPr="00D81ED5">
        <w:lastRenderedPageBreak/>
        <w:t xml:space="preserve">assemblages made of specific ideologies, interaction models, values, rules, and technical protocols. </w:t>
      </w:r>
      <w:r w:rsidRPr="00CA3AE8">
        <w:t>Drawing on similar evidence but avoiding swift conclusions, this book suggests that such developments can constitute an opportunity to answer a still open question by means of empirical analysis: under w</w:t>
      </w:r>
      <w:r>
        <w:t>hat</w:t>
      </w:r>
      <w:r w:rsidRPr="00CA3AE8">
        <w:t xml:space="preserve"> conditions is it possible to conceptualize online sociability in the first decade of the 21st century?</w:t>
      </w:r>
    </w:p>
    <w:p w14:paraId="20EB83C5" w14:textId="77777777" w:rsidR="00B02871" w:rsidRPr="00CA3AE8" w:rsidRDefault="00B02871" w:rsidP="00D91C9F"/>
    <w:p w14:paraId="062ACEB3" w14:textId="77777777" w:rsidR="00B02871" w:rsidRPr="00442E07" w:rsidRDefault="00B02871" w:rsidP="00D91C9F">
      <w:r w:rsidRPr="00CA3AE8">
        <w:t>By avoiding macro accounts and linear evolutionary perspectives, the book answers this question by investigating theories of actions that have underpinned the development of techno-social assemblages for online collaboration after the fade of the ‘golden age’ of digital communities. It privileges the analysis of probably the largest archive on digital communities worldwide, and in doing so it returns a multi-faceted picture of contemporary sociability online. This outcome, however, requires a radical epistemological turn and well-thought empirical methods. In particular, it needs an anti-essentialist approach that frees the communitarian perspective from some of the constraints that pulled it into the blind alley anticipated above, further described in chapters 1-3.</w:t>
      </w:r>
      <w:r w:rsidRPr="00D50C43">
        <w:t xml:space="preserve"> </w:t>
      </w:r>
    </w:p>
    <w:p w14:paraId="334849FF" w14:textId="77777777" w:rsidR="00B02871" w:rsidRPr="00442E07" w:rsidRDefault="00B02871" w:rsidP="00D91C9F"/>
    <w:p w14:paraId="774B927A" w14:textId="77777777" w:rsidR="00B02871" w:rsidRPr="002F0E20" w:rsidRDefault="00B02871" w:rsidP="00D91C9F">
      <w:r w:rsidRPr="00D40CF0">
        <w:t xml:space="preserve">In order to introduce such an approach, it </w:t>
      </w:r>
      <w:r w:rsidRPr="0041636B">
        <w:t>should</w:t>
      </w:r>
      <w:r w:rsidRPr="00032C17">
        <w:t xml:space="preserve"> be recalled that t</w:t>
      </w:r>
      <w:r w:rsidRPr="00542C1B">
        <w:t xml:space="preserve">he </w:t>
      </w:r>
      <w:r w:rsidRPr="002F0E20">
        <w:t xml:space="preserve">conceptualization of community lies at the very heart of the social sciences. It has been of crucial importance in identifying the types of society brought about by modernity. The evolutionist distinction between </w:t>
      </w:r>
      <w:r w:rsidRPr="002F0E20">
        <w:rPr>
          <w:i/>
        </w:rPr>
        <w:t>gemeinschaft</w:t>
      </w:r>
      <w:r w:rsidRPr="002F0E20">
        <w:t xml:space="preserve"> and </w:t>
      </w:r>
      <w:r w:rsidRPr="002F0E20">
        <w:rPr>
          <w:i/>
        </w:rPr>
        <w:t>gesellschaft</w:t>
      </w:r>
      <w:r w:rsidRPr="002F0E20">
        <w:t xml:space="preserve"> by Ferdinand </w:t>
      </w:r>
      <w:proofErr w:type="spellStart"/>
      <w:r w:rsidRPr="002F0E20">
        <w:t>Tönnies</w:t>
      </w:r>
      <w:proofErr w:type="spellEnd"/>
      <w:r w:rsidRPr="002F0E20">
        <w:t>, for instance, marked the dichotomy between a pre-modern form of human organization based on emotional will (</w:t>
      </w:r>
      <w:proofErr w:type="spellStart"/>
      <w:r w:rsidRPr="005D1F71">
        <w:rPr>
          <w:i/>
        </w:rPr>
        <w:t>Wesenwille</w:t>
      </w:r>
      <w:proofErr w:type="spellEnd"/>
      <w:r w:rsidRPr="005D1F71">
        <w:t>) and a modern society based on rational will (</w:t>
      </w:r>
      <w:proofErr w:type="spellStart"/>
      <w:r w:rsidRPr="005D1F71">
        <w:rPr>
          <w:i/>
        </w:rPr>
        <w:t>Kürwille</w:t>
      </w:r>
      <w:proofErr w:type="spellEnd"/>
      <w:r w:rsidRPr="005D1F71">
        <w:t>).</w:t>
      </w:r>
      <w:r>
        <w:rPr>
          <w:rStyle w:val="FootnoteReference"/>
        </w:rPr>
        <w:footnoteReference w:id="18"/>
      </w:r>
      <w:r w:rsidRPr="005D1F71">
        <w:t xml:space="preserve"> An opposition between pre-modern group solidarity </w:t>
      </w:r>
      <w:r>
        <w:t>v</w:t>
      </w:r>
      <w:r w:rsidRPr="005D1F71">
        <w:t xml:space="preserve">s. individual inclusion into a modern organizational structure was conveyed also by Émile Durkheim’s notion of mechanical </w:t>
      </w:r>
      <w:r>
        <w:t xml:space="preserve">vs. organic </w:t>
      </w:r>
      <w:r w:rsidRPr="005D1F71">
        <w:t>solidarity.</w:t>
      </w:r>
      <w:r>
        <w:rPr>
          <w:rStyle w:val="FootnoteReference"/>
        </w:rPr>
        <w:footnoteReference w:id="19"/>
      </w:r>
      <w:r w:rsidRPr="005D1F71">
        <w:t xml:space="preserve"> Such a binary distinction between a supportive community and an evolution towards individualized networks persists also in contemporary references to ‘community’.</w:t>
      </w:r>
      <w:r w:rsidRPr="00D50C43">
        <w:rPr>
          <w:rStyle w:val="FootnoteReference"/>
        </w:rPr>
        <w:footnoteReference w:id="20"/>
      </w:r>
      <w:r w:rsidRPr="00D50C43">
        <w:t xml:space="preserve"> </w:t>
      </w:r>
      <w:r w:rsidRPr="00032C17">
        <w:t>Here</w:t>
      </w:r>
      <w:r w:rsidRPr="00542C1B">
        <w:t xml:space="preserve">, the term ‘community’ </w:t>
      </w:r>
      <w:r w:rsidRPr="00542C1B">
        <w:lastRenderedPageBreak/>
        <w:t>indicat</w:t>
      </w:r>
      <w:r w:rsidRPr="002F0E20">
        <w:t>es social assemblages whose elements are maintained together by strong, solidarity-based ties, as opposed to weak, individual-based ties. In other words, ‘community’ is a ‘substance’ that differentiates a specific type of social aggregate from other types.</w:t>
      </w:r>
    </w:p>
    <w:p w14:paraId="293F402B" w14:textId="77777777" w:rsidR="00B02871" w:rsidRPr="002F0E20" w:rsidRDefault="00B02871" w:rsidP="00B02871">
      <w:pPr>
        <w:pStyle w:val="CorpodeltestotesiNisa"/>
      </w:pPr>
    </w:p>
    <w:p w14:paraId="7A8D702F" w14:textId="77777777" w:rsidR="00B02871" w:rsidRPr="005D1F71" w:rsidRDefault="00B02871" w:rsidP="00D91C9F">
      <w:r w:rsidRPr="002F0E20">
        <w:t xml:space="preserve">Following this tradition, studies on digital communities </w:t>
      </w:r>
      <w:r w:rsidRPr="005D1F71">
        <w:t>have often concentrated on the extent to which online collaboration could be conceived of as a ‘real’ community, rather than a simple transaction. Durability over time, regularity of the rhythm of interaction, presence of one or few shared interests were used as indicators to distinguish ‘successful’ communities from other types of looser social aggregates.</w:t>
      </w:r>
      <w:r w:rsidRPr="00D50C43">
        <w:rPr>
          <w:rStyle w:val="FootnoteReference"/>
        </w:rPr>
        <w:footnoteReference w:id="21"/>
      </w:r>
      <w:r w:rsidRPr="00D50C43">
        <w:t xml:space="preserve"> </w:t>
      </w:r>
      <w:r w:rsidRPr="00032C17">
        <w:t>T</w:t>
      </w:r>
      <w:r w:rsidRPr="00542C1B">
        <w:t xml:space="preserve">hese approaches </w:t>
      </w:r>
      <w:r w:rsidRPr="002F0E20">
        <w:t xml:space="preserve">acknowledged as genuine online communities only those groups featuring </w:t>
      </w:r>
      <w:r w:rsidRPr="002F0E20">
        <w:rPr>
          <w:i/>
        </w:rPr>
        <w:t>a priori</w:t>
      </w:r>
      <w:r w:rsidRPr="002F0E20">
        <w:t xml:space="preserve"> established characteristics like emotional investment, sense of belonging, active engagement, durability over ti</w:t>
      </w:r>
      <w:r w:rsidRPr="005D1F71">
        <w:t xml:space="preserve">me, </w:t>
      </w:r>
      <w:r>
        <w:t xml:space="preserve">and </w:t>
      </w:r>
      <w:r w:rsidRPr="005D1F71">
        <w:t>face</w:t>
      </w:r>
      <w:r>
        <w:t>-</w:t>
      </w:r>
      <w:r w:rsidRPr="005D1F71">
        <w:t>to</w:t>
      </w:r>
      <w:r>
        <w:t>-</w:t>
      </w:r>
      <w:r w:rsidRPr="005D1F71">
        <w:t>face encounters.</w:t>
      </w:r>
    </w:p>
    <w:p w14:paraId="1F15AE9E" w14:textId="77777777" w:rsidR="00B02871" w:rsidRPr="005D1F71" w:rsidRDefault="00B02871" w:rsidP="00D91C9F"/>
    <w:p w14:paraId="1DD89A79" w14:textId="77777777" w:rsidR="00B02871" w:rsidRPr="005D1F71" w:rsidRDefault="00B02871" w:rsidP="00D91C9F">
      <w:r w:rsidRPr="005D1F71">
        <w:t>From an epistemological viewpoint, social research methodologists label this epistemic strategy ‘intensive classification’.</w:t>
      </w:r>
      <w:r w:rsidRPr="00D50C43">
        <w:rPr>
          <w:rStyle w:val="FootnoteReference"/>
        </w:rPr>
        <w:footnoteReference w:id="22"/>
      </w:r>
      <w:r w:rsidRPr="00D50C43">
        <w:t xml:space="preserve"> </w:t>
      </w:r>
      <w:r w:rsidRPr="0041636B">
        <w:t xml:space="preserve">Intensive classification proceeds by articulating the </w:t>
      </w:r>
      <w:r w:rsidRPr="00032C17">
        <w:t>characteristics</w:t>
      </w:r>
      <w:r w:rsidRPr="00542C1B">
        <w:t xml:space="preserve"> an </w:t>
      </w:r>
      <w:r w:rsidRPr="002F0E20">
        <w:t xml:space="preserve">item must </w:t>
      </w:r>
      <w:r>
        <w:t>manifest</w:t>
      </w:r>
      <w:r w:rsidRPr="002F0E20">
        <w:t xml:space="preserve"> in order to be classified as a concept. As in Plato’s cave, once an abstract ‘Form’ (</w:t>
      </w:r>
      <w:r w:rsidRPr="002F0E20">
        <w:rPr>
          <w:i/>
        </w:rPr>
        <w:t>Idea</w:t>
      </w:r>
      <w:r w:rsidRPr="002F0E20">
        <w:t>) of online community is established, only cases</w:t>
      </w:r>
      <w:r w:rsidRPr="005D1F71">
        <w:t xml:space="preserve"> of online collaboration matching those criteria can be considered as its occurrences. Latour calls this classification method ‘ostensive’, and highlights its inadequacy to account for change:</w:t>
      </w:r>
    </w:p>
    <w:p w14:paraId="19AADAD8" w14:textId="77777777" w:rsidR="00B02871" w:rsidRPr="00032C17" w:rsidRDefault="00B02871" w:rsidP="00D91C9F">
      <w:r w:rsidRPr="00501697">
        <w:t xml:space="preserve">[t]he problem with any ostensive definition of the social is that no extra effort seems necessary to maintain the groups in existence […]. The great benefit of a performative </w:t>
      </w:r>
      <w:r w:rsidRPr="00501697">
        <w:lastRenderedPageBreak/>
        <w:t>definition, on the other hand, is just the opposite: it draws attention to the means necessary to ceaselessly upkeep the groups.</w:t>
      </w:r>
      <w:r w:rsidRPr="00501697">
        <w:rPr>
          <w:rStyle w:val="FootnoteReference"/>
          <w:sz w:val="22"/>
          <w:szCs w:val="22"/>
        </w:rPr>
        <w:footnoteReference w:id="23"/>
      </w:r>
      <w:r w:rsidRPr="00501697">
        <w:t xml:space="preserve"> </w:t>
      </w:r>
    </w:p>
    <w:p w14:paraId="4A9A3D80" w14:textId="77777777" w:rsidR="00B02871" w:rsidRPr="002F0E20" w:rsidRDefault="00B02871" w:rsidP="00D91C9F">
      <w:r w:rsidRPr="00542C1B">
        <w:t>O</w:t>
      </w:r>
      <w:r w:rsidRPr="002F0E20">
        <w:t>stensive definition does not fit unstable social groups. This is particularly true of online communities. Despite their ostensive efforts, early authors agreed that online assemblages were transient aggregations where durability, stability,</w:t>
      </w:r>
      <w:r w:rsidRPr="005D1F71">
        <w:t xml:space="preserve"> and order were exceptions.</w:t>
      </w:r>
      <w:r w:rsidRPr="00D50C43">
        <w:rPr>
          <w:rStyle w:val="FootnoteReference"/>
        </w:rPr>
        <w:footnoteReference w:id="24"/>
      </w:r>
      <w:r w:rsidRPr="00D50C43">
        <w:t xml:space="preserve"> </w:t>
      </w:r>
      <w:r w:rsidRPr="0041636B">
        <w:t xml:space="preserve">Even when the social assemblage reached a sort of self-consciousness as a </w:t>
      </w:r>
      <w:r w:rsidRPr="00032C17">
        <w:t>community</w:t>
      </w:r>
      <w:r w:rsidRPr="00542C1B">
        <w:t>, it was somewhat impossible to trace clear delimitations between the inner and the outer social space. In the W</w:t>
      </w:r>
      <w:r>
        <w:t>ELL</w:t>
      </w:r>
      <w:r w:rsidRPr="00542C1B">
        <w:t>, for example, more than 80 per cent of the sub</w:t>
      </w:r>
      <w:r w:rsidRPr="002F0E20">
        <w:t xml:space="preserve">scribers where </w:t>
      </w:r>
      <w:proofErr w:type="spellStart"/>
      <w:r w:rsidRPr="002F0E20">
        <w:t>lurkers</w:t>
      </w:r>
      <w:proofErr w:type="spellEnd"/>
      <w:r w:rsidRPr="002F0E20">
        <w:t>: ephemeral participants rarely intervening in discussions.</w:t>
      </w:r>
      <w:r w:rsidRPr="00D50C43">
        <w:rPr>
          <w:rStyle w:val="FootnoteReference"/>
        </w:rPr>
        <w:footnoteReference w:id="25"/>
      </w:r>
      <w:r w:rsidRPr="00D50C43">
        <w:t xml:space="preserve"> </w:t>
      </w:r>
      <w:r w:rsidRPr="00542C1B">
        <w:t>This fleeting character of digital communities has only been accentuated by the above-mentioned proliferation of digital sociab</w:t>
      </w:r>
      <w:r w:rsidRPr="002F0E20">
        <w:t xml:space="preserve">ility in diverse domains, which contributed to its ‘opacity’, a resistance to being ‘grasped’. </w:t>
      </w:r>
    </w:p>
    <w:p w14:paraId="1A3637B6" w14:textId="77777777" w:rsidR="00B02871" w:rsidRPr="002F0E20" w:rsidRDefault="00B02871" w:rsidP="00D91C9F"/>
    <w:p w14:paraId="2D03FD49" w14:textId="77777777" w:rsidR="00B02871" w:rsidRPr="005D1F71" w:rsidRDefault="00B02871" w:rsidP="00D91C9F">
      <w:r w:rsidRPr="002F0E20">
        <w:t xml:space="preserve">If internet instability is the norm, then the presence of communitarian ties needs to be demonstrated each time anew and cannot be simply postulated. Are there homogeneous ties that are peculiar to a substance labelled ‘community’? Does the traditional distinction between </w:t>
      </w:r>
      <w:r w:rsidRPr="002F0E20">
        <w:rPr>
          <w:i/>
        </w:rPr>
        <w:t>gemeinschaft</w:t>
      </w:r>
      <w:r w:rsidRPr="002F0E20">
        <w:t xml:space="preserve"> and </w:t>
      </w:r>
      <w:r w:rsidRPr="005D1F71">
        <w:rPr>
          <w:i/>
        </w:rPr>
        <w:t>gesellschaft</w:t>
      </w:r>
      <w:r w:rsidRPr="005D1F71">
        <w:t xml:space="preserve"> retain its meaning? What is difficult – if not impossible – when researching online forms of aggregation is exactly individuating a closed list of features that </w:t>
      </w:r>
      <w:r>
        <w:t>are</w:t>
      </w:r>
      <w:r w:rsidRPr="005D1F71">
        <w:t xml:space="preserve"> specific to communitarian digital assemblages. </w:t>
      </w:r>
    </w:p>
    <w:p w14:paraId="0D18ADE4" w14:textId="77777777" w:rsidR="00B02871" w:rsidRPr="00CA3AE8" w:rsidRDefault="00B02871" w:rsidP="00D91C9F"/>
    <w:p w14:paraId="06D3CB8A" w14:textId="77777777" w:rsidR="00B02871" w:rsidRPr="00D50C43" w:rsidRDefault="00B02871" w:rsidP="00D91C9F">
      <w:r w:rsidRPr="00CA3AE8">
        <w:t>In order to address this conundrum, th</w:t>
      </w:r>
      <w:r>
        <w:t>e</w:t>
      </w:r>
      <w:r w:rsidRPr="00CA3AE8">
        <w:t xml:space="preserve"> book proceeds in a different way than earl</w:t>
      </w:r>
      <w:r>
        <w:t>ier</w:t>
      </w:r>
      <w:r w:rsidRPr="00CA3AE8">
        <w:t xml:space="preserve"> studies. It does not aim to distinguish ‘genuine communities’ from ‘simple transactions’, nor does it postulate specifically ‘communitarian’ types of relationship. It does not set any specific social aggregate or theory as a starting point. For example, it does not begin with setting ‘networks’ rather than ‘groups’ as the best social assemblage to start with, nor does it take ‘social networking sites’ as the </w:t>
      </w:r>
      <w:proofErr w:type="gramStart"/>
      <w:r w:rsidRPr="00CA3AE8">
        <w:t>brand new</w:t>
      </w:r>
      <w:proofErr w:type="gramEnd"/>
      <w:r w:rsidRPr="00CA3AE8">
        <w:t xml:space="preserve"> </w:t>
      </w:r>
      <w:r w:rsidRPr="00CA3AE8">
        <w:lastRenderedPageBreak/>
        <w:t>machinery for social capital production. Rather, it asks involved actors themselves what they mean by ‘digital community’.</w:t>
      </w:r>
      <w:r w:rsidRPr="00D50C43">
        <w:tab/>
      </w:r>
    </w:p>
    <w:p w14:paraId="06341A18" w14:textId="77777777" w:rsidR="00B02871" w:rsidRPr="00442E07" w:rsidRDefault="00B02871" w:rsidP="00D91C9F"/>
    <w:p w14:paraId="17D9BD99" w14:textId="77777777" w:rsidR="00B02871" w:rsidRPr="00032C17" w:rsidRDefault="00B02871" w:rsidP="00D91C9F">
      <w:r w:rsidRPr="00D40CF0">
        <w:t>I</w:t>
      </w:r>
      <w:r w:rsidRPr="0041636B">
        <w:t>n other words,</w:t>
      </w:r>
      <w:r w:rsidRPr="00032C17">
        <w:t xml:space="preserve"> in this boo</w:t>
      </w:r>
      <w:r w:rsidRPr="00542C1B">
        <w:t>k</w:t>
      </w:r>
      <w:r w:rsidRPr="002F0E20">
        <w:t xml:space="preserve"> </w:t>
      </w:r>
      <w:r w:rsidRPr="00CA3AE8">
        <w:t>I prefer to adopt a ‘</w:t>
      </w:r>
      <w:proofErr w:type="spellStart"/>
      <w:r w:rsidRPr="00CA3AE8">
        <w:t>Wittgensteinian</w:t>
      </w:r>
      <w:proofErr w:type="spellEnd"/>
      <w:r w:rsidRPr="00CA3AE8">
        <w:t>’</w:t>
      </w:r>
      <w:r w:rsidRPr="00CA3AE8">
        <w:rPr>
          <w:rStyle w:val="FootnoteReference"/>
        </w:rPr>
        <w:footnoteReference w:id="26"/>
      </w:r>
      <w:r w:rsidRPr="00CA3AE8">
        <w:t xml:space="preserve"> epistemic approach in which a concept is defined </w:t>
      </w:r>
      <w:proofErr w:type="gramStart"/>
      <w:r w:rsidRPr="00CA3AE8">
        <w:rPr>
          <w:i/>
        </w:rPr>
        <w:t>a posteriori</w:t>
      </w:r>
      <w:proofErr w:type="gramEnd"/>
      <w:r w:rsidRPr="00CA3AE8">
        <w:t>, as the result of clustering together occurrences seen as similar. This ‘extensive classification’.</w:t>
      </w:r>
      <w:r w:rsidRPr="00CA3AE8">
        <w:rPr>
          <w:rStyle w:val="FootnoteReference"/>
        </w:rPr>
        <w:footnoteReference w:id="27"/>
      </w:r>
      <w:r w:rsidRPr="00CA3AE8">
        <w:t xml:space="preserve"> corresponds to Latour’s performative definition. Concepts are empirically defined through recognition of objects as members of a cluster: ‘they are made by the various ways and manners in which they are said to exist’.</w:t>
      </w:r>
      <w:r w:rsidRPr="00CA3AE8">
        <w:rPr>
          <w:rStyle w:val="FootnoteReference"/>
        </w:rPr>
        <w:footnoteReference w:id="28"/>
      </w:r>
      <w:r w:rsidRPr="00CA3AE8">
        <w:t xml:space="preserve"> Since they need to be constantly kept up by group-making efforts, digital communities cannot be the object of an ostensive definition, but only of a performative one</w:t>
      </w:r>
      <w:r w:rsidRPr="00D50C43">
        <w:t>: ‘[t]he object of an ostensive definition remains there, whatever happens to the index of the onlooker. But the object of a perf</w:t>
      </w:r>
      <w:r w:rsidRPr="00442E07">
        <w:t>ormative definition vanishes when it is no longer performed’</w:t>
      </w:r>
      <w:r w:rsidRPr="00D40CF0">
        <w:t>.</w:t>
      </w:r>
      <w:r w:rsidRPr="00D50C43">
        <w:rPr>
          <w:rStyle w:val="FootnoteReference"/>
        </w:rPr>
        <w:footnoteReference w:id="29"/>
      </w:r>
      <w:r w:rsidRPr="00D40CF0">
        <w:t xml:space="preserve"> </w:t>
      </w:r>
      <w:r w:rsidRPr="00CA3AE8">
        <w:t>Research dealing with the transient nature of online sociability thus needs to focus on how heterogeneous entities are woven together, and the means whereby they are kept assembled</w:t>
      </w:r>
      <w:r w:rsidRPr="00D50C43">
        <w:t>,</w:t>
      </w:r>
      <w:r w:rsidRPr="00442E07">
        <w:t xml:space="preserve"> </w:t>
      </w:r>
      <w:r w:rsidRPr="00D40CF0">
        <w:t xml:space="preserve">instead of </w:t>
      </w:r>
      <w:r w:rsidRPr="0041636B">
        <w:t>postulating the substance of community.</w:t>
      </w:r>
    </w:p>
    <w:p w14:paraId="174B56E0" w14:textId="77777777" w:rsidR="00B02871" w:rsidRPr="00542C1B" w:rsidRDefault="00B02871" w:rsidP="00D91C9F"/>
    <w:p w14:paraId="40507D02" w14:textId="77777777" w:rsidR="00B02871" w:rsidRPr="00D50C43" w:rsidRDefault="00B02871" w:rsidP="00D91C9F">
      <w:r w:rsidRPr="002F0E20">
        <w:t>T</w:t>
      </w:r>
      <w:r w:rsidRPr="00CA3AE8">
        <w:t xml:space="preserve">his anti-essentialist approach avoids defining beforehand what communitarian ties are supposed to be. Rather, it suggests to start from the observation of different, conflicting selections. To do so, the research summarized in this book adopts a </w:t>
      </w:r>
      <w:r w:rsidRPr="00CA3AE8">
        <w:lastRenderedPageBreak/>
        <w:t>bottom-up method that asks social actors themselves which theories of action supported their forms of online communality</w:t>
      </w:r>
      <w:r>
        <w:t>.</w:t>
      </w:r>
    </w:p>
    <w:p w14:paraId="6AD880F4" w14:textId="77777777" w:rsidR="00B02871" w:rsidRPr="00442E07" w:rsidRDefault="00B02871" w:rsidP="00D91C9F"/>
    <w:p w14:paraId="0ED7F892" w14:textId="77777777" w:rsidR="00B02871" w:rsidRPr="002F0E20" w:rsidRDefault="00B02871" w:rsidP="00D91C9F">
      <w:r w:rsidRPr="00D40CF0">
        <w:t>For th</w:t>
      </w:r>
      <w:r w:rsidRPr="0041636B">
        <w:t>is</w:t>
      </w:r>
      <w:r w:rsidRPr="00032C17">
        <w:t xml:space="preserve"> reason, this book is not </w:t>
      </w:r>
      <w:r w:rsidRPr="00542C1B">
        <w:t>written</w:t>
      </w:r>
      <w:r w:rsidRPr="002F0E20">
        <w:t xml:space="preserve"> in the specialized meta-language of specific disciplines, but rather strives to adopt a language based on </w:t>
      </w:r>
      <w:r>
        <w:t>lay</w:t>
      </w:r>
      <w:r w:rsidRPr="00D50C43">
        <w:t xml:space="preserve"> words.</w:t>
      </w:r>
      <w:r w:rsidRPr="00D50C43">
        <w:rPr>
          <w:rStyle w:val="FootnoteReference"/>
        </w:rPr>
        <w:footnoteReference w:id="30"/>
      </w:r>
      <w:r w:rsidRPr="00D50C43">
        <w:t xml:space="preserve"> </w:t>
      </w:r>
      <w:r w:rsidRPr="00442E07">
        <w:t>Indeed, a</w:t>
      </w:r>
      <w:r w:rsidRPr="00D40CF0">
        <w:t>ny preliminary classification based on the type of technology used, the type of social ties created or the shared interests and commons would get stuck in the n</w:t>
      </w:r>
      <w:r w:rsidRPr="0041636B">
        <w:t>ecessity to define those types in advance, thus postulating concepts derived from other researche</w:t>
      </w:r>
      <w:r>
        <w:t>r</w:t>
      </w:r>
      <w:r w:rsidRPr="0041636B">
        <w:t>s, other disciplines, or from the market-driven digital hype.</w:t>
      </w:r>
      <w:r w:rsidRPr="00D50C43">
        <w:rPr>
          <w:rStyle w:val="FootnoteReference"/>
        </w:rPr>
        <w:footnoteReference w:id="31"/>
      </w:r>
      <w:r w:rsidRPr="00D50C43">
        <w:t xml:space="preserve"> </w:t>
      </w:r>
      <w:r w:rsidRPr="00442E07">
        <w:t>Paradoxically, i</w:t>
      </w:r>
      <w:r w:rsidRPr="00D40CF0">
        <w:t>f we want to keep our feet on the solid ground of science, we cannot rely on oth</w:t>
      </w:r>
      <w:r w:rsidRPr="0041636B">
        <w:t xml:space="preserve">er concepts </w:t>
      </w:r>
      <w:r w:rsidRPr="00032C17">
        <w:t>but</w:t>
      </w:r>
      <w:r w:rsidRPr="00542C1B">
        <w:t xml:space="preserve"> those provided by social actors themselves.</w:t>
      </w:r>
    </w:p>
    <w:p w14:paraId="0E67AA1F" w14:textId="77777777" w:rsidR="00B02871" w:rsidRPr="002F0E20" w:rsidRDefault="00B02871" w:rsidP="00B02871">
      <w:bookmarkStart w:id="1" w:name="_Toc502930462"/>
    </w:p>
    <w:p w14:paraId="39F619C4" w14:textId="77777777" w:rsidR="00B02871" w:rsidRPr="00FD5C60" w:rsidRDefault="00B02871" w:rsidP="00875BED">
      <w:pPr>
        <w:pStyle w:val="Heading2"/>
      </w:pPr>
      <w:r w:rsidRPr="000C1376">
        <w:t xml:space="preserve">Ars Electronica’s Digital Communities </w:t>
      </w:r>
      <w:r w:rsidRPr="00FD5C60">
        <w:t xml:space="preserve">Competition as Space of </w:t>
      </w:r>
      <w:bookmarkEnd w:id="1"/>
      <w:r w:rsidRPr="00FD5C60">
        <w:t>Controversy</w:t>
      </w:r>
    </w:p>
    <w:p w14:paraId="31473804" w14:textId="77777777" w:rsidR="00B02871" w:rsidRPr="005D1F71" w:rsidRDefault="00B02871" w:rsidP="00B02871">
      <w:r w:rsidRPr="00442E07">
        <w:t xml:space="preserve">Driven </w:t>
      </w:r>
      <w:r w:rsidRPr="00D40CF0">
        <w:t>by</w:t>
      </w:r>
      <w:r w:rsidRPr="0041636B">
        <w:t xml:space="preserve"> </w:t>
      </w:r>
      <w:r w:rsidRPr="00032C17">
        <w:t xml:space="preserve">an </w:t>
      </w:r>
      <w:r w:rsidRPr="00542C1B">
        <w:t>interest</w:t>
      </w:r>
      <w:r w:rsidRPr="002F0E20">
        <w:t xml:space="preserve"> in recent transformations of digital communalism, and adopting an anti-essentialist epistemic approach, this book aim</w:t>
      </w:r>
      <w:r w:rsidRPr="005D1F71">
        <w:t>s to investigate the communitarian potential of digital techno-social assemblages in the first decade of the 21st century, as it is accounted for by those actors who are directly involved. Notably, it inquiries how actors themselves account for the relationship between access to information technologies and societal empowerment, a relationship that lies at the core of the digital communitarian paradigm.</w:t>
      </w:r>
    </w:p>
    <w:p w14:paraId="143CB3B1" w14:textId="77777777" w:rsidR="00B02871" w:rsidRPr="005D1F71" w:rsidRDefault="00B02871" w:rsidP="00B02871"/>
    <w:p w14:paraId="77C656A7" w14:textId="77777777" w:rsidR="00B02871" w:rsidRPr="0041636B" w:rsidRDefault="00B02871" w:rsidP="00B02871">
      <w:r w:rsidRPr="005D1F71">
        <w:t>To do so, the second part of the book</w:t>
      </w:r>
      <w:r w:rsidRPr="00FD481B">
        <w:t xml:space="preserve"> analyses theories of empowerment that have </w:t>
      </w:r>
      <w:r w:rsidRPr="00337EEB">
        <w:t xml:space="preserve">underpinned the development of computer-mediated sociability in 2000s. It draws upon research conducted between 2004 and 2009 on probably the largest digital communities archive worldwide. Cases are provided by the applications submitted to the world’s leading competition on digital culture, the </w:t>
      </w:r>
      <w:r w:rsidRPr="00337EEB">
        <w:rPr>
          <w:i/>
        </w:rPr>
        <w:t xml:space="preserve">Prix Ars Electronica </w:t>
      </w:r>
      <w:r w:rsidRPr="00337EEB">
        <w:t>in Linz, Austria</w:t>
      </w:r>
      <w:r>
        <w:t>.</w:t>
      </w:r>
    </w:p>
    <w:p w14:paraId="0EF73E34" w14:textId="77777777" w:rsidR="00B02871" w:rsidRPr="00032C17" w:rsidRDefault="00B02871" w:rsidP="00B02871"/>
    <w:p w14:paraId="3E1A1C58" w14:textId="77777777" w:rsidR="00B02871" w:rsidRPr="005D1F71" w:rsidRDefault="00B02871" w:rsidP="00B02871">
      <w:pPr>
        <w:rPr>
          <w:szCs w:val="23"/>
        </w:rPr>
      </w:pPr>
      <w:r w:rsidRPr="00542C1B">
        <w:lastRenderedPageBreak/>
        <w:t>Initiated in 1979, t</w:t>
      </w:r>
      <w:r w:rsidRPr="002F0E20">
        <w:t xml:space="preserve">he </w:t>
      </w:r>
      <w:r w:rsidRPr="002F0E20">
        <w:rPr>
          <w:i/>
        </w:rPr>
        <w:t>Ars Electronica Festival for Art, Technology and Society</w:t>
      </w:r>
      <w:r w:rsidRPr="002F0E20">
        <w:t xml:space="preserve"> (www.aec.at) was the forerunner of 1980s’ festivals on </w:t>
      </w:r>
      <w:r w:rsidRPr="002F0E20">
        <w:rPr>
          <w:szCs w:val="23"/>
        </w:rPr>
        <w:t xml:space="preserve">art and new media technologies, like </w:t>
      </w:r>
      <w:r w:rsidRPr="002F0E20">
        <w:rPr>
          <w:i/>
          <w:szCs w:val="23"/>
        </w:rPr>
        <w:t xml:space="preserve">VIPER International Festival for Film Video and New Media </w:t>
      </w:r>
      <w:r w:rsidRPr="002F0E20">
        <w:rPr>
          <w:szCs w:val="23"/>
        </w:rPr>
        <w:t xml:space="preserve">(Basel), </w:t>
      </w:r>
      <w:proofErr w:type="spellStart"/>
      <w:r w:rsidRPr="002F0E20">
        <w:rPr>
          <w:i/>
          <w:szCs w:val="23"/>
        </w:rPr>
        <w:t>Imagina</w:t>
      </w:r>
      <w:proofErr w:type="spellEnd"/>
      <w:r w:rsidRPr="002F0E20">
        <w:rPr>
          <w:i/>
          <w:szCs w:val="23"/>
        </w:rPr>
        <w:t xml:space="preserve"> </w:t>
      </w:r>
      <w:r w:rsidRPr="002F0E20">
        <w:rPr>
          <w:szCs w:val="23"/>
        </w:rPr>
        <w:t>(</w:t>
      </w:r>
      <w:proofErr w:type="spellStart"/>
      <w:r w:rsidRPr="002F0E20">
        <w:rPr>
          <w:szCs w:val="23"/>
        </w:rPr>
        <w:t>Montecarlo</w:t>
      </w:r>
      <w:proofErr w:type="spellEnd"/>
      <w:r w:rsidRPr="002F0E20">
        <w:rPr>
          <w:szCs w:val="23"/>
        </w:rPr>
        <w:t xml:space="preserve">), </w:t>
      </w:r>
      <w:r w:rsidRPr="002F0E20">
        <w:rPr>
          <w:i/>
          <w:szCs w:val="23"/>
        </w:rPr>
        <w:t xml:space="preserve">ISEA International Symposium on Electronic Art </w:t>
      </w:r>
      <w:r w:rsidRPr="005D1F71">
        <w:rPr>
          <w:szCs w:val="23"/>
        </w:rPr>
        <w:t xml:space="preserve">(worldwide), </w:t>
      </w:r>
      <w:proofErr w:type="spellStart"/>
      <w:r w:rsidRPr="005D1F71">
        <w:rPr>
          <w:i/>
          <w:szCs w:val="23"/>
        </w:rPr>
        <w:t>Multimediale</w:t>
      </w:r>
      <w:proofErr w:type="spellEnd"/>
      <w:r w:rsidRPr="005D1F71">
        <w:rPr>
          <w:i/>
          <w:szCs w:val="23"/>
        </w:rPr>
        <w:t xml:space="preserve"> </w:t>
      </w:r>
      <w:r w:rsidRPr="005D1F71">
        <w:rPr>
          <w:szCs w:val="23"/>
        </w:rPr>
        <w:t xml:space="preserve">(Karlsruhe), </w:t>
      </w:r>
      <w:r w:rsidRPr="005D1F71">
        <w:rPr>
          <w:i/>
          <w:szCs w:val="23"/>
        </w:rPr>
        <w:t xml:space="preserve">Next Five Minutes </w:t>
      </w:r>
      <w:r w:rsidRPr="005D1F71">
        <w:rPr>
          <w:szCs w:val="23"/>
        </w:rPr>
        <w:t xml:space="preserve">(Amsterdam), </w:t>
      </w:r>
      <w:r w:rsidRPr="005D1F71">
        <w:rPr>
          <w:i/>
          <w:szCs w:val="23"/>
        </w:rPr>
        <w:t xml:space="preserve">DEAF Dutch Electronic Art Festival </w:t>
      </w:r>
      <w:r w:rsidRPr="005D1F71">
        <w:rPr>
          <w:szCs w:val="23"/>
        </w:rPr>
        <w:t xml:space="preserve">(Rotterdam), </w:t>
      </w:r>
      <w:proofErr w:type="spellStart"/>
      <w:r w:rsidRPr="005D1F71">
        <w:rPr>
          <w:i/>
          <w:szCs w:val="23"/>
        </w:rPr>
        <w:t>Transmediale</w:t>
      </w:r>
      <w:proofErr w:type="spellEnd"/>
      <w:r w:rsidRPr="005D1F71">
        <w:rPr>
          <w:i/>
          <w:szCs w:val="23"/>
        </w:rPr>
        <w:t xml:space="preserve"> </w:t>
      </w:r>
      <w:r w:rsidRPr="005D1F71">
        <w:rPr>
          <w:szCs w:val="23"/>
        </w:rPr>
        <w:t>(Berlin).</w:t>
      </w:r>
      <w:r w:rsidRPr="005D1F71">
        <w:t xml:space="preserve"> </w:t>
      </w:r>
      <w:r w:rsidRPr="005D1F71">
        <w:rPr>
          <w:szCs w:val="23"/>
        </w:rPr>
        <w:t xml:space="preserve">As </w:t>
      </w:r>
      <w:proofErr w:type="spellStart"/>
      <w:r w:rsidRPr="005D1F71">
        <w:rPr>
          <w:szCs w:val="23"/>
        </w:rPr>
        <w:t>Bazzichelli</w:t>
      </w:r>
      <w:proofErr w:type="spellEnd"/>
      <w:r w:rsidRPr="005D1F71">
        <w:rPr>
          <w:szCs w:val="23"/>
        </w:rPr>
        <w:t xml:space="preserve"> has recalled, these events characterized the emergent phase of an electronic culture that was meant to fill the gap between humanistic and techno-scientific forms of knowledge.</w:t>
      </w:r>
      <w:r>
        <w:rPr>
          <w:rStyle w:val="FootnoteReference"/>
          <w:szCs w:val="23"/>
        </w:rPr>
        <w:footnoteReference w:id="32"/>
      </w:r>
      <w:r w:rsidRPr="005D1F71">
        <w:rPr>
          <w:szCs w:val="23"/>
        </w:rPr>
        <w:t xml:space="preserve"> In mid 1980s, engineers and computer scientists started to collaborate with architects, musicians, and visual artists on electronic art projects that required multi-faceted skills and know-how from both the technological and the humanities domains.</w:t>
      </w:r>
    </w:p>
    <w:p w14:paraId="0ABE3271" w14:textId="77777777" w:rsidR="00B02871" w:rsidRPr="00FD481B" w:rsidRDefault="00B02871" w:rsidP="00B02871"/>
    <w:p w14:paraId="3DA1BDB1" w14:textId="77777777" w:rsidR="00B02871" w:rsidRPr="00337EEB" w:rsidRDefault="00B02871" w:rsidP="00B02871">
      <w:r w:rsidRPr="00FD481B">
        <w:t xml:space="preserve">The </w:t>
      </w:r>
      <w:r w:rsidRPr="00FD481B">
        <w:rPr>
          <w:i/>
        </w:rPr>
        <w:t>Prix Ars Electronica</w:t>
      </w:r>
      <w:r w:rsidRPr="00FD481B">
        <w:t xml:space="preserve">, ‘competition for </w:t>
      </w:r>
      <w:proofErr w:type="spellStart"/>
      <w:r w:rsidRPr="00FD481B">
        <w:t>CyberArts</w:t>
      </w:r>
      <w:proofErr w:type="spellEnd"/>
      <w:r w:rsidRPr="00FD481B">
        <w:t xml:space="preserve">’, was established in 1987 as an international forum for artistic creativity and innovation in the digital realm. The first </w:t>
      </w:r>
      <w:r w:rsidRPr="00337EEB">
        <w:t>edition included three categories. Over the years categories have expanded, to reach eight categories in 2007. Since the early days, an accurate selection of the jury members among the top experts in each category, the largest prize pursue</w:t>
      </w:r>
      <w:r>
        <w:t>d</w:t>
      </w:r>
      <w:r w:rsidRPr="00337EEB">
        <w:t xml:space="preserve"> worldwide in this domain</w:t>
      </w:r>
      <w:r>
        <w:t>,</w:t>
      </w:r>
      <w:r w:rsidRPr="00337EEB">
        <w:t xml:space="preserve"> and pervasive media coverage characterized the </w:t>
      </w:r>
      <w:r w:rsidRPr="00337EEB">
        <w:rPr>
          <w:i/>
        </w:rPr>
        <w:t>Prix</w:t>
      </w:r>
      <w:r w:rsidRPr="00337EEB">
        <w:t xml:space="preserve"> as a leading international competition in the field of digital media art.</w:t>
      </w:r>
    </w:p>
    <w:p w14:paraId="00F70253" w14:textId="77777777" w:rsidR="00B02871" w:rsidRPr="00337EEB" w:rsidRDefault="00B02871" w:rsidP="00B02871"/>
    <w:p w14:paraId="1F20E785" w14:textId="77777777" w:rsidR="00B02871" w:rsidRPr="00671EF3" w:rsidRDefault="00B02871" w:rsidP="00B02871">
      <w:r w:rsidRPr="00337EEB">
        <w:rPr>
          <w:szCs w:val="23"/>
        </w:rPr>
        <w:t xml:space="preserve">Thanks to its yearly pace, its international scope and its leading position in the digital media art domain, nowadays the </w:t>
      </w:r>
      <w:r w:rsidRPr="00337EEB">
        <w:rPr>
          <w:i/>
          <w:szCs w:val="23"/>
        </w:rPr>
        <w:t>Prix</w:t>
      </w:r>
      <w:r w:rsidRPr="00337EEB">
        <w:rPr>
          <w:szCs w:val="23"/>
        </w:rPr>
        <w:t xml:space="preserve"> </w:t>
      </w:r>
      <w:r w:rsidRPr="00337EEB">
        <w:t>retains one of the largest archives of media art from the last 30 years.</w:t>
      </w:r>
      <w:r w:rsidRPr="00DB4CBB">
        <w:t xml:space="preserve"> Long-term archiving characterizes its treatment of participant projects. Textual and visual materials of all winning works since the competition’s inception, as well as information on the winning artists an</w:t>
      </w:r>
      <w:r>
        <w:t>d</w:t>
      </w:r>
      <w:r w:rsidRPr="00DB4CBB">
        <w:t xml:space="preserve"> jury members, are collected in the open </w:t>
      </w:r>
      <w:r w:rsidRPr="00DB4CBB">
        <w:rPr>
          <w:i/>
        </w:rPr>
        <w:t>Prix</w:t>
      </w:r>
      <w:r w:rsidRPr="004B42EE">
        <w:t xml:space="preserve"> archive. Furthermore, a closed </w:t>
      </w:r>
      <w:r w:rsidRPr="0021572C">
        <w:t xml:space="preserve">database gathers all applications submitted over the years in all categories, including non-winning entries. This database represents an extremely rich resource to map the evolution </w:t>
      </w:r>
      <w:r w:rsidRPr="00671EF3">
        <w:t xml:space="preserve">of digital culture. As such, it is used as </w:t>
      </w:r>
      <w:r>
        <w:t xml:space="preserve">a </w:t>
      </w:r>
      <w:r w:rsidRPr="00671EF3">
        <w:t>data source for the empirical analyses conducted in the second part of the book.</w:t>
      </w:r>
    </w:p>
    <w:p w14:paraId="4C5EAA17" w14:textId="77777777" w:rsidR="00B02871" w:rsidRPr="00671EF3" w:rsidRDefault="00B02871" w:rsidP="00B02871"/>
    <w:p w14:paraId="66B0125A" w14:textId="77777777" w:rsidR="00B02871" w:rsidRPr="002F0E20" w:rsidRDefault="00B02871" w:rsidP="00B02871">
      <w:r w:rsidRPr="00671EF3">
        <w:t xml:space="preserve">Established in 2004, the Prix’s </w:t>
      </w:r>
      <w:r w:rsidRPr="00671EF3">
        <w:rPr>
          <w:i/>
        </w:rPr>
        <w:t>Digital Community</w:t>
      </w:r>
      <w:r w:rsidRPr="00671EF3">
        <w:t xml:space="preserve"> competition is meant to focus on the socio-political potential of digital networked systems</w:t>
      </w:r>
      <w:r w:rsidRPr="00D81ED5">
        <w:t>. It aims to acknowledge important achievements by online communities, especially in the fields of social software, ubiquitous computing, mobile communications, peer-to-peer production,</w:t>
      </w:r>
      <w:r w:rsidRPr="006B21D2">
        <w:t xml:space="preserve"> and </w:t>
      </w:r>
      <w:proofErr w:type="spellStart"/>
      <w:r w:rsidRPr="006B21D2">
        <w:t>net.art</w:t>
      </w:r>
      <w:proofErr w:type="spellEnd"/>
      <w:r w:rsidRPr="006B21D2">
        <w:t xml:space="preserve">. It acknowledges innovations impacting human coexistence, bridging the geographical, economic, political or gender-based digital divide, sustaining cultural diversity and the </w:t>
      </w:r>
      <w:r w:rsidRPr="006B21D2">
        <w:lastRenderedPageBreak/>
        <w:t>freedom of artistic expression, enhancing accessibility of technological infrastructures. As the call for entries affirms, ‘the “Digital Communities” category is open to political, social, cultural and artistic projects, initiatives, groups, and scenes from all over the world utilizing digital technology to better society and assume social responsibility’</w:t>
      </w:r>
      <w:r w:rsidRPr="0067335F">
        <w:t>.</w:t>
      </w:r>
      <w:r w:rsidRPr="00D50C43">
        <w:rPr>
          <w:rStyle w:val="FootnoteReference"/>
        </w:rPr>
        <w:footnoteReference w:id="33"/>
      </w:r>
      <w:r w:rsidRPr="00D50C43">
        <w:t xml:space="preserve"> </w:t>
      </w:r>
      <w:r w:rsidRPr="0041636B">
        <w:t xml:space="preserve">The </w:t>
      </w:r>
      <w:proofErr w:type="spellStart"/>
      <w:r w:rsidRPr="0041636B">
        <w:t>competi</w:t>
      </w:r>
      <w:r w:rsidRPr="00032C17">
        <w:t>ton</w:t>
      </w:r>
      <w:proofErr w:type="spellEnd"/>
      <w:r w:rsidRPr="00032C17">
        <w:t xml:space="preserve"> is open to non-profit projects developed by governments, businesses</w:t>
      </w:r>
      <w:r w:rsidRPr="00542C1B">
        <w:t>,</w:t>
      </w:r>
      <w:r w:rsidRPr="002F0E20">
        <w:t xml:space="preserve"> and civil society organizations.</w:t>
      </w:r>
    </w:p>
    <w:p w14:paraId="0BBCEEB3" w14:textId="77777777" w:rsidR="00B02871" w:rsidRPr="002F0E20" w:rsidRDefault="00B02871" w:rsidP="00B02871"/>
    <w:p w14:paraId="6A1E00FF" w14:textId="77777777" w:rsidR="00B02871" w:rsidRPr="00442E07" w:rsidRDefault="00B02871" w:rsidP="00B02871">
      <w:r w:rsidRPr="002F0E20">
        <w:t xml:space="preserve">The designers of the new category dedicated to online communities explicitly referred to four leading paradigms of early 2000s: the counterculture legacy, the renaissance of political activism in the form of the Global Movement for Social Justice, the popularization of the </w:t>
      </w:r>
      <w:r w:rsidRPr="005D1F71">
        <w:t>web, and the wide diffusion of collaborative patterns of organization.</w:t>
      </w:r>
      <w:r w:rsidRPr="00D50C43">
        <w:rPr>
          <w:rStyle w:val="FootnoteReference"/>
        </w:rPr>
        <w:footnoteReference w:id="34"/>
      </w:r>
      <w:r w:rsidRPr="00D50C43">
        <w:t xml:space="preserve"> </w:t>
      </w:r>
    </w:p>
    <w:p w14:paraId="1C192AC7" w14:textId="77777777" w:rsidR="00B02871" w:rsidRPr="002F0E20" w:rsidRDefault="00B02871" w:rsidP="00B02871"/>
    <w:p w14:paraId="0C8ADC9A" w14:textId="77777777" w:rsidR="00B02871" w:rsidRPr="004B42EE" w:rsidRDefault="00B02871" w:rsidP="00B02871">
      <w:r w:rsidRPr="002F0E20">
        <w:t xml:space="preserve">Despite this initial categorization, </w:t>
      </w:r>
      <w:r w:rsidRPr="005D1F71">
        <w:t>the cases analysed</w:t>
      </w:r>
      <w:r>
        <w:t xml:space="preserve"> </w:t>
      </w:r>
      <w:r w:rsidRPr="005D1F71">
        <w:t xml:space="preserve">here have not been </w:t>
      </w:r>
      <w:r w:rsidRPr="005D1F71">
        <w:rPr>
          <w:i/>
        </w:rPr>
        <w:t>a priori</w:t>
      </w:r>
      <w:r w:rsidRPr="005D1F71">
        <w:t xml:space="preserve"> labelled as occurrences of digital communities by the researcher. Rather, they have been identified as such by </w:t>
      </w:r>
      <w:r w:rsidRPr="00FD481B">
        <w:t>several expert actors. First, projects participating in the competition have</w:t>
      </w:r>
      <w:r w:rsidRPr="00337EEB">
        <w:t xml:space="preserve"> been </w:t>
      </w:r>
      <w:r w:rsidRPr="00337EEB">
        <w:rPr>
          <w:i/>
        </w:rPr>
        <w:t>said</w:t>
      </w:r>
      <w:r w:rsidRPr="00337EEB">
        <w:t xml:space="preserve"> to be occurrences of digital communities by the project representatives who submitted their application, or by the International Advisory Board who proposed some </w:t>
      </w:r>
      <w:r>
        <w:t xml:space="preserve">of the </w:t>
      </w:r>
      <w:r w:rsidRPr="00337EEB">
        <w:t xml:space="preserve">entries. Second, they have been </w:t>
      </w:r>
      <w:r w:rsidRPr="00337EEB">
        <w:rPr>
          <w:i/>
        </w:rPr>
        <w:t>acknowledged</w:t>
      </w:r>
      <w:r w:rsidRPr="00337EEB">
        <w:t xml:space="preserve"> as such by the independent international jury who excluded those projects that did not fulfil the requirements. Projects which passed all these stages thus </w:t>
      </w:r>
      <w:r w:rsidRPr="00337EEB">
        <w:rPr>
          <w:i/>
        </w:rPr>
        <w:t>beca</w:t>
      </w:r>
      <w:r w:rsidRPr="00DB4CBB">
        <w:rPr>
          <w:i/>
        </w:rPr>
        <w:t>me</w:t>
      </w:r>
      <w:r w:rsidRPr="00DB4CBB">
        <w:t xml:space="preserve"> digital communities, </w:t>
      </w:r>
      <w:r w:rsidRPr="004B42EE">
        <w:t>and are analysed and discussed in the second part of this book.</w:t>
      </w:r>
    </w:p>
    <w:p w14:paraId="463DBE49" w14:textId="77777777" w:rsidR="00B02871" w:rsidRPr="00CA3AE8" w:rsidRDefault="00B02871" w:rsidP="00B02871">
      <w:pPr>
        <w:pStyle w:val="CorpodeltestotesiNisa"/>
      </w:pPr>
    </w:p>
    <w:p w14:paraId="49B9D527" w14:textId="77777777" w:rsidR="00B02871" w:rsidRPr="00D50C43" w:rsidRDefault="00B02871" w:rsidP="00D91C9F">
      <w:r w:rsidRPr="00CA3AE8">
        <w:t xml:space="preserve">Methodologically, the Prix Ars Electronica’s </w:t>
      </w:r>
      <w:r w:rsidRPr="00CA3AE8">
        <w:rPr>
          <w:i/>
        </w:rPr>
        <w:t>Digital Communities</w:t>
      </w:r>
      <w:r w:rsidRPr="00CA3AE8">
        <w:t xml:space="preserve"> competition is seen as a peculiar form of controversy dealing with the acknowledgement of the most innovative practices of online collaboration</w:t>
      </w:r>
      <w:r w:rsidRPr="00D50C43">
        <w:t xml:space="preserve"> and sociability</w:t>
      </w:r>
      <w:r w:rsidRPr="00442E07">
        <w:t>.</w:t>
      </w:r>
      <w:r w:rsidRPr="00D40CF0">
        <w:t xml:space="preserve"> </w:t>
      </w:r>
      <w:r w:rsidRPr="0041636B">
        <w:t xml:space="preserve">Controversies are </w:t>
      </w:r>
      <w:r w:rsidRPr="00032C17">
        <w:t>ideal methodological entry points</w:t>
      </w:r>
      <w:r w:rsidRPr="00542C1B">
        <w:t xml:space="preserve"> whereby </w:t>
      </w:r>
      <w:r w:rsidRPr="002F0E20">
        <w:t>it is possible to penetrate the inner workings of science and technology before they get crystallized into a black box. Situations where techno-social ties are indeed made visible and graspable are those where meaning emerges from comparison and ‘polemic structures’:</w:t>
      </w:r>
      <w:r w:rsidRPr="00D50C43">
        <w:rPr>
          <w:rStyle w:val="FootnoteReference"/>
        </w:rPr>
        <w:footnoteReference w:id="35"/>
      </w:r>
      <w:r w:rsidRPr="00D50C43">
        <w:t xml:space="preserve"> meetings, trials</w:t>
      </w:r>
      <w:r w:rsidRPr="00442E07">
        <w:t>,</w:t>
      </w:r>
      <w:r w:rsidRPr="00D40CF0">
        <w:t xml:space="preserve"> and plans in </w:t>
      </w:r>
      <w:r w:rsidRPr="00D40CF0">
        <w:lastRenderedPageBreak/>
        <w:t xml:space="preserve">science labs, distance in time or space, breakdowns and fractures, but also </w:t>
      </w:r>
      <w:r w:rsidRPr="0041636B">
        <w:t>fiction, archives</w:t>
      </w:r>
      <w:r w:rsidRPr="00032C17">
        <w:t>,</w:t>
      </w:r>
      <w:r w:rsidRPr="00542C1B">
        <w:t xml:space="preserve"> and museum </w:t>
      </w:r>
      <w:r w:rsidRPr="002F0E20">
        <w:t>collections.</w:t>
      </w:r>
      <w:r w:rsidRPr="00D50C43">
        <w:rPr>
          <w:rStyle w:val="FootnoteReference"/>
        </w:rPr>
        <w:footnoteReference w:id="36"/>
      </w:r>
      <w:r w:rsidRPr="00D50C43">
        <w:t xml:space="preserve"> </w:t>
      </w:r>
      <w:r w:rsidRPr="00CA3AE8">
        <w:t xml:space="preserve">Prix Ars Electronica’s </w:t>
      </w:r>
      <w:r w:rsidRPr="00CA3AE8">
        <w:rPr>
          <w:i/>
        </w:rPr>
        <w:t>Digital Communities</w:t>
      </w:r>
      <w:r w:rsidRPr="00CA3AE8">
        <w:t xml:space="preserve"> competition thus constitutes an arena wherein the black box of techno-social assemblages is re-opened, contrasting meanings are made explicit</w:t>
      </w:r>
      <w:r>
        <w:t>,</w:t>
      </w:r>
      <w:r w:rsidRPr="00CA3AE8">
        <w:t xml:space="preserve"> and the most innovative ones are selected by an internationally renowned board of experts.</w:t>
      </w:r>
    </w:p>
    <w:p w14:paraId="793322D0" w14:textId="77777777" w:rsidR="00B02871" w:rsidRPr="00442E07" w:rsidRDefault="00B02871" w:rsidP="00D91C9F"/>
    <w:p w14:paraId="39CB8A1D" w14:textId="77777777" w:rsidR="00B02871" w:rsidRPr="005D1F71" w:rsidRDefault="00B02871" w:rsidP="00D91C9F">
      <w:r w:rsidRPr="00D40CF0">
        <w:t xml:space="preserve">Notably, the </w:t>
      </w:r>
      <w:r w:rsidRPr="0041636B">
        <w:rPr>
          <w:i/>
        </w:rPr>
        <w:t>Digital Communities</w:t>
      </w:r>
      <w:r w:rsidRPr="00032C17">
        <w:t xml:space="preserve"> competition can be </w:t>
      </w:r>
      <w:r w:rsidRPr="00542C1B">
        <w:t>associated</w:t>
      </w:r>
      <w:r w:rsidRPr="002F0E20">
        <w:t xml:space="preserve"> </w:t>
      </w:r>
      <w:r>
        <w:t>with</w:t>
      </w:r>
      <w:r w:rsidRPr="002F0E20">
        <w:t xml:space="preserve"> a form of controversy in three respects. First, contests constitute a primeval form of polemic structure, an arena where meaning emerges from comparison between different projects. Projects struggle in order to be recognized as successful digital communities. Second, like controversies, competitions present some recurring elements like a spokesperson, anti-groups, limes, and accounts</w:t>
      </w:r>
      <w:r w:rsidRPr="005D1F71">
        <w:t>.</w:t>
      </w:r>
      <w:r w:rsidRPr="00D50C43">
        <w:rPr>
          <w:rStyle w:val="FootnoteReference"/>
        </w:rPr>
        <w:footnoteReference w:id="37"/>
      </w:r>
      <w:r w:rsidRPr="00D50C43">
        <w:t xml:space="preserve"> </w:t>
      </w:r>
      <w:r w:rsidRPr="0041636B">
        <w:t xml:space="preserve">The </w:t>
      </w:r>
      <w:r w:rsidRPr="00032C17">
        <w:rPr>
          <w:i/>
        </w:rPr>
        <w:t>Digital Communities</w:t>
      </w:r>
      <w:r w:rsidRPr="00542C1B">
        <w:t xml:space="preserve"> </w:t>
      </w:r>
      <w:r w:rsidRPr="002F0E20">
        <w:t xml:space="preserve">contest is the place where online networks </w:t>
      </w:r>
      <w:r w:rsidRPr="00C31D3F">
        <w:t>achieve representation:</w:t>
      </w:r>
      <w:r w:rsidRPr="002F0E20">
        <w:t xml:space="preserve"> it constitutes the moment in an unstable process of social innovation when spokespersons must emerge and – together with them – self-representations, identity, and oppon</w:t>
      </w:r>
      <w:r w:rsidRPr="005D1F71">
        <w:t xml:space="preserve">ents. In other words, online assemblages are caught in the moment in which they struggle to crystallize into the form of ‘digital community’. Third, to grasp controversies one needs accounts: agencies and actors are made visible into accounts. In this analysis I have been using as accounts the traces left behind by group-makers: the applications submitted from 2004 to 2007 by participants for the purpose of an award. Since the applications are produced in the moment when online assemblages fix the instant and take a picture of themselves, they represent accounts about what participants conceive of as digital communities. </w:t>
      </w:r>
    </w:p>
    <w:p w14:paraId="507E3A73" w14:textId="77777777" w:rsidR="00B02871" w:rsidRPr="00CF5D6F" w:rsidRDefault="00B02871" w:rsidP="00875BED">
      <w:pPr>
        <w:pStyle w:val="Heading2"/>
      </w:pPr>
      <w:proofErr w:type="spellStart"/>
      <w:r w:rsidRPr="00CF5D6F">
        <w:t>Quali</w:t>
      </w:r>
      <w:proofErr w:type="spellEnd"/>
      <w:r w:rsidRPr="00CF5D6F">
        <w:t>-quantitative Methods</w:t>
      </w:r>
    </w:p>
    <w:p w14:paraId="1595254C" w14:textId="77777777" w:rsidR="00B02871" w:rsidRPr="002F0E20" w:rsidRDefault="00B02871" w:rsidP="00D91C9F">
      <w:r w:rsidRPr="00D50C43">
        <w:t>Given the epistemological considerations anticipated</w:t>
      </w:r>
      <w:r>
        <w:t xml:space="preserve"> </w:t>
      </w:r>
      <w:r w:rsidRPr="00D50C43">
        <w:t xml:space="preserve">above, </w:t>
      </w:r>
      <w:r w:rsidRPr="00CA3AE8">
        <w:t xml:space="preserve">in order to answer the overarching question addressed in this book (i.e., under </w:t>
      </w:r>
      <w:r>
        <w:t>what</w:t>
      </w:r>
      <w:r w:rsidRPr="00CA3AE8">
        <w:t xml:space="preserve"> conditions is it possible to conceptualize online sociability in the first decade of the 21st century?), the Prix Ars </w:t>
      </w:r>
      <w:proofErr w:type="spellStart"/>
      <w:r w:rsidRPr="00CA3AE8">
        <w:t>Elextronica</w:t>
      </w:r>
      <w:proofErr w:type="spellEnd"/>
      <w:r w:rsidRPr="00CA3AE8">
        <w:t xml:space="preserve"> data set was analysed by focusing on how actors speaking for online communities describe the theories of actions</w:t>
      </w:r>
      <w:r w:rsidRPr="00D50C43">
        <w:t xml:space="preserve"> </w:t>
      </w:r>
      <w:r w:rsidRPr="00CA3AE8">
        <w:t xml:space="preserve">underpinning techno-social </w:t>
      </w:r>
      <w:r w:rsidRPr="00CA3AE8">
        <w:lastRenderedPageBreak/>
        <w:t>collaboration.</w:t>
      </w:r>
      <w:r w:rsidRPr="00D50C43">
        <w:t xml:space="preserve"> T</w:t>
      </w:r>
      <w:r w:rsidRPr="00442E07">
        <w:t xml:space="preserve">hree </w:t>
      </w:r>
      <w:r w:rsidRPr="00D40CF0">
        <w:t>sets of sub-questions</w:t>
      </w:r>
      <w:r w:rsidRPr="0041636B">
        <w:t xml:space="preserve"> </w:t>
      </w:r>
      <w:r w:rsidRPr="00032C17">
        <w:t xml:space="preserve">were identified </w:t>
      </w:r>
      <w:r w:rsidRPr="00542C1B">
        <w:t>t</w:t>
      </w:r>
      <w:r w:rsidRPr="002F0E20">
        <w:t>o operationalize the main question for analytical purposes.</w:t>
      </w:r>
    </w:p>
    <w:p w14:paraId="15C48E15" w14:textId="77777777" w:rsidR="00B02871" w:rsidRPr="002F0E20" w:rsidRDefault="00B02871" w:rsidP="00D91C9F"/>
    <w:p w14:paraId="308B7B52" w14:textId="77777777" w:rsidR="00B02871" w:rsidRPr="00337EEB" w:rsidRDefault="00B02871" w:rsidP="00D91C9F">
      <w:pPr>
        <w:rPr>
          <w:szCs w:val="26"/>
        </w:rPr>
      </w:pPr>
      <w:r w:rsidRPr="002F0E20">
        <w:t>The first sub-question asked community spokespersons</w:t>
      </w:r>
      <w:r w:rsidRPr="005D1F71">
        <w:t xml:space="preserve"> what they mean by ‘online community’. To do so, concept profiling methods were adopted to explore the semantic elements </w:t>
      </w:r>
      <w:r w:rsidRPr="005D1F71">
        <w:rPr>
          <w:i/>
        </w:rPr>
        <w:t>explicitly</w:t>
      </w:r>
      <w:r w:rsidRPr="005D1F71">
        <w:t xml:space="preserve"> associated with the notion of ‘online community’ in the submissions to Prix Ars Electronica. In chapter 4, the resulting semantic configuration was then compared to those of the early subcultures recalled in chapter 1. Furthermore, Wellman’s well-established </w:t>
      </w:r>
      <w:r w:rsidRPr="00FD481B">
        <w:t xml:space="preserve">distinction between communities as bounded groups </w:t>
      </w:r>
      <w:r>
        <w:t>v</w:t>
      </w:r>
      <w:r w:rsidRPr="00FD481B">
        <w:t>s. loose networks was tested.</w:t>
      </w:r>
      <w:r>
        <w:rPr>
          <w:rStyle w:val="FootnoteReference"/>
        </w:rPr>
        <w:footnoteReference w:id="38"/>
      </w:r>
      <w:r w:rsidRPr="00FD481B">
        <w:t xml:space="preserve"> Chapter 4</w:t>
      </w:r>
      <w:r w:rsidRPr="00337EEB">
        <w:t xml:space="preserve"> thus attempts to provide a definition of online/digital community, as established by communities</w:t>
      </w:r>
      <w:r>
        <w:t>’</w:t>
      </w:r>
      <w:r w:rsidRPr="00337EEB">
        <w:t xml:space="preserve"> spokespersons. It shows which paths have been abandoned in the first decade of the 21st century with respect to the original cyberculture: cybernetic discourse and its reliance on technology as </w:t>
      </w:r>
      <w:r>
        <w:t xml:space="preserve">a </w:t>
      </w:r>
      <w:r w:rsidRPr="00337EEB">
        <w:t>neutral organizational agency</w:t>
      </w:r>
      <w:r>
        <w:t xml:space="preserve"> and </w:t>
      </w:r>
      <w:r w:rsidRPr="00337EEB">
        <w:t xml:space="preserve">the immaterial gift as a way to </w:t>
      </w:r>
      <w:r>
        <w:t>maintain</w:t>
      </w:r>
      <w:r w:rsidRPr="00337EEB">
        <w:t xml:space="preserve"> communities as social homeostat</w:t>
      </w:r>
      <w:r>
        <w:t>s</w:t>
      </w:r>
      <w:r w:rsidRPr="00337EEB">
        <w:t xml:space="preserve">. All in all, it shows that new framings in </w:t>
      </w:r>
      <w:r>
        <w:t xml:space="preserve">the </w:t>
      </w:r>
      <w:r w:rsidRPr="00337EEB">
        <w:t>2000s have taken the place of the old ‘online community’, which do not necessarily distinguish between bounded groups and loose networks.</w:t>
      </w:r>
    </w:p>
    <w:p w14:paraId="7206BB66" w14:textId="77777777" w:rsidR="00B02871" w:rsidRPr="00337EEB" w:rsidRDefault="00B02871" w:rsidP="00D91C9F"/>
    <w:p w14:paraId="07502441" w14:textId="77777777" w:rsidR="00B02871" w:rsidRPr="00811568" w:rsidRDefault="00B02871" w:rsidP="00D91C9F">
      <w:r w:rsidRPr="00337EEB">
        <w:t xml:space="preserve">While the first sub-question analysed how online communities are </w:t>
      </w:r>
      <w:r w:rsidRPr="00337EEB">
        <w:rPr>
          <w:i/>
        </w:rPr>
        <w:t>explicitly</w:t>
      </w:r>
      <w:r w:rsidRPr="00337EEB">
        <w:t xml:space="preserve"> profiled</w:t>
      </w:r>
      <w:r w:rsidRPr="00DB4CBB">
        <w:t xml:space="preserve">, the second did it </w:t>
      </w:r>
      <w:r w:rsidRPr="004B42EE">
        <w:rPr>
          <w:i/>
        </w:rPr>
        <w:t>implicitly</w:t>
      </w:r>
      <w:r w:rsidRPr="004B42EE">
        <w:t>. It indeed identified the most recurring</w:t>
      </w:r>
      <w:r w:rsidRPr="0021572C">
        <w:t xml:space="preserve"> and central topics</w:t>
      </w:r>
      <w:r>
        <w:t>,</w:t>
      </w:r>
      <w:r w:rsidRPr="0021572C">
        <w:t xml:space="preserve"> and narratives addressed in the data set. Here, no p</w:t>
      </w:r>
      <w:r w:rsidRPr="00671EF3">
        <w:t xml:space="preserve">rior concepts were profiled </w:t>
      </w:r>
      <w:r w:rsidRPr="00671EF3">
        <w:rPr>
          <w:i/>
        </w:rPr>
        <w:t>a priori</w:t>
      </w:r>
      <w:r w:rsidRPr="00671EF3">
        <w:t xml:space="preserve"> – not even ‘online community’. Rather, </w:t>
      </w:r>
      <w:r>
        <w:t>as</w:t>
      </w:r>
      <w:r w:rsidRPr="00671EF3">
        <w:t xml:space="preserve"> discussed in the previous sections, submission to a competition for ‘digital commu</w:t>
      </w:r>
      <w:r>
        <w:t>ni</w:t>
      </w:r>
      <w:r w:rsidRPr="00671EF3">
        <w:t>ties’ was conceived of as a performative act defining what this kind of techn</w:t>
      </w:r>
      <w:r w:rsidRPr="00D81ED5">
        <w:t xml:space="preserve">o-social assemblage is supposed to be. My aim here was identifying the matters of concern emerging from the whole data set, and </w:t>
      </w:r>
      <w:r w:rsidRPr="006B21D2">
        <w:t>related narratives. To do so, I extracted some concepts and narratives</w:t>
      </w:r>
      <w:r w:rsidRPr="0067335F">
        <w:t xml:space="preserve"> through </w:t>
      </w:r>
      <w:proofErr w:type="spellStart"/>
      <w:r w:rsidRPr="0067335F">
        <w:t>quali</w:t>
      </w:r>
      <w:proofErr w:type="spellEnd"/>
      <w:r w:rsidRPr="0067335F">
        <w:t xml:space="preserve">-quantitative analysis supported by co-occurrence patterns. </w:t>
      </w:r>
      <w:r w:rsidRPr="00811568">
        <w:t xml:space="preserve">As discussed in chapter 5, those narratives only partially overlap with the discourses prompted by early cybercultures. Even when they do – like in the case of creative labour, public art, and social software – they articulate originally simplistic oppositions in more elaborated accounts of the peculiar mediation exerted by techno-social assemblages. </w:t>
      </w:r>
    </w:p>
    <w:p w14:paraId="288B902E" w14:textId="77777777" w:rsidR="00B02871" w:rsidRPr="00811568" w:rsidRDefault="00B02871" w:rsidP="00D91C9F"/>
    <w:p w14:paraId="0D2701E4" w14:textId="77777777" w:rsidR="00B02871" w:rsidRPr="007E7CD0" w:rsidRDefault="00B02871" w:rsidP="00D91C9F">
      <w:r w:rsidRPr="00811568">
        <w:t xml:space="preserve">Finally, in order to </w:t>
      </w:r>
      <w:r w:rsidRPr="007F0DAA">
        <w:t>map the different theories of action underpinning the digital communities participating in the competition, the thir</w:t>
      </w:r>
      <w:r w:rsidRPr="009945D6">
        <w:t>d set of questions analysed the</w:t>
      </w:r>
      <w:r w:rsidRPr="00E77477">
        <w:t xml:space="preserve"> expected relationship between societal outcomes and role of technological artefacts, </w:t>
      </w:r>
      <w:r w:rsidRPr="00664C76">
        <w:t xml:space="preserve">as it was laid down by communities’ spokespersons. In order to do so, </w:t>
      </w:r>
      <w:r w:rsidRPr="009230B3">
        <w:t>I</w:t>
      </w:r>
      <w:r w:rsidRPr="00722233">
        <w:t xml:space="preserve"> conducted narrative</w:t>
      </w:r>
      <w:r w:rsidRPr="00D303FA">
        <w:t xml:space="preserve"> analys</w:t>
      </w:r>
      <w:r>
        <w:t>e</w:t>
      </w:r>
      <w:r w:rsidRPr="00D303FA">
        <w:t>s o</w:t>
      </w:r>
      <w:r w:rsidRPr="00696BAA">
        <w:t xml:space="preserve">f </w:t>
      </w:r>
      <w:r w:rsidRPr="00F64383">
        <w:t>fewer case</w:t>
      </w:r>
      <w:r w:rsidRPr="00907B78">
        <w:t xml:space="preserve">s. By focusing on the </w:t>
      </w:r>
      <w:r w:rsidRPr="0003374E">
        <w:t xml:space="preserve">artefacts whereby groups are </w:t>
      </w:r>
      <w:r w:rsidRPr="0003374E">
        <w:lastRenderedPageBreak/>
        <w:t>assembled, chapter 6 describes the theor</w:t>
      </w:r>
      <w:r w:rsidRPr="00B639C5">
        <w:t>ies</w:t>
      </w:r>
      <w:r w:rsidRPr="007E4540">
        <w:t xml:space="preserve"> of action underpinning the rationale of </w:t>
      </w:r>
      <w:r w:rsidRPr="008E329B">
        <w:t>prize-winning techno-soci</w:t>
      </w:r>
      <w:r w:rsidRPr="00C9317F">
        <w:t xml:space="preserve">al assemblages </w:t>
      </w:r>
      <w:r w:rsidRPr="00501697">
        <w:t>self-</w:t>
      </w:r>
      <w:r w:rsidRPr="008E329B">
        <w:t>labelled as digital/online communities,</w:t>
      </w:r>
      <w:r w:rsidRPr="00C733BE">
        <w:t xml:space="preserve"> and proposes a typology. </w:t>
      </w:r>
      <w:r w:rsidRPr="008E329B">
        <w:t xml:space="preserve">Chapter 7 expands this typology by focusing on a </w:t>
      </w:r>
      <w:r w:rsidRPr="00C31D3F">
        <w:t>different type of materiality,</w:t>
      </w:r>
      <w:r w:rsidRPr="008E329B">
        <w:t xml:space="preserve"> and looks</w:t>
      </w:r>
      <w:r w:rsidRPr="00C9317F">
        <w:t xml:space="preserve"> at the possibilities of access provid</w:t>
      </w:r>
      <w:r w:rsidRPr="00D419F2">
        <w:t>ed for on the project’s website</w:t>
      </w:r>
      <w:r w:rsidRPr="003E77D0">
        <w:t>.</w:t>
      </w:r>
    </w:p>
    <w:p w14:paraId="2C803EC1" w14:textId="77777777" w:rsidR="00B02871" w:rsidRPr="00CA3AE8" w:rsidRDefault="00B02871" w:rsidP="00D91C9F"/>
    <w:p w14:paraId="4EF42B0F" w14:textId="77777777" w:rsidR="00B02871" w:rsidRPr="00D50C43" w:rsidRDefault="00B02871" w:rsidP="00D91C9F">
      <w:r w:rsidRPr="00CA3AE8">
        <w:t xml:space="preserve">The book argues that in order to conceptualize online sociability in the first decade of the 21st century, it is necessary to get over the foundational distinction between </w:t>
      </w:r>
      <w:r w:rsidRPr="00CA3AE8">
        <w:rPr>
          <w:i/>
        </w:rPr>
        <w:t>gemeinschaft</w:t>
      </w:r>
      <w:r w:rsidRPr="00CA3AE8">
        <w:t xml:space="preserve"> and </w:t>
      </w:r>
      <w:r w:rsidRPr="00CA3AE8">
        <w:rPr>
          <w:i/>
        </w:rPr>
        <w:t>gesellschaft</w:t>
      </w:r>
      <w:r w:rsidRPr="00CA3AE8">
        <w:t>. It is only when the foundations of 21st century’s social theory are put into discussion – notably the demise of sociability and commitment in modern technological societies – that it is possible to grasp and theorize contemporary techno-social assemblages.</w:t>
      </w:r>
      <w:r w:rsidRPr="00D50C43">
        <w:t xml:space="preserve"> </w:t>
      </w:r>
      <w:r w:rsidRPr="00CA3AE8">
        <w:t xml:space="preserve">In particular, such a move allows accounting for the performative role of (digital and analogue) artefacts in </w:t>
      </w:r>
      <w:r w:rsidRPr="00C31D3F">
        <w:t>upkeeping</w:t>
      </w:r>
      <w:r w:rsidRPr="00CA3AE8">
        <w:t xml:space="preserve"> communalist efforts.</w:t>
      </w:r>
    </w:p>
    <w:p w14:paraId="0824BA17" w14:textId="77777777" w:rsidR="00B02871" w:rsidRPr="00442E07" w:rsidRDefault="00B02871" w:rsidP="00D91C9F"/>
    <w:p w14:paraId="0403BD74" w14:textId="77777777" w:rsidR="00B02871" w:rsidRPr="00FD481B" w:rsidRDefault="00B02871" w:rsidP="00D91C9F">
      <w:r w:rsidRPr="00D40CF0">
        <w:t>In order to achieve th</w:t>
      </w:r>
      <w:r w:rsidRPr="0041636B">
        <w:t>is</w:t>
      </w:r>
      <w:r w:rsidRPr="00032C17">
        <w:t xml:space="preserve"> </w:t>
      </w:r>
      <w:r w:rsidRPr="00542C1B">
        <w:t>evidenc</w:t>
      </w:r>
      <w:r w:rsidRPr="002F0E20">
        <w:t xml:space="preserve">e, qualitative and quantitative analytical methods were developed. The choice of the techniques for data analysis had </w:t>
      </w:r>
      <w:r w:rsidRPr="005D1F71">
        <w:t xml:space="preserve">indeed to </w:t>
      </w:r>
      <w:proofErr w:type="gramStart"/>
      <w:r w:rsidRPr="005D1F71">
        <w:t>take into account</w:t>
      </w:r>
      <w:proofErr w:type="gramEnd"/>
      <w:r w:rsidRPr="005D1F71">
        <w:t xml:space="preserve"> two main constraints. First, the high number of applications made the Ars Electronica archive unsuitable for purely qualitative analysis. Original submissions for the period 2004-2007 amounted to 1411. Out of these, 920 participating projects and related applications resulted after excluding blank applications and submissions discharged by the International Advisory Board and the jury as non-representatives of digital communities. I tackled the problem by planning two distinct analytical moments. The first </w:t>
      </w:r>
      <w:proofErr w:type="gramStart"/>
      <w:r w:rsidRPr="005D1F71">
        <w:t>took into account</w:t>
      </w:r>
      <w:proofErr w:type="gramEnd"/>
      <w:r w:rsidRPr="005D1F71">
        <w:t xml:space="preserve"> the whole data set (N cases) and used mixed </w:t>
      </w:r>
      <w:proofErr w:type="spellStart"/>
      <w:r w:rsidRPr="005D1F71">
        <w:t>quali</w:t>
      </w:r>
      <w:proofErr w:type="spellEnd"/>
      <w:r w:rsidRPr="005D1F71">
        <w:t xml:space="preserve">-quantitative techniques provided by textual co-occurrence analysis </w:t>
      </w:r>
      <w:r w:rsidRPr="00FD481B">
        <w:t>and Boolean analysis software applications, while the second concentrated on a selected number of case studies (n cases), using narrative analysis techniques.</w:t>
      </w:r>
    </w:p>
    <w:p w14:paraId="1E87CE5B" w14:textId="77777777" w:rsidR="00B02871" w:rsidRPr="00FD481B" w:rsidRDefault="00B02871" w:rsidP="00D91C9F"/>
    <w:p w14:paraId="5B0429E9" w14:textId="77777777" w:rsidR="00B02871" w:rsidRPr="00D40CF0" w:rsidRDefault="00B02871" w:rsidP="00D91C9F">
      <w:pPr>
        <w:rPr>
          <w:szCs w:val="24"/>
        </w:rPr>
      </w:pPr>
      <w:r w:rsidRPr="00FD481B">
        <w:t>As to the s</w:t>
      </w:r>
      <w:r w:rsidRPr="00337EEB">
        <w:t xml:space="preserve">econd constraint, I needed to avoid </w:t>
      </w:r>
      <w:r w:rsidRPr="00337EEB">
        <w:rPr>
          <w:i/>
        </w:rPr>
        <w:t xml:space="preserve">a priori </w:t>
      </w:r>
      <w:r w:rsidRPr="00337EEB">
        <w:t>postulating analytical categories. In line with a non-essentialist, bottom-up approach,</w:t>
      </w:r>
      <w:r w:rsidRPr="00337EEB">
        <w:rPr>
          <w:b/>
        </w:rPr>
        <w:t xml:space="preserve"> </w:t>
      </w:r>
      <w:r w:rsidRPr="00337EEB">
        <w:t>no hidden forces nor actors could be assumed in advance. As a consequence, when analysing the whole data set (N cases) I</w:t>
      </w:r>
      <w:r w:rsidRPr="00DB4CBB">
        <w:t xml:space="preserve"> chose to use relational a</w:t>
      </w:r>
      <w:r w:rsidRPr="004B42EE">
        <w:t xml:space="preserve">nalysis, a method based on </w:t>
      </w:r>
      <w:r w:rsidRPr="004B42EE">
        <w:rPr>
          <w:szCs w:val="24"/>
        </w:rPr>
        <w:t>measuring how often concepts occur close together within the text</w:t>
      </w:r>
      <w:r w:rsidRPr="004B42EE">
        <w:t xml:space="preserve">. </w:t>
      </w:r>
      <w:r w:rsidRPr="004B42EE">
        <w:rPr>
          <w:szCs w:val="24"/>
        </w:rPr>
        <w:t xml:space="preserve">Concepts </w:t>
      </w:r>
      <w:r w:rsidRPr="0021572C">
        <w:rPr>
          <w:szCs w:val="24"/>
        </w:rPr>
        <w:t xml:space="preserve">co-occurrence turned out helpful in addressing my main epistemological concern: that </w:t>
      </w:r>
      <w:r w:rsidRPr="0021572C">
        <w:rPr>
          <w:i/>
          <w:szCs w:val="24"/>
        </w:rPr>
        <w:t>a priori</w:t>
      </w:r>
      <w:r w:rsidRPr="0021572C">
        <w:rPr>
          <w:szCs w:val="24"/>
        </w:rPr>
        <w:t xml:space="preserve"> categories impose the reality of the investigator, </w:t>
      </w:r>
      <w:r w:rsidRPr="00671EF3">
        <w:rPr>
          <w:szCs w:val="24"/>
        </w:rPr>
        <w:t xml:space="preserve">rather than measuring the categories used by the authors of the text themselves. By using relational analysis, ‘relevant categories’ were defined as those that are most frequent </w:t>
      </w:r>
      <w:r w:rsidRPr="00671EF3">
        <w:rPr>
          <w:i/>
          <w:szCs w:val="24"/>
        </w:rPr>
        <w:t>and</w:t>
      </w:r>
      <w:r w:rsidRPr="00671EF3">
        <w:rPr>
          <w:szCs w:val="24"/>
        </w:rPr>
        <w:t xml:space="preserve"> co-variate the most with other high-frequency words recurring in the text</w:t>
      </w:r>
      <w:r w:rsidRPr="00D81ED5">
        <w:rPr>
          <w:szCs w:val="24"/>
        </w:rPr>
        <w:t>.</w:t>
      </w:r>
      <w:r w:rsidRPr="00D50C43">
        <w:rPr>
          <w:rStyle w:val="FootnoteReference"/>
          <w:szCs w:val="24"/>
        </w:rPr>
        <w:footnoteReference w:id="39"/>
      </w:r>
      <w:r w:rsidRPr="00D50C43">
        <w:rPr>
          <w:szCs w:val="24"/>
        </w:rPr>
        <w:t xml:space="preserve"> </w:t>
      </w:r>
    </w:p>
    <w:p w14:paraId="49C8B9F8" w14:textId="77777777" w:rsidR="00B02871" w:rsidRPr="0041636B" w:rsidRDefault="00B02871" w:rsidP="00D91C9F"/>
    <w:p w14:paraId="34932F45" w14:textId="66DAA690" w:rsidR="00D91C9F" w:rsidRDefault="00B02871" w:rsidP="00D91C9F">
      <w:r w:rsidRPr="00032C17">
        <w:t xml:space="preserve">More details about this software-embedded definition of relevancy </w:t>
      </w:r>
      <w:r w:rsidRPr="00542C1B">
        <w:t xml:space="preserve">– and the diverse ways in which software was </w:t>
      </w:r>
      <w:r w:rsidRPr="002F0E20">
        <w:t>set to answer different questions – are discussed in chapters 4 and 5. For the time being, it suffices to highlight the coherence and consistency of techniques for data collection and analysis with epistemological choices, as outlined in Table 1.</w:t>
      </w:r>
    </w:p>
    <w:p w14:paraId="6D34CA9C" w14:textId="77777777" w:rsidR="00D91C9F" w:rsidRDefault="00D91C9F">
      <w:pPr>
        <w:spacing w:line="240" w:lineRule="auto"/>
        <w:jc w:val="left"/>
      </w:pPr>
      <w:r>
        <w:br w:type="page"/>
      </w:r>
    </w:p>
    <w:p w14:paraId="1AC3DBF9" w14:textId="77777777" w:rsidR="00B02871" w:rsidRPr="002F0E20" w:rsidRDefault="00B02871" w:rsidP="00D91C9F"/>
    <w:p w14:paraId="0D892B2F" w14:textId="77777777" w:rsidR="00B02871" w:rsidRPr="002F0E20" w:rsidRDefault="00B02871" w:rsidP="00B02871">
      <w:pPr>
        <w:pStyle w:val="CorpodeltestotesiNisa"/>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0"/>
        <w:gridCol w:w="3260"/>
        <w:gridCol w:w="1418"/>
        <w:gridCol w:w="1417"/>
      </w:tblGrid>
      <w:tr w:rsidR="00B02871" w:rsidRPr="00D50C43" w14:paraId="0D617757" w14:textId="77777777" w:rsidTr="00EA3E03">
        <w:trPr>
          <w:trHeight w:val="274"/>
          <w:jc w:val="center"/>
        </w:trPr>
        <w:tc>
          <w:tcPr>
            <w:tcW w:w="2660" w:type="dxa"/>
            <w:vMerge w:val="restart"/>
          </w:tcPr>
          <w:p w14:paraId="624A57A1" w14:textId="77777777" w:rsidR="00B02871" w:rsidRPr="00D91C9F" w:rsidRDefault="00B02871" w:rsidP="00B02871">
            <w:pPr>
              <w:rPr>
                <w:b/>
              </w:rPr>
            </w:pPr>
            <w:r w:rsidRPr="00D91C9F">
              <w:rPr>
                <w:b/>
              </w:rPr>
              <w:t>Epistemological assumptions</w:t>
            </w:r>
          </w:p>
        </w:tc>
        <w:tc>
          <w:tcPr>
            <w:tcW w:w="3260" w:type="dxa"/>
            <w:vMerge w:val="restart"/>
          </w:tcPr>
          <w:p w14:paraId="5910A61C" w14:textId="77777777" w:rsidR="00B02871" w:rsidRPr="00D91C9F" w:rsidRDefault="00B02871" w:rsidP="00B02871">
            <w:pPr>
              <w:rPr>
                <w:b/>
              </w:rPr>
            </w:pPr>
            <w:r w:rsidRPr="00D91C9F">
              <w:rPr>
                <w:b/>
              </w:rPr>
              <w:t>Choice of the sample</w:t>
            </w:r>
          </w:p>
        </w:tc>
        <w:tc>
          <w:tcPr>
            <w:tcW w:w="2835" w:type="dxa"/>
            <w:gridSpan w:val="2"/>
          </w:tcPr>
          <w:p w14:paraId="6EC16C37" w14:textId="77777777" w:rsidR="00B02871" w:rsidRPr="00D91C9F" w:rsidRDefault="00B02871" w:rsidP="00B02871">
            <w:pPr>
              <w:rPr>
                <w:b/>
              </w:rPr>
            </w:pPr>
            <w:r w:rsidRPr="00D91C9F">
              <w:rPr>
                <w:b/>
              </w:rPr>
              <w:t>Method</w:t>
            </w:r>
          </w:p>
        </w:tc>
      </w:tr>
      <w:tr w:rsidR="00B02871" w:rsidRPr="00D50C43" w14:paraId="18B97F71" w14:textId="77777777" w:rsidTr="00EA3E03">
        <w:trPr>
          <w:trHeight w:val="273"/>
          <w:jc w:val="center"/>
        </w:trPr>
        <w:tc>
          <w:tcPr>
            <w:tcW w:w="2660" w:type="dxa"/>
            <w:vMerge/>
          </w:tcPr>
          <w:p w14:paraId="6F2BF3BC" w14:textId="77777777" w:rsidR="00B02871" w:rsidRPr="00D91C9F" w:rsidRDefault="00B02871" w:rsidP="00B02871">
            <w:pPr>
              <w:rPr>
                <w:b/>
              </w:rPr>
            </w:pPr>
          </w:p>
        </w:tc>
        <w:tc>
          <w:tcPr>
            <w:tcW w:w="3260" w:type="dxa"/>
            <w:vMerge/>
          </w:tcPr>
          <w:p w14:paraId="043256CE" w14:textId="77777777" w:rsidR="00B02871" w:rsidRPr="00D91C9F" w:rsidRDefault="00B02871" w:rsidP="00B02871">
            <w:pPr>
              <w:rPr>
                <w:b/>
              </w:rPr>
            </w:pPr>
          </w:p>
        </w:tc>
        <w:tc>
          <w:tcPr>
            <w:tcW w:w="1418" w:type="dxa"/>
          </w:tcPr>
          <w:p w14:paraId="1A38D8B5" w14:textId="77777777" w:rsidR="00B02871" w:rsidRPr="00D91C9F" w:rsidRDefault="00B02871" w:rsidP="00B02871">
            <w:pPr>
              <w:rPr>
                <w:b/>
              </w:rPr>
            </w:pPr>
            <w:r w:rsidRPr="00D91C9F">
              <w:rPr>
                <w:b/>
              </w:rPr>
              <w:t>Technique of data collection</w:t>
            </w:r>
          </w:p>
        </w:tc>
        <w:tc>
          <w:tcPr>
            <w:tcW w:w="1417" w:type="dxa"/>
          </w:tcPr>
          <w:p w14:paraId="11DE5041" w14:textId="77777777" w:rsidR="00B02871" w:rsidRPr="00D91C9F" w:rsidRDefault="00B02871" w:rsidP="00B02871">
            <w:pPr>
              <w:rPr>
                <w:b/>
              </w:rPr>
            </w:pPr>
            <w:r w:rsidRPr="00D91C9F">
              <w:rPr>
                <w:b/>
              </w:rPr>
              <w:t>Technique of data analysis</w:t>
            </w:r>
          </w:p>
        </w:tc>
      </w:tr>
      <w:tr w:rsidR="00B02871" w:rsidRPr="00D50C43" w14:paraId="6421AF7F" w14:textId="77777777" w:rsidTr="00EA3E03">
        <w:trPr>
          <w:jc w:val="center"/>
        </w:trPr>
        <w:tc>
          <w:tcPr>
            <w:tcW w:w="2660" w:type="dxa"/>
          </w:tcPr>
          <w:p w14:paraId="1F5AE3E0" w14:textId="77777777" w:rsidR="00B02871" w:rsidRPr="00D50C43" w:rsidRDefault="00B02871" w:rsidP="00B02871">
            <w:r w:rsidRPr="00D50C43">
              <w:t xml:space="preserve">Performative classification of digital communities (DC): DC definition is the result of clustering together objects </w:t>
            </w:r>
            <w:r w:rsidRPr="00D50C43">
              <w:rPr>
                <w:i/>
              </w:rPr>
              <w:t>said</w:t>
            </w:r>
            <w:r w:rsidRPr="00D50C43">
              <w:t xml:space="preserve"> to be occurrences of the concept. Acknowledgement as distributed </w:t>
            </w:r>
            <w:proofErr w:type="spellStart"/>
            <w:r w:rsidRPr="00D50C43">
              <w:t>enuciative</w:t>
            </w:r>
            <w:proofErr w:type="spellEnd"/>
            <w:r w:rsidRPr="00D50C43">
              <w:t xml:space="preserve"> action</w:t>
            </w:r>
          </w:p>
        </w:tc>
        <w:tc>
          <w:tcPr>
            <w:tcW w:w="3260" w:type="dxa"/>
          </w:tcPr>
          <w:p w14:paraId="7CE4C956" w14:textId="77777777" w:rsidR="00B02871" w:rsidRPr="00D50C43" w:rsidRDefault="00B02871" w:rsidP="00B02871">
            <w:r w:rsidRPr="00D50C43">
              <w:t xml:space="preserve">Objects of study are the projects participating in Ars Electronica’s competition. They are </w:t>
            </w:r>
            <w:r w:rsidRPr="00D50C43">
              <w:rPr>
                <w:i/>
              </w:rPr>
              <w:t>said</w:t>
            </w:r>
            <w:r w:rsidRPr="00D50C43">
              <w:t xml:space="preserve"> and </w:t>
            </w:r>
            <w:r w:rsidRPr="00D50C43">
              <w:rPr>
                <w:i/>
              </w:rPr>
              <w:t>acknowledged</w:t>
            </w:r>
            <w:r w:rsidRPr="00D50C43">
              <w:t xml:space="preserve"> as DCs by different social actors: the projects authors + Prix Ars Electronica’s International Advisory Board + independent jury</w:t>
            </w:r>
          </w:p>
        </w:tc>
        <w:tc>
          <w:tcPr>
            <w:tcW w:w="1418" w:type="dxa"/>
            <w:vMerge w:val="restart"/>
          </w:tcPr>
          <w:p w14:paraId="700CD496" w14:textId="77777777" w:rsidR="00B02871" w:rsidRPr="00D50C43" w:rsidRDefault="00B02871" w:rsidP="00B02871">
            <w:proofErr w:type="spellStart"/>
            <w:r w:rsidRPr="00D50C43">
              <w:t>Submissionsexported</w:t>
            </w:r>
            <w:proofErr w:type="spellEnd"/>
            <w:r w:rsidRPr="00D50C43">
              <w:t xml:space="preserve"> from online archive as txt file with ASCII codification</w:t>
            </w:r>
          </w:p>
          <w:p w14:paraId="37447182" w14:textId="77777777" w:rsidR="00B02871" w:rsidRPr="00D50C43" w:rsidRDefault="00B02871" w:rsidP="00B02871"/>
          <w:p w14:paraId="57C35B2C" w14:textId="77777777" w:rsidR="00B02871" w:rsidRPr="00D50C43" w:rsidRDefault="00B02871" w:rsidP="00B02871">
            <w:r w:rsidRPr="00D50C43">
              <w:t xml:space="preserve">Navigation of DCs’ websites </w:t>
            </w:r>
          </w:p>
        </w:tc>
        <w:tc>
          <w:tcPr>
            <w:tcW w:w="1417" w:type="dxa"/>
            <w:vMerge w:val="restart"/>
          </w:tcPr>
          <w:p w14:paraId="7C8D83BE" w14:textId="77777777" w:rsidR="00B02871" w:rsidRPr="00D50C43" w:rsidRDefault="00B02871" w:rsidP="00B02871">
            <w:proofErr w:type="spellStart"/>
            <w:r w:rsidRPr="00D50C43">
              <w:t>Quali</w:t>
            </w:r>
            <w:proofErr w:type="spellEnd"/>
            <w:r w:rsidRPr="00D50C43">
              <w:t>-quantitative (for N cases) and qualitative (for n cases) analysis of submissions</w:t>
            </w:r>
          </w:p>
          <w:p w14:paraId="5C040B47" w14:textId="77777777" w:rsidR="00B02871" w:rsidRPr="00D50C43" w:rsidRDefault="00B02871" w:rsidP="00B02871"/>
          <w:p w14:paraId="22319B5B" w14:textId="77777777" w:rsidR="00B02871" w:rsidRPr="00D50C43" w:rsidRDefault="00B02871" w:rsidP="00B02871">
            <w:r w:rsidRPr="00D50C43">
              <w:t>Profile analysis of websites</w:t>
            </w:r>
          </w:p>
        </w:tc>
      </w:tr>
      <w:tr w:rsidR="00B02871" w:rsidRPr="00D50C43" w14:paraId="27906096" w14:textId="77777777" w:rsidTr="00EA3E03">
        <w:trPr>
          <w:jc w:val="center"/>
        </w:trPr>
        <w:tc>
          <w:tcPr>
            <w:tcW w:w="2660" w:type="dxa"/>
          </w:tcPr>
          <w:p w14:paraId="7B56993D" w14:textId="77777777" w:rsidR="00B02871" w:rsidRPr="00D50C43" w:rsidRDefault="00B02871" w:rsidP="00B02871">
            <w:r w:rsidRPr="00D50C43">
              <w:t>Study of controversies</w:t>
            </w:r>
          </w:p>
          <w:p w14:paraId="4441ADE6" w14:textId="77777777" w:rsidR="00B02871" w:rsidRPr="00D50C43" w:rsidRDefault="00B02871" w:rsidP="00B02871">
            <w:r w:rsidRPr="00D50C43">
              <w:t>1) Meaning emerges from comparison and/or polemic structures.</w:t>
            </w:r>
          </w:p>
          <w:p w14:paraId="26B92A65" w14:textId="77777777" w:rsidR="00B02871" w:rsidRPr="00D50C43" w:rsidRDefault="00B02871" w:rsidP="00B02871">
            <w:r w:rsidRPr="00D50C43">
              <w:t>2) Controversies and agency are made visible into accounts</w:t>
            </w:r>
          </w:p>
        </w:tc>
        <w:tc>
          <w:tcPr>
            <w:tcW w:w="3260" w:type="dxa"/>
          </w:tcPr>
          <w:p w14:paraId="289C365D" w14:textId="77777777" w:rsidR="00B02871" w:rsidRPr="00D50C43" w:rsidRDefault="00B02871" w:rsidP="00B02871">
            <w:r w:rsidRPr="00D50C43">
              <w:t>1) Prix Ars Electronica competition as a form of controversy, a situation where meaning emerges from comparison between different projects struggling to be defined as successful DC.</w:t>
            </w:r>
          </w:p>
          <w:p w14:paraId="0BDE672E" w14:textId="77777777" w:rsidR="00B02871" w:rsidRPr="00D50C43" w:rsidRDefault="00B02871" w:rsidP="00B02871">
            <w:r w:rsidRPr="00D50C43">
              <w:t>2) Use of archived submission forms as accounts: meaning emerges also from distance in time</w:t>
            </w:r>
          </w:p>
        </w:tc>
        <w:tc>
          <w:tcPr>
            <w:tcW w:w="1418" w:type="dxa"/>
            <w:vMerge/>
          </w:tcPr>
          <w:p w14:paraId="6E28F792" w14:textId="77777777" w:rsidR="00B02871" w:rsidRPr="00D50C43" w:rsidRDefault="00B02871" w:rsidP="00B02871"/>
        </w:tc>
        <w:tc>
          <w:tcPr>
            <w:tcW w:w="1417" w:type="dxa"/>
            <w:vMerge/>
          </w:tcPr>
          <w:p w14:paraId="34AE8E28" w14:textId="77777777" w:rsidR="00B02871" w:rsidRPr="00D50C43" w:rsidRDefault="00B02871" w:rsidP="00B02871"/>
        </w:tc>
      </w:tr>
    </w:tbl>
    <w:p w14:paraId="68D61BFA" w14:textId="77777777" w:rsidR="00B02871" w:rsidRPr="00D91C9F" w:rsidRDefault="00B02871" w:rsidP="00D91C9F">
      <w:pPr>
        <w:rPr>
          <w:b/>
          <w:i/>
        </w:rPr>
      </w:pPr>
      <w:r w:rsidRPr="00065E7C">
        <w:t xml:space="preserve">Table 1 – </w:t>
      </w:r>
      <w:r w:rsidRPr="00D91C9F">
        <w:rPr>
          <w:i/>
        </w:rPr>
        <w:t>Resume: from epistemological assumptions to techniques of data collection and analysis</w:t>
      </w:r>
    </w:p>
    <w:p w14:paraId="78FC3C94" w14:textId="77777777" w:rsidR="00B02871" w:rsidRPr="00FC532F" w:rsidRDefault="00B02871" w:rsidP="00875BED">
      <w:pPr>
        <w:pStyle w:val="Heading2"/>
      </w:pPr>
      <w:r w:rsidRPr="000B42D1">
        <w:t>Structure o</w:t>
      </w:r>
      <w:r w:rsidRPr="00B126F9">
        <w:t xml:space="preserve">f the </w:t>
      </w:r>
      <w:r w:rsidRPr="00D96B21">
        <w:t>Book</w:t>
      </w:r>
    </w:p>
    <w:p w14:paraId="7FACF625" w14:textId="77777777" w:rsidR="00B02871" w:rsidRPr="00DB4CBB" w:rsidRDefault="00B02871" w:rsidP="00D91C9F">
      <w:r w:rsidRPr="00D50C43">
        <w:t xml:space="preserve">This </w:t>
      </w:r>
      <w:r w:rsidRPr="00442E07">
        <w:t>book</w:t>
      </w:r>
      <w:r w:rsidRPr="00D40CF0">
        <w:t xml:space="preserve"> is composed of </w:t>
      </w:r>
      <w:r w:rsidRPr="0041636B">
        <w:t>two</w:t>
      </w:r>
      <w:r w:rsidRPr="00032C17">
        <w:t xml:space="preserve"> main</w:t>
      </w:r>
      <w:r w:rsidRPr="00542C1B">
        <w:t xml:space="preserve"> parts</w:t>
      </w:r>
      <w:r w:rsidRPr="002F0E20">
        <w:t xml:space="preserve">. </w:t>
      </w:r>
      <w:bookmarkStart w:id="2" w:name="_GoBack"/>
      <w:bookmarkEnd w:id="2"/>
      <w:r w:rsidRPr="002F0E20">
        <w:t>Drawing on offline literature and online sources, including mailing lists and email interviews, the first part recalls the heterogeneous origins of digital sociability. Even if diachronic comparison lies at the core of chapters 1-3, this book doesn’t intend to provide a comprehensive historical reco</w:t>
      </w:r>
      <w:r w:rsidRPr="005D1F71">
        <w:t xml:space="preserve">nstruction of early online forms of communalism. A systematic history would </w:t>
      </w:r>
      <w:r w:rsidRPr="005D1F71">
        <w:lastRenderedPageBreak/>
        <w:t>deserve a research work in itself, and consistent attempts in this direction are numerous. More modestly, the first part aims to return the complexity and heterogeneity of cybercultures (in the plural!) before the 2000s crisis. Chapter 1</w:t>
      </w:r>
      <w:r>
        <w:t xml:space="preserve"> </w:t>
      </w:r>
      <w:r w:rsidRPr="005D1F71">
        <w:t>addresses</w:t>
      </w:r>
      <w:r w:rsidRPr="00FD481B">
        <w:t xml:space="preserve"> the legac</w:t>
      </w:r>
      <w:r>
        <w:t>ies</w:t>
      </w:r>
      <w:r w:rsidRPr="00FD481B">
        <w:t xml:space="preserve"> of libertarian, civic, artistic, and activist utopias</w:t>
      </w:r>
      <w:r w:rsidRPr="00337EEB">
        <w:t xml:space="preserve"> </w:t>
      </w:r>
      <w:r>
        <w:t>inherited by</w:t>
      </w:r>
      <w:r w:rsidRPr="00337EEB">
        <w:t xml:space="preserve"> digital communitarian culture. Chapter 2 throws light on its </w:t>
      </w:r>
      <w:proofErr w:type="spellStart"/>
      <w:r w:rsidRPr="00337EEB">
        <w:t>aporiai</w:t>
      </w:r>
      <w:proofErr w:type="spellEnd"/>
      <w:r>
        <w:t>,</w:t>
      </w:r>
      <w:r w:rsidRPr="00337EEB">
        <w:t xml:space="preserve"> concerning both socio-economic developments and the politics of information. Chapter 3 discusses the arguments of those authors who have addressed the question on whether it is possible to talk of communitarian ties online</w:t>
      </w:r>
      <w:r>
        <w:t xml:space="preserve"> today</w:t>
      </w:r>
      <w:r w:rsidRPr="00337EEB">
        <w:t>. After having discussed some of the ideologies linked to th</w:t>
      </w:r>
      <w:r w:rsidRPr="00382883">
        <w:t xml:space="preserve">e </w:t>
      </w:r>
      <w:r w:rsidRPr="00501697">
        <w:t>societal potential</w:t>
      </w:r>
      <w:r w:rsidRPr="00337EEB">
        <w:t xml:space="preserve"> of ICT, a few hypotheses on the current condition of dig</w:t>
      </w:r>
      <w:r w:rsidRPr="00DB4CBB">
        <w:t>ital communities in 2000s are sketched.</w:t>
      </w:r>
    </w:p>
    <w:p w14:paraId="296BD75D" w14:textId="77777777" w:rsidR="00B02871" w:rsidRPr="00DB4CBB" w:rsidRDefault="00B02871" w:rsidP="00D91C9F"/>
    <w:p w14:paraId="2931D03F" w14:textId="77777777" w:rsidR="00B02871" w:rsidRPr="00671EF3" w:rsidRDefault="00B02871" w:rsidP="00D91C9F">
      <w:r w:rsidRPr="004B42EE">
        <w:t>The second part engages in empirical</w:t>
      </w:r>
      <w:r w:rsidRPr="0021572C">
        <w:t xml:space="preserve"> analyses of contemporary forms of digital communities, and compares them with the literature discussed in the first part. Chapter </w:t>
      </w:r>
      <w:r w:rsidRPr="00671EF3">
        <w:t>4 provides a first definition of ‘online community’ by explicitly exploring the elements associated with it in the applications submitted to Prix Ars Electronica’s Digital Communities competition. It also verifies a hypothetical counter-argument to Wellman’s thesis on weak ties by conducting co-occurrence analysis.</w:t>
      </w:r>
    </w:p>
    <w:p w14:paraId="770EC2F8" w14:textId="77777777" w:rsidR="00B02871" w:rsidRPr="00671EF3" w:rsidRDefault="00B02871" w:rsidP="00D91C9F"/>
    <w:p w14:paraId="0C5AAC3E" w14:textId="77777777" w:rsidR="00B02871" w:rsidRPr="00E77477" w:rsidRDefault="00B02871" w:rsidP="00D91C9F">
      <w:r w:rsidRPr="00671EF3">
        <w:t>Chapter 5 identifies some</w:t>
      </w:r>
      <w:r w:rsidRPr="00D81ED5">
        <w:t xml:space="preserve"> relevant topics and narratives emerging from the whole data set and compares them with those prompted by early cybercult</w:t>
      </w:r>
      <w:r>
        <w:t>ur</w:t>
      </w:r>
      <w:r w:rsidRPr="00D81ED5">
        <w:t xml:space="preserve">es. </w:t>
      </w:r>
      <w:r w:rsidRPr="006B21D2">
        <w:t>Continuing with a purely qualitative method, chapter 6 conducts a</w:t>
      </w:r>
      <w:r w:rsidRPr="0067335F">
        <w:t xml:space="preserve"> narrative analysis of the </w:t>
      </w:r>
      <w:r>
        <w:t>prize-</w:t>
      </w:r>
      <w:r w:rsidRPr="0067335F">
        <w:t>winning projects. After a detailed description of all the projects that won a first or second prize from 2004 to 2007, it draws</w:t>
      </w:r>
      <w:r w:rsidRPr="00811568">
        <w:t xml:space="preserve"> a map of the different techno-social theories of action underpinning those projects. Finally, chapter 7 suggests a system of classification for digital communities based on two diverse</w:t>
      </w:r>
      <w:r w:rsidRPr="007F0DAA">
        <w:t xml:space="preserve"> forms of materiality,</w:t>
      </w:r>
      <w:r w:rsidRPr="009945D6">
        <w:t xml:space="preserve"> while chapter 8 draws conclusions and </w:t>
      </w:r>
      <w:r w:rsidRPr="00E77477">
        <w:t>proposes further directions of analysis.</w:t>
      </w:r>
    </w:p>
    <w:p w14:paraId="28B7B833" w14:textId="77777777" w:rsidR="00934E5A" w:rsidRDefault="002A63C9" w:rsidP="00D91C9F"/>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FC2F2" w14:textId="77777777" w:rsidR="002A63C9" w:rsidRDefault="002A63C9" w:rsidP="00B02871">
      <w:r>
        <w:separator/>
      </w:r>
    </w:p>
  </w:endnote>
  <w:endnote w:type="continuationSeparator" w:id="0">
    <w:p w14:paraId="1D3FC784" w14:textId="77777777" w:rsidR="002A63C9" w:rsidRDefault="002A63C9" w:rsidP="00B0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F7F1" w14:textId="77777777" w:rsidR="002A63C9" w:rsidRDefault="002A63C9" w:rsidP="00B02871">
      <w:r>
        <w:separator/>
      </w:r>
    </w:p>
  </w:footnote>
  <w:footnote w:type="continuationSeparator" w:id="0">
    <w:p w14:paraId="31295611" w14:textId="77777777" w:rsidR="002A63C9" w:rsidRDefault="002A63C9" w:rsidP="00B02871">
      <w:r>
        <w:continuationSeparator/>
      </w:r>
    </w:p>
  </w:footnote>
  <w:footnote w:id="1">
    <w:p w14:paraId="0D8E7BA7" w14:textId="77777777" w:rsidR="00B02871" w:rsidRPr="00D91C9F" w:rsidRDefault="00B02871" w:rsidP="00D91C9F">
      <w:pPr>
        <w:rPr>
          <w:sz w:val="20"/>
        </w:rPr>
      </w:pPr>
      <w:r w:rsidRPr="00CA3AE8">
        <w:rPr>
          <w:rStyle w:val="FootnoteReference"/>
        </w:rPr>
        <w:footnoteRef/>
      </w:r>
      <w:r>
        <w:t xml:space="preserve"> </w:t>
      </w:r>
      <w:r w:rsidRPr="00D91C9F">
        <w:rPr>
          <w:sz w:val="20"/>
        </w:rPr>
        <w:t>Note from the 2018 Edition. As mentioned in the Foreword, the research underpinning this book was conducted on a data set created in the period 2004-2007. Ethnographic observation and participation in digital media groups, mailing lists, and online networks started however much earlier, in 2001. With the exception of the Foreword – written for the 2018 Edition, throughout the book the present tense refers to the period 2006-2009.</w:t>
      </w:r>
    </w:p>
    <w:p w14:paraId="2E2A60D4" w14:textId="77777777" w:rsidR="00B02871" w:rsidRPr="00D91C9F" w:rsidRDefault="00B02871" w:rsidP="00D91C9F">
      <w:pPr>
        <w:rPr>
          <w:sz w:val="20"/>
          <w:lang w:val="en-US"/>
        </w:rPr>
      </w:pPr>
    </w:p>
  </w:footnote>
  <w:footnote w:id="2">
    <w:p w14:paraId="2AD17078" w14:textId="77777777" w:rsidR="00B02871" w:rsidRPr="00D91C9F" w:rsidRDefault="00B02871" w:rsidP="00D91C9F">
      <w:pPr>
        <w:rPr>
          <w:sz w:val="20"/>
        </w:rPr>
      </w:pPr>
      <w:r w:rsidRPr="00D91C9F">
        <w:rPr>
          <w:rStyle w:val="FootnoteReference"/>
          <w:sz w:val="20"/>
        </w:rPr>
        <w:footnoteRef/>
      </w:r>
      <w:r w:rsidRPr="00D91C9F">
        <w:rPr>
          <w:sz w:val="20"/>
        </w:rPr>
        <w:t xml:space="preserve"> With ‘communitarian’, ‘communalism’ and ‘communitarianism’ I do not refer to those political philosophies whose most influential exponents are Alasdair </w:t>
      </w:r>
      <w:proofErr w:type="spellStart"/>
      <w:r w:rsidRPr="00D91C9F">
        <w:rPr>
          <w:sz w:val="20"/>
        </w:rPr>
        <w:t>MacIntyre</w:t>
      </w:r>
      <w:proofErr w:type="spellEnd"/>
      <w:r w:rsidRPr="00D91C9F">
        <w:rPr>
          <w:sz w:val="20"/>
        </w:rPr>
        <w:t xml:space="preserve">, Michael </w:t>
      </w:r>
      <w:proofErr w:type="spellStart"/>
      <w:r w:rsidRPr="00D91C9F">
        <w:rPr>
          <w:sz w:val="20"/>
        </w:rPr>
        <w:t>Sandel</w:t>
      </w:r>
      <w:proofErr w:type="spellEnd"/>
      <w:r w:rsidRPr="00D91C9F">
        <w:rPr>
          <w:sz w:val="20"/>
        </w:rPr>
        <w:t xml:space="preserve">, Charles Taylor, and Michael </w:t>
      </w:r>
      <w:proofErr w:type="spellStart"/>
      <w:r w:rsidRPr="00D91C9F">
        <w:rPr>
          <w:sz w:val="20"/>
        </w:rPr>
        <w:t>Walzer</w:t>
      </w:r>
      <w:proofErr w:type="spellEnd"/>
      <w:r w:rsidRPr="00D91C9F">
        <w:rPr>
          <w:sz w:val="20"/>
        </w:rPr>
        <w:t xml:space="preserve">, quoted by D. Bell, ‘Communitarianism’, in E. N. </w:t>
      </w:r>
      <w:proofErr w:type="spellStart"/>
      <w:r w:rsidRPr="00D91C9F">
        <w:rPr>
          <w:sz w:val="20"/>
        </w:rPr>
        <w:t>Zalta</w:t>
      </w:r>
      <w:proofErr w:type="spellEnd"/>
      <w:r w:rsidRPr="00D91C9F">
        <w:rPr>
          <w:sz w:val="20"/>
        </w:rPr>
        <w:t xml:space="preserve"> (ed.) </w:t>
      </w:r>
      <w:r w:rsidRPr="00D91C9F">
        <w:rPr>
          <w:i/>
          <w:sz w:val="20"/>
        </w:rPr>
        <w:t>The</w:t>
      </w:r>
      <w:r w:rsidRPr="00D91C9F">
        <w:rPr>
          <w:sz w:val="20"/>
        </w:rPr>
        <w:t xml:space="preserve"> </w:t>
      </w:r>
      <w:r w:rsidRPr="00D91C9F">
        <w:rPr>
          <w:i/>
          <w:sz w:val="20"/>
        </w:rPr>
        <w:t xml:space="preserve">Stanford </w:t>
      </w:r>
      <w:proofErr w:type="spellStart"/>
      <w:r w:rsidRPr="00D91C9F">
        <w:rPr>
          <w:i/>
          <w:sz w:val="20"/>
        </w:rPr>
        <w:t>Encyclopedia</w:t>
      </w:r>
      <w:proofErr w:type="spellEnd"/>
      <w:r w:rsidRPr="00D91C9F">
        <w:rPr>
          <w:i/>
          <w:sz w:val="20"/>
        </w:rPr>
        <w:t xml:space="preserve"> of Philosophy</w:t>
      </w:r>
      <w:r w:rsidRPr="00D91C9F">
        <w:rPr>
          <w:sz w:val="20"/>
        </w:rPr>
        <w:t xml:space="preserve">, </w:t>
      </w:r>
      <w:r w:rsidRPr="00D91C9F">
        <w:rPr>
          <w:rStyle w:val="Hyperlink"/>
          <w:sz w:val="20"/>
        </w:rPr>
        <w:t>Stanford CA: Stanford University</w:t>
      </w:r>
      <w:r w:rsidRPr="00D91C9F">
        <w:rPr>
          <w:sz w:val="20"/>
        </w:rPr>
        <w:t>, 2016,</w:t>
      </w:r>
      <w:r w:rsidRPr="00D91C9F">
        <w:rPr>
          <w:sz w:val="20"/>
        </w:rPr>
        <w:br/>
        <w:t>https://plato.stanford.edu/archives/sum2016/entries/communitarianism/. Differently, I use these terms in their most mundane meaning of ‘related to community’, the goal of this work being to ask actors themselves what they mean by it.</w:t>
      </w:r>
    </w:p>
    <w:p w14:paraId="3FD48210" w14:textId="77777777" w:rsidR="00B02871" w:rsidRPr="00D91C9F" w:rsidRDefault="00B02871" w:rsidP="00D91C9F">
      <w:pPr>
        <w:rPr>
          <w:sz w:val="20"/>
          <w:lang w:val="en-US"/>
        </w:rPr>
      </w:pPr>
    </w:p>
  </w:footnote>
  <w:footnote w:id="3">
    <w:p w14:paraId="568E6AD1" w14:textId="77777777" w:rsidR="00B02871" w:rsidRPr="00D91C9F" w:rsidRDefault="00B02871" w:rsidP="00D91C9F">
      <w:pPr>
        <w:rPr>
          <w:sz w:val="20"/>
        </w:rPr>
      </w:pPr>
      <w:r w:rsidRPr="00D91C9F">
        <w:rPr>
          <w:rStyle w:val="FootnoteReference"/>
          <w:sz w:val="20"/>
        </w:rPr>
        <w:footnoteRef/>
      </w:r>
      <w:r w:rsidRPr="00D91C9F">
        <w:rPr>
          <w:sz w:val="20"/>
        </w:rPr>
        <w:t xml:space="preserve"> Goldsmith and Wu, Who Controls the Internet?</w:t>
      </w:r>
    </w:p>
    <w:p w14:paraId="30A4A6F3" w14:textId="77777777" w:rsidR="00B02871" w:rsidRPr="00D91C9F" w:rsidRDefault="00B02871" w:rsidP="00D91C9F">
      <w:pPr>
        <w:rPr>
          <w:sz w:val="20"/>
          <w:lang w:val="en-US"/>
        </w:rPr>
      </w:pPr>
    </w:p>
  </w:footnote>
  <w:footnote w:id="4">
    <w:p w14:paraId="37A575A5" w14:textId="77777777" w:rsidR="00B02871" w:rsidRPr="00D91C9F" w:rsidRDefault="00B02871" w:rsidP="00D91C9F">
      <w:pPr>
        <w:rPr>
          <w:sz w:val="20"/>
        </w:rPr>
      </w:pPr>
      <w:r w:rsidRPr="00D91C9F">
        <w:rPr>
          <w:rStyle w:val="FootnoteReference"/>
          <w:sz w:val="20"/>
        </w:rPr>
        <w:footnoteRef/>
      </w:r>
      <w:r w:rsidRPr="00D91C9F">
        <w:rPr>
          <w:sz w:val="20"/>
        </w:rPr>
        <w:t xml:space="preserve"> H. Jenkins, </w:t>
      </w:r>
      <w:r w:rsidRPr="00D91C9F">
        <w:rPr>
          <w:i/>
          <w:sz w:val="20"/>
        </w:rPr>
        <w:t>Convergence Culture: Where Old and New Media Collide</w:t>
      </w:r>
      <w:r w:rsidRPr="00D91C9F">
        <w:rPr>
          <w:sz w:val="20"/>
        </w:rPr>
        <w:t>, New York-London: New York University Press, 2006.</w:t>
      </w:r>
    </w:p>
    <w:p w14:paraId="619F0BB6" w14:textId="77777777" w:rsidR="00B02871" w:rsidRPr="009175E6" w:rsidRDefault="00B02871" w:rsidP="00B02871">
      <w:pPr>
        <w:pStyle w:val="BibliografiatesiNisa"/>
      </w:pPr>
    </w:p>
  </w:footnote>
  <w:footnote w:id="5">
    <w:p w14:paraId="2D913DFA" w14:textId="77777777" w:rsidR="00B02871" w:rsidRPr="00D91C9F" w:rsidRDefault="00B02871" w:rsidP="00D91C9F">
      <w:pPr>
        <w:rPr>
          <w:sz w:val="20"/>
        </w:rPr>
      </w:pPr>
      <w:r w:rsidRPr="00D91C9F">
        <w:rPr>
          <w:rStyle w:val="FootnoteReference"/>
          <w:sz w:val="20"/>
        </w:rPr>
        <w:footnoteRef/>
      </w:r>
      <w:r w:rsidRPr="00D91C9F">
        <w:rPr>
          <w:sz w:val="20"/>
        </w:rPr>
        <w:t xml:space="preserve"> F. Turner, From Counterculture to Cyberculture: Stewart Brand, the Whole Earth Network, and the Rise of Digital Utopianism, Chicago and London: The University of Chicago Press, 2006.</w:t>
      </w:r>
    </w:p>
    <w:p w14:paraId="38037923" w14:textId="77777777" w:rsidR="00B02871" w:rsidRPr="00D91C9F" w:rsidRDefault="00B02871" w:rsidP="00D91C9F">
      <w:pPr>
        <w:rPr>
          <w:sz w:val="20"/>
          <w:lang w:val="en-US"/>
        </w:rPr>
      </w:pPr>
    </w:p>
  </w:footnote>
  <w:footnote w:id="6">
    <w:p w14:paraId="784AFAF8" w14:textId="77777777" w:rsidR="00B02871" w:rsidRPr="00D91C9F" w:rsidRDefault="00B02871" w:rsidP="00D91C9F">
      <w:pPr>
        <w:rPr>
          <w:sz w:val="20"/>
        </w:rPr>
      </w:pPr>
      <w:r w:rsidRPr="00D91C9F">
        <w:rPr>
          <w:rStyle w:val="FootnoteReference"/>
          <w:sz w:val="20"/>
        </w:rPr>
        <w:footnoteRef/>
      </w:r>
      <w:r w:rsidRPr="00D91C9F">
        <w:rPr>
          <w:sz w:val="20"/>
        </w:rPr>
        <w:t xml:space="preserve"> C. </w:t>
      </w:r>
      <w:proofErr w:type="spellStart"/>
      <w:r w:rsidRPr="00D91C9F">
        <w:rPr>
          <w:sz w:val="20"/>
        </w:rPr>
        <w:t>Formenti</w:t>
      </w:r>
      <w:proofErr w:type="spellEnd"/>
      <w:r w:rsidRPr="00D91C9F">
        <w:rPr>
          <w:sz w:val="20"/>
        </w:rPr>
        <w:t>, ‘</w:t>
      </w:r>
      <w:proofErr w:type="spellStart"/>
      <w:r w:rsidRPr="00D91C9F">
        <w:rPr>
          <w:sz w:val="20"/>
        </w:rPr>
        <w:t>Composizione</w:t>
      </w:r>
      <w:proofErr w:type="spellEnd"/>
      <w:r w:rsidRPr="00D91C9F">
        <w:rPr>
          <w:sz w:val="20"/>
        </w:rPr>
        <w:t xml:space="preserve"> di </w:t>
      </w:r>
      <w:proofErr w:type="spellStart"/>
      <w:r w:rsidRPr="00D91C9F">
        <w:rPr>
          <w:sz w:val="20"/>
        </w:rPr>
        <w:t>classe</w:t>
      </w:r>
      <w:proofErr w:type="spellEnd"/>
      <w:r w:rsidRPr="00D91C9F">
        <w:rPr>
          <w:sz w:val="20"/>
        </w:rPr>
        <w:t xml:space="preserve">, </w:t>
      </w:r>
      <w:proofErr w:type="spellStart"/>
      <w:r w:rsidRPr="00D91C9F">
        <w:rPr>
          <w:sz w:val="20"/>
        </w:rPr>
        <w:t>tecnologie</w:t>
      </w:r>
      <w:proofErr w:type="spellEnd"/>
      <w:r w:rsidRPr="00D91C9F">
        <w:rPr>
          <w:sz w:val="20"/>
        </w:rPr>
        <w:t xml:space="preserve"> di rete e post-</w:t>
      </w:r>
      <w:proofErr w:type="spellStart"/>
      <w:r w:rsidRPr="00D91C9F">
        <w:rPr>
          <w:sz w:val="20"/>
        </w:rPr>
        <w:t>democrazia</w:t>
      </w:r>
      <w:proofErr w:type="spellEnd"/>
      <w:r w:rsidRPr="00D91C9F">
        <w:rPr>
          <w:sz w:val="20"/>
        </w:rPr>
        <w:t xml:space="preserve">’, in A. Di </w:t>
      </w:r>
      <w:proofErr w:type="spellStart"/>
      <w:r w:rsidRPr="00D91C9F">
        <w:rPr>
          <w:sz w:val="20"/>
        </w:rPr>
        <w:t>Corinto</w:t>
      </w:r>
      <w:proofErr w:type="spellEnd"/>
      <w:r w:rsidRPr="00D91C9F">
        <w:rPr>
          <w:sz w:val="20"/>
        </w:rPr>
        <w:t xml:space="preserve"> (ed.) </w:t>
      </w:r>
      <w:proofErr w:type="spellStart"/>
      <w:r w:rsidRPr="00D91C9F">
        <w:rPr>
          <w:i/>
          <w:sz w:val="20"/>
        </w:rPr>
        <w:t>L’innovazione</w:t>
      </w:r>
      <w:proofErr w:type="spellEnd"/>
      <w:r w:rsidRPr="00D91C9F">
        <w:rPr>
          <w:i/>
          <w:sz w:val="20"/>
        </w:rPr>
        <w:t xml:space="preserve"> </w:t>
      </w:r>
      <w:proofErr w:type="spellStart"/>
      <w:r w:rsidRPr="00D91C9F">
        <w:rPr>
          <w:i/>
          <w:sz w:val="20"/>
        </w:rPr>
        <w:t>necessaria</w:t>
      </w:r>
      <w:proofErr w:type="spellEnd"/>
      <w:r w:rsidRPr="00D91C9F">
        <w:rPr>
          <w:sz w:val="20"/>
        </w:rPr>
        <w:t xml:space="preserve">, Milano: RGB – Area 51, 2005. </w:t>
      </w:r>
    </w:p>
    <w:p w14:paraId="6F8AF254" w14:textId="77777777" w:rsidR="00B02871" w:rsidRPr="00D91C9F" w:rsidRDefault="00B02871" w:rsidP="00D91C9F">
      <w:pPr>
        <w:rPr>
          <w:sz w:val="20"/>
          <w:lang w:val="en-US"/>
        </w:rPr>
      </w:pPr>
    </w:p>
  </w:footnote>
  <w:footnote w:id="7">
    <w:p w14:paraId="407F72A2" w14:textId="77777777" w:rsidR="00B02871" w:rsidRPr="00D91C9F" w:rsidRDefault="00B02871" w:rsidP="00D91C9F">
      <w:pPr>
        <w:rPr>
          <w:sz w:val="20"/>
        </w:rPr>
      </w:pPr>
      <w:r w:rsidRPr="00D91C9F">
        <w:rPr>
          <w:rStyle w:val="FootnoteReference"/>
          <w:sz w:val="20"/>
        </w:rPr>
        <w:footnoteRef/>
      </w:r>
      <w:r w:rsidRPr="00D91C9F">
        <w:rPr>
          <w:sz w:val="20"/>
        </w:rPr>
        <w:t xml:space="preserve"> Interview with </w:t>
      </w:r>
      <w:proofErr w:type="spellStart"/>
      <w:r w:rsidRPr="00D91C9F">
        <w:rPr>
          <w:sz w:val="20"/>
        </w:rPr>
        <w:t>Stalder</w:t>
      </w:r>
      <w:proofErr w:type="spellEnd"/>
      <w:r w:rsidRPr="00D91C9F">
        <w:rPr>
          <w:sz w:val="20"/>
        </w:rPr>
        <w:t xml:space="preserve"> in T. </w:t>
      </w:r>
      <w:proofErr w:type="spellStart"/>
      <w:r w:rsidRPr="00D91C9F">
        <w:rPr>
          <w:sz w:val="20"/>
        </w:rPr>
        <w:t>Bazzichelli</w:t>
      </w:r>
      <w:proofErr w:type="spellEnd"/>
      <w:r w:rsidRPr="00D91C9F">
        <w:rPr>
          <w:sz w:val="20"/>
        </w:rPr>
        <w:t>, ‘</w:t>
      </w:r>
      <w:proofErr w:type="spellStart"/>
      <w:r w:rsidRPr="00D91C9F">
        <w:rPr>
          <w:sz w:val="20"/>
        </w:rPr>
        <w:t>Stalder</w:t>
      </w:r>
      <w:proofErr w:type="spellEnd"/>
      <w:r w:rsidRPr="00D91C9F">
        <w:rPr>
          <w:sz w:val="20"/>
        </w:rPr>
        <w:t xml:space="preserve">: </w:t>
      </w:r>
      <w:proofErr w:type="spellStart"/>
      <w:r w:rsidRPr="00D91C9F">
        <w:rPr>
          <w:sz w:val="20"/>
        </w:rPr>
        <w:t>il</w:t>
      </w:r>
      <w:proofErr w:type="spellEnd"/>
      <w:r w:rsidRPr="00D91C9F">
        <w:rPr>
          <w:sz w:val="20"/>
        </w:rPr>
        <w:t xml:space="preserve"> </w:t>
      </w:r>
      <w:proofErr w:type="spellStart"/>
      <w:r w:rsidRPr="00D91C9F">
        <w:rPr>
          <w:sz w:val="20"/>
        </w:rPr>
        <w:t>Futuro</w:t>
      </w:r>
      <w:proofErr w:type="spellEnd"/>
      <w:r w:rsidRPr="00D91C9F">
        <w:rPr>
          <w:sz w:val="20"/>
        </w:rPr>
        <w:t xml:space="preserve"> </w:t>
      </w:r>
      <w:proofErr w:type="spellStart"/>
      <w:r w:rsidRPr="00D91C9F">
        <w:rPr>
          <w:sz w:val="20"/>
        </w:rPr>
        <w:t>delle</w:t>
      </w:r>
      <w:proofErr w:type="spellEnd"/>
      <w:r w:rsidRPr="00D91C9F">
        <w:rPr>
          <w:sz w:val="20"/>
        </w:rPr>
        <w:t xml:space="preserve"> Digital Communities’, </w:t>
      </w:r>
      <w:proofErr w:type="spellStart"/>
      <w:r w:rsidRPr="00D91C9F">
        <w:rPr>
          <w:i/>
          <w:sz w:val="20"/>
        </w:rPr>
        <w:t>Digimag</w:t>
      </w:r>
      <w:proofErr w:type="spellEnd"/>
      <w:r w:rsidRPr="00D91C9F">
        <w:rPr>
          <w:sz w:val="20"/>
        </w:rPr>
        <w:t>, 14 May 2006.</w:t>
      </w:r>
    </w:p>
    <w:p w14:paraId="745D7CE7" w14:textId="77777777" w:rsidR="00B02871" w:rsidRPr="00D91C9F" w:rsidRDefault="00B02871" w:rsidP="00D91C9F">
      <w:pPr>
        <w:rPr>
          <w:sz w:val="20"/>
          <w:lang w:val="en-US"/>
        </w:rPr>
      </w:pPr>
    </w:p>
  </w:footnote>
  <w:footnote w:id="8">
    <w:p w14:paraId="418D91C5" w14:textId="77777777" w:rsidR="00B02871" w:rsidRPr="00D91C9F" w:rsidRDefault="00B02871" w:rsidP="00D91C9F">
      <w:pPr>
        <w:rPr>
          <w:sz w:val="20"/>
        </w:rPr>
      </w:pPr>
      <w:r w:rsidRPr="00D91C9F">
        <w:rPr>
          <w:rStyle w:val="FootnoteReference"/>
          <w:sz w:val="20"/>
        </w:rPr>
        <w:footnoteRef/>
      </w:r>
      <w:r w:rsidRPr="00D91C9F">
        <w:rPr>
          <w:sz w:val="20"/>
        </w:rPr>
        <w:t xml:space="preserve"> M. </w:t>
      </w:r>
      <w:proofErr w:type="spellStart"/>
      <w:r w:rsidRPr="00D91C9F">
        <w:rPr>
          <w:sz w:val="20"/>
        </w:rPr>
        <w:t>Fuster</w:t>
      </w:r>
      <w:proofErr w:type="spellEnd"/>
      <w:r w:rsidRPr="00D91C9F">
        <w:rPr>
          <w:sz w:val="20"/>
        </w:rPr>
        <w:t xml:space="preserve"> </w:t>
      </w:r>
      <w:proofErr w:type="spellStart"/>
      <w:r w:rsidRPr="00D91C9F">
        <w:rPr>
          <w:sz w:val="20"/>
        </w:rPr>
        <w:t>i</w:t>
      </w:r>
      <w:proofErr w:type="spellEnd"/>
      <w:r w:rsidRPr="00D91C9F">
        <w:rPr>
          <w:sz w:val="20"/>
        </w:rPr>
        <w:t xml:space="preserve"> Morell, ‘The new web communities and political culture’, in VV.AA., </w:t>
      </w:r>
      <w:r w:rsidRPr="00D91C9F">
        <w:rPr>
          <w:i/>
          <w:sz w:val="20"/>
        </w:rPr>
        <w:t>Networked Politics: Rethinking Political Organization in an Age of Movements and Networks</w:t>
      </w:r>
      <w:r w:rsidRPr="00D91C9F">
        <w:rPr>
          <w:sz w:val="20"/>
        </w:rPr>
        <w:t xml:space="preserve">, Seminar Networked Politics, Berlin, June 2007, </w:t>
      </w:r>
      <w:r w:rsidRPr="00D91C9F">
        <w:rPr>
          <w:sz w:val="20"/>
          <w:u w:color="103CC0"/>
        </w:rPr>
        <w:t>https://www.scribd.com/document/118788762/Networked-Politics-Rethinking-political-organization-in-an-age-of-movements-and-networks</w:t>
      </w:r>
      <w:r w:rsidRPr="00D91C9F">
        <w:rPr>
          <w:sz w:val="20"/>
        </w:rPr>
        <w:t>.</w:t>
      </w:r>
    </w:p>
    <w:p w14:paraId="6F1E031D" w14:textId="77777777" w:rsidR="00B02871" w:rsidRPr="00D91C9F" w:rsidRDefault="00B02871" w:rsidP="00D91C9F">
      <w:pPr>
        <w:rPr>
          <w:sz w:val="20"/>
          <w:lang w:val="en-US"/>
        </w:rPr>
      </w:pPr>
    </w:p>
  </w:footnote>
  <w:footnote w:id="9">
    <w:p w14:paraId="6D6A537D" w14:textId="77777777" w:rsidR="00B02871" w:rsidRPr="00D91C9F" w:rsidRDefault="00B02871" w:rsidP="00D91C9F">
      <w:pPr>
        <w:rPr>
          <w:sz w:val="20"/>
          <w:lang w:val="en-US"/>
        </w:rPr>
      </w:pPr>
      <w:r w:rsidRPr="00D91C9F">
        <w:rPr>
          <w:rStyle w:val="FootnoteReference"/>
          <w:sz w:val="20"/>
        </w:rPr>
        <w:footnoteRef/>
      </w:r>
      <w:r w:rsidRPr="00D91C9F">
        <w:rPr>
          <w:sz w:val="20"/>
        </w:rPr>
        <w:t xml:space="preserve"> </w:t>
      </w:r>
      <w:r w:rsidRPr="00D91C9F">
        <w:rPr>
          <w:sz w:val="20"/>
          <w:lang w:val="en-US"/>
        </w:rPr>
        <w:t>Goldsmith and Wu, Who Controls the Internet?</w:t>
      </w:r>
    </w:p>
  </w:footnote>
  <w:footnote w:id="10">
    <w:p w14:paraId="2311C83D" w14:textId="77777777" w:rsidR="00B02871" w:rsidRPr="00D91C9F" w:rsidRDefault="00B02871" w:rsidP="00D91C9F">
      <w:pPr>
        <w:rPr>
          <w:sz w:val="20"/>
        </w:rPr>
      </w:pPr>
      <w:r w:rsidRPr="00D91C9F">
        <w:rPr>
          <w:rStyle w:val="FootnoteReference"/>
          <w:sz w:val="20"/>
        </w:rPr>
        <w:footnoteRef/>
      </w:r>
      <w:r w:rsidRPr="00D91C9F">
        <w:rPr>
          <w:sz w:val="20"/>
        </w:rPr>
        <w:t xml:space="preserve"> </w:t>
      </w:r>
      <w:proofErr w:type="spellStart"/>
      <w:r w:rsidRPr="00D91C9F">
        <w:rPr>
          <w:sz w:val="20"/>
        </w:rPr>
        <w:t>Formenti</w:t>
      </w:r>
      <w:proofErr w:type="spellEnd"/>
      <w:r w:rsidRPr="00D91C9F">
        <w:rPr>
          <w:sz w:val="20"/>
        </w:rPr>
        <w:t>, ‘</w:t>
      </w:r>
      <w:proofErr w:type="spellStart"/>
      <w:r w:rsidRPr="00D91C9F">
        <w:rPr>
          <w:sz w:val="20"/>
        </w:rPr>
        <w:t>Composizione</w:t>
      </w:r>
      <w:proofErr w:type="spellEnd"/>
      <w:r w:rsidRPr="00D91C9F">
        <w:rPr>
          <w:sz w:val="20"/>
        </w:rPr>
        <w:t xml:space="preserve"> di </w:t>
      </w:r>
      <w:proofErr w:type="spellStart"/>
      <w:r w:rsidRPr="00D91C9F">
        <w:rPr>
          <w:sz w:val="20"/>
        </w:rPr>
        <w:t>classe</w:t>
      </w:r>
      <w:proofErr w:type="spellEnd"/>
      <w:r w:rsidRPr="00D91C9F">
        <w:rPr>
          <w:sz w:val="20"/>
        </w:rPr>
        <w:t xml:space="preserve">, </w:t>
      </w:r>
      <w:proofErr w:type="spellStart"/>
      <w:r w:rsidRPr="00D91C9F">
        <w:rPr>
          <w:sz w:val="20"/>
        </w:rPr>
        <w:t>tecnologie</w:t>
      </w:r>
      <w:proofErr w:type="spellEnd"/>
      <w:r w:rsidRPr="00D91C9F">
        <w:rPr>
          <w:sz w:val="20"/>
        </w:rPr>
        <w:t xml:space="preserve"> di rete e post-</w:t>
      </w:r>
      <w:proofErr w:type="spellStart"/>
      <w:r w:rsidRPr="00D91C9F">
        <w:rPr>
          <w:sz w:val="20"/>
        </w:rPr>
        <w:t>democrazia</w:t>
      </w:r>
      <w:proofErr w:type="spellEnd"/>
      <w:r w:rsidRPr="00D91C9F">
        <w:rPr>
          <w:sz w:val="20"/>
        </w:rPr>
        <w:t>’.</w:t>
      </w:r>
    </w:p>
    <w:p w14:paraId="7C3BA04D" w14:textId="77777777" w:rsidR="00B02871" w:rsidRPr="00D91C9F" w:rsidRDefault="00B02871" w:rsidP="00D91C9F">
      <w:pPr>
        <w:rPr>
          <w:sz w:val="20"/>
          <w:lang w:val="en-US"/>
        </w:rPr>
      </w:pPr>
    </w:p>
  </w:footnote>
  <w:footnote w:id="11">
    <w:p w14:paraId="1681A981" w14:textId="77777777" w:rsidR="00B02871" w:rsidRPr="00D91C9F" w:rsidRDefault="00B02871" w:rsidP="00D91C9F">
      <w:pPr>
        <w:rPr>
          <w:sz w:val="20"/>
        </w:rPr>
      </w:pPr>
      <w:r w:rsidRPr="00D91C9F">
        <w:rPr>
          <w:rStyle w:val="FootnoteReference"/>
          <w:sz w:val="20"/>
        </w:rPr>
        <w:footnoteRef/>
      </w:r>
      <w:r w:rsidRPr="00D91C9F">
        <w:rPr>
          <w:sz w:val="20"/>
        </w:rPr>
        <w:t xml:space="preserve"> G. </w:t>
      </w:r>
      <w:proofErr w:type="spellStart"/>
      <w:r w:rsidRPr="00D91C9F">
        <w:rPr>
          <w:sz w:val="20"/>
        </w:rPr>
        <w:t>Lovink</w:t>
      </w:r>
      <w:proofErr w:type="spellEnd"/>
      <w:r w:rsidRPr="00D91C9F">
        <w:rPr>
          <w:sz w:val="20"/>
        </w:rPr>
        <w:t xml:space="preserve">, </w:t>
      </w:r>
      <w:r w:rsidRPr="00D91C9F">
        <w:rPr>
          <w:i/>
          <w:sz w:val="20"/>
        </w:rPr>
        <w:t>Zero Comments</w:t>
      </w:r>
      <w:r w:rsidRPr="00D91C9F">
        <w:rPr>
          <w:sz w:val="20"/>
        </w:rPr>
        <w:t>, New York: Routledge, 2007.</w:t>
      </w:r>
    </w:p>
    <w:p w14:paraId="07507356" w14:textId="77777777" w:rsidR="00B02871" w:rsidRPr="00D91C9F" w:rsidRDefault="00B02871" w:rsidP="00D91C9F">
      <w:pPr>
        <w:rPr>
          <w:sz w:val="20"/>
          <w:lang w:val="en-US"/>
        </w:rPr>
      </w:pPr>
    </w:p>
  </w:footnote>
  <w:footnote w:id="12">
    <w:p w14:paraId="346569EF" w14:textId="77777777" w:rsidR="00B02871" w:rsidRPr="00D91C9F" w:rsidRDefault="00B02871" w:rsidP="00D91C9F">
      <w:pPr>
        <w:rPr>
          <w:sz w:val="20"/>
          <w:lang w:val="en-US"/>
        </w:rPr>
      </w:pPr>
      <w:r w:rsidRPr="00D91C9F">
        <w:rPr>
          <w:rStyle w:val="FootnoteReference"/>
          <w:sz w:val="20"/>
        </w:rPr>
        <w:footnoteRef/>
      </w:r>
      <w:r w:rsidRPr="00D91C9F">
        <w:rPr>
          <w:sz w:val="20"/>
        </w:rPr>
        <w:t xml:space="preserve"> </w:t>
      </w:r>
      <w:proofErr w:type="spellStart"/>
      <w:r w:rsidRPr="00D91C9F">
        <w:rPr>
          <w:sz w:val="20"/>
          <w:lang w:val="en-US"/>
        </w:rPr>
        <w:t>Lovink</w:t>
      </w:r>
      <w:proofErr w:type="spellEnd"/>
      <w:r w:rsidRPr="00D91C9F">
        <w:rPr>
          <w:sz w:val="20"/>
          <w:lang w:val="en-US"/>
        </w:rPr>
        <w:t>, Zero Comments.</w:t>
      </w:r>
    </w:p>
  </w:footnote>
  <w:footnote w:id="13">
    <w:p w14:paraId="319DB870" w14:textId="77777777" w:rsidR="00B02871" w:rsidRPr="00D91C9F" w:rsidRDefault="00B02871" w:rsidP="00D91C9F">
      <w:pPr>
        <w:rPr>
          <w:sz w:val="20"/>
        </w:rPr>
      </w:pPr>
      <w:r w:rsidRPr="00D91C9F">
        <w:rPr>
          <w:rStyle w:val="FootnoteReference"/>
          <w:sz w:val="20"/>
        </w:rPr>
        <w:footnoteRef/>
      </w:r>
      <w:r w:rsidRPr="00D91C9F">
        <w:rPr>
          <w:sz w:val="20"/>
        </w:rPr>
        <w:t xml:space="preserve"> B. Wellman, ‘Physical place and cyberplace: The rise of personalized networking’, </w:t>
      </w:r>
      <w:r w:rsidRPr="00D91C9F">
        <w:rPr>
          <w:i/>
          <w:sz w:val="20"/>
        </w:rPr>
        <w:t>International Journal of Urban and Regional Research</w:t>
      </w:r>
      <w:r w:rsidRPr="00D91C9F">
        <w:rPr>
          <w:sz w:val="20"/>
        </w:rPr>
        <w:t xml:space="preserve"> 25.2 (2001): 227-252.</w:t>
      </w:r>
    </w:p>
    <w:p w14:paraId="0AB96686" w14:textId="77777777" w:rsidR="00B02871" w:rsidRPr="00D91C9F" w:rsidRDefault="00B02871" w:rsidP="00D91C9F">
      <w:pPr>
        <w:rPr>
          <w:sz w:val="20"/>
          <w:lang w:val="en-US"/>
        </w:rPr>
      </w:pPr>
    </w:p>
  </w:footnote>
  <w:footnote w:id="14">
    <w:p w14:paraId="059EE140" w14:textId="77777777" w:rsidR="00B02871" w:rsidRPr="00D91C9F" w:rsidRDefault="00B02871" w:rsidP="00D91C9F">
      <w:pPr>
        <w:rPr>
          <w:sz w:val="20"/>
        </w:rPr>
      </w:pPr>
      <w:r w:rsidRPr="00D91C9F">
        <w:rPr>
          <w:rStyle w:val="FootnoteReference"/>
          <w:sz w:val="20"/>
        </w:rPr>
        <w:footnoteRef/>
      </w:r>
      <w:r w:rsidRPr="00D91C9F">
        <w:rPr>
          <w:sz w:val="20"/>
        </w:rPr>
        <w:t xml:space="preserve"> M. Castells, </w:t>
      </w:r>
      <w:r w:rsidRPr="00D91C9F">
        <w:rPr>
          <w:i/>
          <w:sz w:val="20"/>
        </w:rPr>
        <w:t>The Rise of The Network Society, Volume I: The Information Age</w:t>
      </w:r>
      <w:r w:rsidRPr="00D91C9F">
        <w:rPr>
          <w:sz w:val="20"/>
        </w:rPr>
        <w:t xml:space="preserve">, Oxford: Blackwell, 1996; </w:t>
      </w:r>
      <w:r w:rsidRPr="00D91C9F">
        <w:rPr>
          <w:i/>
          <w:sz w:val="20"/>
        </w:rPr>
        <w:t>Internet Galaxy</w:t>
      </w:r>
      <w:r w:rsidRPr="00D91C9F">
        <w:rPr>
          <w:sz w:val="20"/>
        </w:rPr>
        <w:t xml:space="preserve">, Oxford: Oxford University Press, 2001; ‘Space of Flows, Space of Places: Materials for a Theory of Urbanism in the Information Age’, in </w:t>
      </w:r>
      <w:proofErr w:type="spellStart"/>
      <w:proofErr w:type="gramStart"/>
      <w:r w:rsidRPr="00D91C9F">
        <w:rPr>
          <w:sz w:val="20"/>
        </w:rPr>
        <w:t>S.Graham</w:t>
      </w:r>
      <w:proofErr w:type="spellEnd"/>
      <w:proofErr w:type="gramEnd"/>
      <w:r w:rsidRPr="00D91C9F">
        <w:rPr>
          <w:sz w:val="20"/>
        </w:rPr>
        <w:t xml:space="preserve"> (ed.) </w:t>
      </w:r>
      <w:r w:rsidRPr="00D91C9F">
        <w:rPr>
          <w:i/>
          <w:sz w:val="20"/>
        </w:rPr>
        <w:t>The Cybercities Reader</w:t>
      </w:r>
      <w:r w:rsidRPr="00D91C9F">
        <w:rPr>
          <w:sz w:val="20"/>
        </w:rPr>
        <w:t>, London: Routledge, 2004.</w:t>
      </w:r>
    </w:p>
    <w:p w14:paraId="3B33FB10" w14:textId="77777777" w:rsidR="00B02871" w:rsidRPr="00D91C9F" w:rsidRDefault="00B02871" w:rsidP="00D91C9F">
      <w:pPr>
        <w:rPr>
          <w:sz w:val="20"/>
        </w:rPr>
      </w:pPr>
      <w:r w:rsidRPr="00D91C9F">
        <w:rPr>
          <w:sz w:val="20"/>
        </w:rPr>
        <w:t xml:space="preserve"> </w:t>
      </w:r>
    </w:p>
  </w:footnote>
  <w:footnote w:id="15">
    <w:p w14:paraId="54337219" w14:textId="77777777" w:rsidR="00B02871" w:rsidRPr="00D91C9F" w:rsidRDefault="00B02871" w:rsidP="00D91C9F">
      <w:pPr>
        <w:rPr>
          <w:sz w:val="20"/>
        </w:rPr>
      </w:pPr>
      <w:r w:rsidRPr="00D91C9F">
        <w:rPr>
          <w:rStyle w:val="FootnoteReference"/>
          <w:sz w:val="20"/>
        </w:rPr>
        <w:footnoteRef/>
      </w:r>
      <w:r w:rsidRPr="00D91C9F">
        <w:rPr>
          <w:sz w:val="20"/>
        </w:rPr>
        <w:t xml:space="preserve"> P. </w:t>
      </w:r>
      <w:proofErr w:type="spellStart"/>
      <w:r w:rsidRPr="00D91C9F">
        <w:rPr>
          <w:sz w:val="20"/>
        </w:rPr>
        <w:t>Flichy</w:t>
      </w:r>
      <w:proofErr w:type="spellEnd"/>
      <w:r w:rsidRPr="00D91C9F">
        <w:rPr>
          <w:sz w:val="20"/>
        </w:rPr>
        <w:t xml:space="preserve">, </w:t>
      </w:r>
      <w:proofErr w:type="spellStart"/>
      <w:r w:rsidRPr="00D91C9F">
        <w:rPr>
          <w:i/>
          <w:sz w:val="20"/>
        </w:rPr>
        <w:t>L’imaginaire</w:t>
      </w:r>
      <w:proofErr w:type="spellEnd"/>
      <w:r w:rsidRPr="00D91C9F">
        <w:rPr>
          <w:i/>
          <w:sz w:val="20"/>
        </w:rPr>
        <w:t xml:space="preserve"> </w:t>
      </w:r>
      <w:proofErr w:type="spellStart"/>
      <w:r w:rsidRPr="00D91C9F">
        <w:rPr>
          <w:i/>
          <w:sz w:val="20"/>
        </w:rPr>
        <w:t>d’Internet</w:t>
      </w:r>
      <w:proofErr w:type="spellEnd"/>
      <w:r w:rsidRPr="00D91C9F">
        <w:rPr>
          <w:sz w:val="20"/>
        </w:rPr>
        <w:t xml:space="preserve">, Paris: La </w:t>
      </w:r>
      <w:proofErr w:type="spellStart"/>
      <w:r w:rsidRPr="00D91C9F">
        <w:rPr>
          <w:sz w:val="20"/>
        </w:rPr>
        <w:t>Découverte</w:t>
      </w:r>
      <w:proofErr w:type="spellEnd"/>
      <w:r w:rsidRPr="00D91C9F">
        <w:rPr>
          <w:sz w:val="20"/>
        </w:rPr>
        <w:t>, 2001, see section 1.2.1 in this book.</w:t>
      </w:r>
    </w:p>
  </w:footnote>
  <w:footnote w:id="16">
    <w:p w14:paraId="54AD0864" w14:textId="77777777" w:rsidR="00B02871" w:rsidRPr="00D91C9F" w:rsidRDefault="00B02871" w:rsidP="00D91C9F">
      <w:pPr>
        <w:rPr>
          <w:sz w:val="20"/>
        </w:rPr>
      </w:pPr>
      <w:r w:rsidRPr="00D91C9F">
        <w:rPr>
          <w:rStyle w:val="FootnoteReference"/>
          <w:sz w:val="20"/>
        </w:rPr>
        <w:footnoteRef/>
      </w:r>
      <w:r w:rsidRPr="00D91C9F">
        <w:rPr>
          <w:sz w:val="20"/>
        </w:rPr>
        <w:t xml:space="preserve"> Turner, From Counterculture to Cyberculture. </w:t>
      </w:r>
    </w:p>
    <w:p w14:paraId="0D27BFF8" w14:textId="77777777" w:rsidR="00B02871" w:rsidRPr="00D91C9F" w:rsidRDefault="00B02871" w:rsidP="00D91C9F">
      <w:pPr>
        <w:rPr>
          <w:sz w:val="20"/>
          <w:lang w:val="en-US"/>
        </w:rPr>
      </w:pPr>
    </w:p>
  </w:footnote>
  <w:footnote w:id="17">
    <w:p w14:paraId="48FC4630" w14:textId="77777777" w:rsidR="00B02871" w:rsidRPr="00D91C9F" w:rsidRDefault="00B02871" w:rsidP="00D91C9F">
      <w:pPr>
        <w:rPr>
          <w:sz w:val="20"/>
        </w:rPr>
      </w:pPr>
      <w:r w:rsidRPr="00D91C9F">
        <w:rPr>
          <w:rStyle w:val="FootnoteReference"/>
          <w:sz w:val="20"/>
        </w:rPr>
        <w:footnoteRef/>
      </w:r>
      <w:r w:rsidRPr="00D91C9F">
        <w:rPr>
          <w:sz w:val="20"/>
        </w:rPr>
        <w:t xml:space="preserve"> G. </w:t>
      </w:r>
      <w:proofErr w:type="spellStart"/>
      <w:r w:rsidRPr="00D91C9F">
        <w:rPr>
          <w:sz w:val="20"/>
        </w:rPr>
        <w:t>Lovink</w:t>
      </w:r>
      <w:proofErr w:type="spellEnd"/>
      <w:r w:rsidRPr="00D91C9F">
        <w:rPr>
          <w:sz w:val="20"/>
        </w:rPr>
        <w:t xml:space="preserve"> and N. Rossiter, ‘Dawn of the Organised Networks’, </w:t>
      </w:r>
      <w:proofErr w:type="spellStart"/>
      <w:r w:rsidRPr="00D91C9F">
        <w:rPr>
          <w:i/>
          <w:sz w:val="20"/>
        </w:rPr>
        <w:t>Fibreculture</w:t>
      </w:r>
      <w:proofErr w:type="spellEnd"/>
      <w:r w:rsidRPr="00D91C9F">
        <w:rPr>
          <w:i/>
          <w:sz w:val="20"/>
        </w:rPr>
        <w:t xml:space="preserve"> Journal</w:t>
      </w:r>
      <w:r w:rsidRPr="00D91C9F">
        <w:rPr>
          <w:sz w:val="20"/>
        </w:rPr>
        <w:t xml:space="preserve"> 5.29 (2005), http://five.fibreculturejournal.org/fcj-029-dawn-of-the-organised-networks/. Note to the 2018 Edition: this early insight was further developed in G. </w:t>
      </w:r>
      <w:proofErr w:type="spellStart"/>
      <w:r w:rsidRPr="00D91C9F">
        <w:rPr>
          <w:sz w:val="20"/>
        </w:rPr>
        <w:t>Lovink</w:t>
      </w:r>
      <w:proofErr w:type="spellEnd"/>
      <w:r w:rsidRPr="00D91C9F">
        <w:rPr>
          <w:sz w:val="20"/>
        </w:rPr>
        <w:t xml:space="preserve"> and N. Rossiter, </w:t>
      </w:r>
      <w:r w:rsidRPr="00D91C9F">
        <w:rPr>
          <w:i/>
          <w:sz w:val="20"/>
        </w:rPr>
        <w:t>Organization after Social Media</w:t>
      </w:r>
      <w:r w:rsidRPr="00D91C9F">
        <w:rPr>
          <w:sz w:val="20"/>
        </w:rPr>
        <w:t xml:space="preserve">, </w:t>
      </w:r>
      <w:r w:rsidRPr="00D91C9F">
        <w:rPr>
          <w:rStyle w:val="a"/>
          <w:color w:val="231F20"/>
          <w:spacing w:val="-15"/>
          <w:sz w:val="20"/>
        </w:rPr>
        <w:t>Colchester / New York / Port Watson</w:t>
      </w:r>
      <w:r w:rsidRPr="00D91C9F">
        <w:rPr>
          <w:sz w:val="20"/>
        </w:rPr>
        <w:t xml:space="preserve">: </w:t>
      </w:r>
      <w:r w:rsidRPr="00D91C9F">
        <w:rPr>
          <w:rStyle w:val="a"/>
          <w:color w:val="231F20"/>
          <w:sz w:val="20"/>
        </w:rPr>
        <w:t>Minor Compositions, 2018</w:t>
      </w:r>
      <w:r w:rsidRPr="00D91C9F">
        <w:rPr>
          <w:sz w:val="20"/>
        </w:rPr>
        <w:t>.</w:t>
      </w:r>
    </w:p>
    <w:p w14:paraId="111D8904" w14:textId="77777777" w:rsidR="00B02871" w:rsidRPr="00D91C9F" w:rsidRDefault="00B02871" w:rsidP="00D91C9F">
      <w:pPr>
        <w:rPr>
          <w:sz w:val="20"/>
          <w:lang w:val="en-US"/>
        </w:rPr>
      </w:pPr>
    </w:p>
  </w:footnote>
  <w:footnote w:id="18">
    <w:p w14:paraId="351E0F4F" w14:textId="77777777" w:rsidR="00B02871" w:rsidRPr="00D91C9F" w:rsidRDefault="00B02871" w:rsidP="00D91C9F">
      <w:pPr>
        <w:rPr>
          <w:sz w:val="20"/>
          <w:highlight w:val="green"/>
        </w:rPr>
      </w:pPr>
      <w:r w:rsidRPr="00D91C9F">
        <w:rPr>
          <w:rStyle w:val="FootnoteReference"/>
          <w:sz w:val="20"/>
        </w:rPr>
        <w:footnoteRef/>
      </w:r>
      <w:r w:rsidRPr="00D91C9F">
        <w:rPr>
          <w:sz w:val="20"/>
        </w:rPr>
        <w:t xml:space="preserve"> F. </w:t>
      </w:r>
      <w:proofErr w:type="spellStart"/>
      <w:r w:rsidRPr="00D91C9F">
        <w:rPr>
          <w:sz w:val="20"/>
        </w:rPr>
        <w:t>Tönnies</w:t>
      </w:r>
      <w:proofErr w:type="spellEnd"/>
      <w:r w:rsidRPr="00D91C9F">
        <w:rPr>
          <w:sz w:val="20"/>
        </w:rPr>
        <w:t xml:space="preserve">, </w:t>
      </w:r>
      <w:r w:rsidRPr="00D91C9F">
        <w:rPr>
          <w:i/>
          <w:sz w:val="20"/>
        </w:rPr>
        <w:t xml:space="preserve">Gemeinschaft und Gesellschaft, </w:t>
      </w:r>
      <w:r w:rsidRPr="00D91C9F">
        <w:rPr>
          <w:sz w:val="20"/>
        </w:rPr>
        <w:t xml:space="preserve">Leipzig: </w:t>
      </w:r>
      <w:proofErr w:type="spellStart"/>
      <w:r w:rsidRPr="00D91C9F">
        <w:rPr>
          <w:sz w:val="20"/>
        </w:rPr>
        <w:t>Buske</w:t>
      </w:r>
      <w:proofErr w:type="spellEnd"/>
      <w:r w:rsidRPr="00D91C9F">
        <w:rPr>
          <w:sz w:val="20"/>
        </w:rPr>
        <w:t xml:space="preserve">, 8th edition 1935. English translation by C. P. Loomis, </w:t>
      </w:r>
      <w:r w:rsidRPr="00D91C9F">
        <w:rPr>
          <w:i/>
          <w:sz w:val="20"/>
        </w:rPr>
        <w:t>Community and Society</w:t>
      </w:r>
      <w:r w:rsidRPr="00D91C9F">
        <w:rPr>
          <w:sz w:val="20"/>
        </w:rPr>
        <w:t xml:space="preserve">, </w:t>
      </w:r>
      <w:r w:rsidRPr="00D91C9F">
        <w:rPr>
          <w:sz w:val="20"/>
        </w:rPr>
        <w:tab/>
        <w:t>Mineola, N.Y.: Dover Publications, 2002.</w:t>
      </w:r>
    </w:p>
    <w:p w14:paraId="5D3E0DA8" w14:textId="77777777" w:rsidR="00B02871" w:rsidRPr="00D91C9F" w:rsidRDefault="00B02871" w:rsidP="00D91C9F">
      <w:pPr>
        <w:rPr>
          <w:sz w:val="20"/>
          <w:lang w:val="en-US"/>
        </w:rPr>
      </w:pPr>
    </w:p>
  </w:footnote>
  <w:footnote w:id="19">
    <w:p w14:paraId="309EDC92" w14:textId="77777777" w:rsidR="00B02871" w:rsidRPr="00D91C9F" w:rsidRDefault="00B02871" w:rsidP="00D91C9F">
      <w:pPr>
        <w:rPr>
          <w:sz w:val="20"/>
        </w:rPr>
      </w:pPr>
      <w:r w:rsidRPr="00D91C9F">
        <w:rPr>
          <w:rStyle w:val="FootnoteReference"/>
          <w:sz w:val="20"/>
        </w:rPr>
        <w:footnoteRef/>
      </w:r>
      <w:r w:rsidRPr="00D91C9F">
        <w:rPr>
          <w:sz w:val="20"/>
        </w:rPr>
        <w:t xml:space="preserve"> É. Durkheim, </w:t>
      </w:r>
      <w:r w:rsidRPr="00D91C9F">
        <w:rPr>
          <w:i/>
          <w:sz w:val="20"/>
        </w:rPr>
        <w:t>De la division du travail social</w:t>
      </w:r>
      <w:r w:rsidRPr="00D91C9F">
        <w:rPr>
          <w:sz w:val="20"/>
        </w:rPr>
        <w:t xml:space="preserve">, Paris: PUF, 8th edition 1967. English translation by G. Simpson, </w:t>
      </w:r>
      <w:r w:rsidRPr="00D91C9F">
        <w:rPr>
          <w:i/>
          <w:sz w:val="20"/>
        </w:rPr>
        <w:t>On the Division of Labour in Society,</w:t>
      </w:r>
      <w:r w:rsidRPr="00D91C9F">
        <w:rPr>
          <w:sz w:val="20"/>
        </w:rPr>
        <w:t xml:space="preserve"> New York: The MacMillan Company, 1933. </w:t>
      </w:r>
    </w:p>
    <w:p w14:paraId="59808E27" w14:textId="77777777" w:rsidR="00B02871" w:rsidRPr="00D91C9F" w:rsidRDefault="00B02871" w:rsidP="00D91C9F">
      <w:pPr>
        <w:rPr>
          <w:sz w:val="20"/>
          <w:lang w:val="en-US"/>
        </w:rPr>
      </w:pPr>
    </w:p>
  </w:footnote>
  <w:footnote w:id="20">
    <w:p w14:paraId="33DA4217" w14:textId="77777777" w:rsidR="00B02871" w:rsidRPr="00D91C9F" w:rsidRDefault="00B02871" w:rsidP="00D91C9F">
      <w:pPr>
        <w:rPr>
          <w:sz w:val="20"/>
        </w:rPr>
      </w:pPr>
      <w:r w:rsidRPr="00D91C9F">
        <w:rPr>
          <w:rStyle w:val="FootnoteReference"/>
          <w:sz w:val="20"/>
        </w:rPr>
        <w:footnoteRef/>
      </w:r>
      <w:r w:rsidRPr="00D91C9F">
        <w:rPr>
          <w:sz w:val="20"/>
        </w:rPr>
        <w:t xml:space="preserve"> U. Beck, The Reinvention of Politics: Rethinking Modernity in the Global Social Order, London: Polity Press, 1996;</w:t>
      </w:r>
    </w:p>
    <w:p w14:paraId="5726309D" w14:textId="77777777" w:rsidR="00B02871" w:rsidRPr="00D91C9F" w:rsidRDefault="00B02871" w:rsidP="00D91C9F">
      <w:pPr>
        <w:rPr>
          <w:sz w:val="20"/>
        </w:rPr>
      </w:pPr>
      <w:r w:rsidRPr="00D91C9F">
        <w:rPr>
          <w:sz w:val="20"/>
        </w:rPr>
        <w:t xml:space="preserve">Castells, The Rise of the Network Society; The Power of Identity; The End of the Millennium; </w:t>
      </w:r>
    </w:p>
    <w:p w14:paraId="6F23E314" w14:textId="77777777" w:rsidR="00B02871" w:rsidRPr="00D91C9F" w:rsidRDefault="00B02871" w:rsidP="00D91C9F">
      <w:pPr>
        <w:rPr>
          <w:sz w:val="20"/>
        </w:rPr>
      </w:pPr>
      <w:r w:rsidRPr="00D91C9F">
        <w:rPr>
          <w:sz w:val="20"/>
        </w:rPr>
        <w:t>A. Giddens, Modernity and Self-Identity: Self and Society in the Late Modern Age, London: Polity Press, 1991;</w:t>
      </w:r>
    </w:p>
    <w:p w14:paraId="4ECB739F" w14:textId="77777777" w:rsidR="00B02871" w:rsidRPr="00D91C9F" w:rsidRDefault="00B02871" w:rsidP="00D91C9F">
      <w:pPr>
        <w:rPr>
          <w:sz w:val="20"/>
        </w:rPr>
      </w:pPr>
      <w:r w:rsidRPr="00D91C9F">
        <w:rPr>
          <w:sz w:val="20"/>
        </w:rPr>
        <w:t>Wellman, ‘Physical place and cyberplace’, see section 3.1 in this book.</w:t>
      </w:r>
    </w:p>
    <w:p w14:paraId="6E1F7041" w14:textId="77777777" w:rsidR="00B02871" w:rsidRPr="00D91C9F" w:rsidRDefault="00B02871" w:rsidP="00D91C9F">
      <w:pPr>
        <w:rPr>
          <w:sz w:val="20"/>
          <w:lang w:val="en-US"/>
        </w:rPr>
      </w:pPr>
    </w:p>
  </w:footnote>
  <w:footnote w:id="21">
    <w:p w14:paraId="4722511E" w14:textId="77777777" w:rsidR="00B02871" w:rsidRPr="00D91C9F" w:rsidRDefault="00B02871" w:rsidP="00D91C9F">
      <w:pPr>
        <w:rPr>
          <w:sz w:val="20"/>
        </w:rPr>
      </w:pPr>
      <w:r w:rsidRPr="00D91C9F">
        <w:rPr>
          <w:rStyle w:val="FootnoteReference"/>
          <w:sz w:val="20"/>
        </w:rPr>
        <w:footnoteRef/>
      </w:r>
      <w:r w:rsidRPr="00D91C9F">
        <w:rPr>
          <w:sz w:val="20"/>
        </w:rPr>
        <w:t xml:space="preserve">G.S. Jones, </w:t>
      </w:r>
      <w:proofErr w:type="spellStart"/>
      <w:r w:rsidRPr="00D91C9F">
        <w:rPr>
          <w:sz w:val="20"/>
        </w:rPr>
        <w:t>Cybersociety</w:t>
      </w:r>
      <w:proofErr w:type="spellEnd"/>
      <w:r w:rsidRPr="00D91C9F">
        <w:rPr>
          <w:sz w:val="20"/>
        </w:rPr>
        <w:t xml:space="preserve"> 2.0: Revisiting Computer-Mediated Communication and Community, Thousand Oaks, Cal.: Sage Publications, 1998;</w:t>
      </w:r>
    </w:p>
    <w:p w14:paraId="0A8ECE22" w14:textId="77777777" w:rsidR="00B02871" w:rsidRPr="00D91C9F" w:rsidRDefault="00B02871" w:rsidP="00D91C9F">
      <w:pPr>
        <w:rPr>
          <w:sz w:val="20"/>
        </w:rPr>
      </w:pPr>
      <w:r w:rsidRPr="00D91C9F">
        <w:rPr>
          <w:sz w:val="20"/>
        </w:rPr>
        <w:t xml:space="preserve">A.J. Kim, Community Building on the Web: Secret Strategies for Successful Online Communities, London: Addison Wesley, 2000; </w:t>
      </w:r>
    </w:p>
    <w:p w14:paraId="2386A6D9" w14:textId="77777777" w:rsidR="00B02871" w:rsidRPr="00D91C9F" w:rsidRDefault="00B02871" w:rsidP="00D91C9F">
      <w:pPr>
        <w:rPr>
          <w:sz w:val="20"/>
        </w:rPr>
      </w:pPr>
      <w:r w:rsidRPr="00D91C9F">
        <w:rPr>
          <w:sz w:val="20"/>
        </w:rPr>
        <w:t xml:space="preserve">M. Smith, </w:t>
      </w:r>
      <w:r w:rsidRPr="00D91C9F">
        <w:rPr>
          <w:i/>
          <w:sz w:val="20"/>
        </w:rPr>
        <w:t>Voices from the WELL: The Logic of the Virtual Commons</w:t>
      </w:r>
      <w:r w:rsidRPr="00D91C9F">
        <w:rPr>
          <w:sz w:val="20"/>
        </w:rPr>
        <w:t>, Unpublished Dissertation, University of California Los Angeles Los Angeles, 1992, https://dlc.dlib.indiana.edu/dlc/bitstream/handle/10535/4363/Voices_from_the_WELL.pdf?sequence=1&amp;isAllowed=y.</w:t>
      </w:r>
    </w:p>
    <w:p w14:paraId="7FBBAB05" w14:textId="77777777" w:rsidR="00B02871" w:rsidRPr="00D91C9F" w:rsidRDefault="00B02871" w:rsidP="00D91C9F">
      <w:pPr>
        <w:rPr>
          <w:sz w:val="20"/>
        </w:rPr>
      </w:pPr>
      <w:r w:rsidRPr="00D91C9F">
        <w:rPr>
          <w:sz w:val="20"/>
        </w:rPr>
        <w:t xml:space="preserve">M. Smith and P. </w:t>
      </w:r>
      <w:proofErr w:type="spellStart"/>
      <w:r w:rsidRPr="00D91C9F">
        <w:rPr>
          <w:sz w:val="20"/>
        </w:rPr>
        <w:t>Kollock</w:t>
      </w:r>
      <w:proofErr w:type="spellEnd"/>
      <w:r w:rsidRPr="00D91C9F">
        <w:rPr>
          <w:sz w:val="20"/>
        </w:rPr>
        <w:t xml:space="preserve">, </w:t>
      </w:r>
      <w:r w:rsidRPr="00D91C9F">
        <w:rPr>
          <w:i/>
          <w:sz w:val="20"/>
        </w:rPr>
        <w:t>Communities in Cyberspace</w:t>
      </w:r>
      <w:r w:rsidRPr="00D91C9F">
        <w:rPr>
          <w:sz w:val="20"/>
        </w:rPr>
        <w:t xml:space="preserve">, New York: Routledge, 1999; </w:t>
      </w:r>
    </w:p>
    <w:p w14:paraId="5D9CD700" w14:textId="77777777" w:rsidR="00B02871" w:rsidRPr="00D91C9F" w:rsidRDefault="00B02871" w:rsidP="00D91C9F">
      <w:pPr>
        <w:rPr>
          <w:sz w:val="20"/>
        </w:rPr>
      </w:pPr>
      <w:r w:rsidRPr="00D91C9F">
        <w:rPr>
          <w:sz w:val="20"/>
        </w:rPr>
        <w:t xml:space="preserve">M. Taylor, </w:t>
      </w:r>
      <w:r w:rsidRPr="00D91C9F">
        <w:rPr>
          <w:i/>
          <w:sz w:val="20"/>
        </w:rPr>
        <w:t>The Possibility of Cooperation</w:t>
      </w:r>
      <w:r w:rsidRPr="00D91C9F">
        <w:rPr>
          <w:sz w:val="20"/>
        </w:rPr>
        <w:t>, Cambridge: Cambridge University Press, 1987.</w:t>
      </w:r>
    </w:p>
    <w:p w14:paraId="64F10253" w14:textId="77777777" w:rsidR="00B02871" w:rsidRPr="00D91C9F" w:rsidRDefault="00B02871" w:rsidP="00D91C9F">
      <w:pPr>
        <w:rPr>
          <w:sz w:val="20"/>
          <w:lang w:val="en-US"/>
        </w:rPr>
      </w:pPr>
    </w:p>
  </w:footnote>
  <w:footnote w:id="22">
    <w:p w14:paraId="0CF31681" w14:textId="77777777" w:rsidR="00B02871" w:rsidRPr="00D91C9F" w:rsidRDefault="00B02871" w:rsidP="00D91C9F">
      <w:pPr>
        <w:rPr>
          <w:sz w:val="20"/>
        </w:rPr>
      </w:pPr>
      <w:r w:rsidRPr="00D91C9F">
        <w:rPr>
          <w:rStyle w:val="FootnoteReference"/>
          <w:sz w:val="20"/>
        </w:rPr>
        <w:footnoteRef/>
      </w:r>
      <w:r w:rsidRPr="00D91C9F">
        <w:rPr>
          <w:sz w:val="20"/>
        </w:rPr>
        <w:t xml:space="preserve"> G. </w:t>
      </w:r>
      <w:proofErr w:type="spellStart"/>
      <w:r w:rsidRPr="00D91C9F">
        <w:rPr>
          <w:sz w:val="20"/>
        </w:rPr>
        <w:t>Gasperoni</w:t>
      </w:r>
      <w:proofErr w:type="spellEnd"/>
      <w:r w:rsidRPr="00D91C9F">
        <w:rPr>
          <w:sz w:val="20"/>
        </w:rPr>
        <w:t xml:space="preserve">, and A. </w:t>
      </w:r>
      <w:proofErr w:type="spellStart"/>
      <w:r w:rsidRPr="00D91C9F">
        <w:rPr>
          <w:sz w:val="20"/>
        </w:rPr>
        <w:t>Marradi</w:t>
      </w:r>
      <w:proofErr w:type="spellEnd"/>
      <w:r w:rsidRPr="00D91C9F">
        <w:rPr>
          <w:sz w:val="20"/>
        </w:rPr>
        <w:t>. ‘</w:t>
      </w:r>
      <w:proofErr w:type="spellStart"/>
      <w:r w:rsidRPr="00D91C9F">
        <w:rPr>
          <w:sz w:val="20"/>
        </w:rPr>
        <w:t>Metodo</w:t>
      </w:r>
      <w:proofErr w:type="spellEnd"/>
      <w:r w:rsidRPr="00D91C9F">
        <w:rPr>
          <w:sz w:val="20"/>
        </w:rPr>
        <w:t xml:space="preserve"> e </w:t>
      </w:r>
      <w:proofErr w:type="spellStart"/>
      <w:r w:rsidRPr="00D91C9F">
        <w:rPr>
          <w:sz w:val="20"/>
        </w:rPr>
        <w:t>tecniche</w:t>
      </w:r>
      <w:proofErr w:type="spellEnd"/>
      <w:r w:rsidRPr="00D91C9F">
        <w:rPr>
          <w:sz w:val="20"/>
        </w:rPr>
        <w:t xml:space="preserve"> </w:t>
      </w:r>
      <w:proofErr w:type="spellStart"/>
      <w:r w:rsidRPr="00D91C9F">
        <w:rPr>
          <w:sz w:val="20"/>
        </w:rPr>
        <w:t>nelle</w:t>
      </w:r>
      <w:proofErr w:type="spellEnd"/>
      <w:r w:rsidRPr="00D91C9F">
        <w:rPr>
          <w:sz w:val="20"/>
        </w:rPr>
        <w:t xml:space="preserve"> </w:t>
      </w:r>
      <w:proofErr w:type="spellStart"/>
      <w:r w:rsidRPr="00D91C9F">
        <w:rPr>
          <w:sz w:val="20"/>
        </w:rPr>
        <w:t>scienze</w:t>
      </w:r>
      <w:proofErr w:type="spellEnd"/>
      <w:r w:rsidRPr="00D91C9F">
        <w:rPr>
          <w:sz w:val="20"/>
        </w:rPr>
        <w:t xml:space="preserve"> </w:t>
      </w:r>
      <w:proofErr w:type="spellStart"/>
      <w:r w:rsidRPr="00D91C9F">
        <w:rPr>
          <w:sz w:val="20"/>
        </w:rPr>
        <w:t>sociali</w:t>
      </w:r>
      <w:proofErr w:type="spellEnd"/>
      <w:r w:rsidRPr="00D91C9F">
        <w:rPr>
          <w:sz w:val="20"/>
        </w:rPr>
        <w:t xml:space="preserve">’, in </w:t>
      </w:r>
      <w:proofErr w:type="spellStart"/>
      <w:r w:rsidRPr="00D91C9F">
        <w:rPr>
          <w:i/>
          <w:sz w:val="20"/>
        </w:rPr>
        <w:t>Enciclopedia</w:t>
      </w:r>
      <w:proofErr w:type="spellEnd"/>
      <w:r w:rsidRPr="00D91C9F">
        <w:rPr>
          <w:i/>
          <w:sz w:val="20"/>
        </w:rPr>
        <w:t xml:space="preserve"> </w:t>
      </w:r>
      <w:proofErr w:type="spellStart"/>
      <w:r w:rsidRPr="00D91C9F">
        <w:rPr>
          <w:i/>
          <w:sz w:val="20"/>
        </w:rPr>
        <w:t>delle</w:t>
      </w:r>
      <w:proofErr w:type="spellEnd"/>
      <w:r w:rsidRPr="00D91C9F">
        <w:rPr>
          <w:i/>
          <w:sz w:val="20"/>
        </w:rPr>
        <w:t xml:space="preserve"> </w:t>
      </w:r>
      <w:proofErr w:type="spellStart"/>
      <w:r w:rsidRPr="00D91C9F">
        <w:rPr>
          <w:i/>
          <w:sz w:val="20"/>
        </w:rPr>
        <w:t>Scienze</w:t>
      </w:r>
      <w:proofErr w:type="spellEnd"/>
      <w:r w:rsidRPr="00D91C9F">
        <w:rPr>
          <w:i/>
          <w:sz w:val="20"/>
        </w:rPr>
        <w:t xml:space="preserve"> </w:t>
      </w:r>
      <w:proofErr w:type="spellStart"/>
      <w:r w:rsidRPr="00D91C9F">
        <w:rPr>
          <w:i/>
          <w:sz w:val="20"/>
        </w:rPr>
        <w:t>Sociali</w:t>
      </w:r>
      <w:proofErr w:type="spellEnd"/>
      <w:r w:rsidRPr="00D91C9F">
        <w:rPr>
          <w:sz w:val="20"/>
        </w:rPr>
        <w:t xml:space="preserve">, vol. v, Roma: </w:t>
      </w:r>
      <w:proofErr w:type="spellStart"/>
      <w:r w:rsidRPr="00D91C9F">
        <w:rPr>
          <w:sz w:val="20"/>
        </w:rPr>
        <w:t>Istituto</w:t>
      </w:r>
      <w:proofErr w:type="spellEnd"/>
      <w:r w:rsidRPr="00D91C9F">
        <w:rPr>
          <w:sz w:val="20"/>
        </w:rPr>
        <w:t xml:space="preserve"> </w:t>
      </w:r>
      <w:proofErr w:type="spellStart"/>
      <w:r w:rsidRPr="00D91C9F">
        <w:rPr>
          <w:sz w:val="20"/>
        </w:rPr>
        <w:t>della</w:t>
      </w:r>
      <w:proofErr w:type="spellEnd"/>
      <w:r w:rsidRPr="00D91C9F">
        <w:rPr>
          <w:sz w:val="20"/>
        </w:rPr>
        <w:t xml:space="preserve"> </w:t>
      </w:r>
      <w:proofErr w:type="spellStart"/>
      <w:r w:rsidRPr="00D91C9F">
        <w:rPr>
          <w:sz w:val="20"/>
        </w:rPr>
        <w:t>Enciclopedia</w:t>
      </w:r>
      <w:proofErr w:type="spellEnd"/>
      <w:r w:rsidRPr="00D91C9F">
        <w:rPr>
          <w:sz w:val="20"/>
        </w:rPr>
        <w:t xml:space="preserve"> </w:t>
      </w:r>
      <w:proofErr w:type="spellStart"/>
      <w:r w:rsidRPr="00D91C9F">
        <w:rPr>
          <w:sz w:val="20"/>
        </w:rPr>
        <w:t>Italiana</w:t>
      </w:r>
      <w:proofErr w:type="spellEnd"/>
      <w:r w:rsidRPr="00D91C9F">
        <w:rPr>
          <w:sz w:val="20"/>
        </w:rPr>
        <w:t>, 1996.</w:t>
      </w:r>
    </w:p>
    <w:p w14:paraId="64B2F900" w14:textId="77777777" w:rsidR="00B02871" w:rsidRPr="00D91C9F" w:rsidRDefault="00B02871" w:rsidP="00D91C9F">
      <w:pPr>
        <w:rPr>
          <w:sz w:val="20"/>
        </w:rPr>
      </w:pPr>
    </w:p>
  </w:footnote>
  <w:footnote w:id="23">
    <w:p w14:paraId="4107604C" w14:textId="77777777" w:rsidR="00B02871" w:rsidRPr="00D91C9F" w:rsidRDefault="00B02871" w:rsidP="00D91C9F">
      <w:pPr>
        <w:rPr>
          <w:sz w:val="20"/>
        </w:rPr>
      </w:pPr>
      <w:r w:rsidRPr="00D91C9F">
        <w:rPr>
          <w:rStyle w:val="FootnoteReference"/>
          <w:sz w:val="20"/>
        </w:rPr>
        <w:footnoteRef/>
      </w:r>
      <w:r w:rsidRPr="00D91C9F">
        <w:rPr>
          <w:sz w:val="20"/>
        </w:rPr>
        <w:t xml:space="preserve"> B. Latour, Reassembling the Social. An Introduction to Actor-Network-Theory, Oxford: Oxford University Press, 2005, p. 35.</w:t>
      </w:r>
    </w:p>
    <w:p w14:paraId="530621A5" w14:textId="77777777" w:rsidR="00B02871" w:rsidRPr="00D91C9F" w:rsidRDefault="00B02871" w:rsidP="00D91C9F">
      <w:pPr>
        <w:rPr>
          <w:sz w:val="20"/>
          <w:lang w:val="en-US"/>
        </w:rPr>
      </w:pPr>
    </w:p>
  </w:footnote>
  <w:footnote w:id="24">
    <w:p w14:paraId="2D458F35" w14:textId="77777777" w:rsidR="00B02871" w:rsidRPr="00D91C9F" w:rsidRDefault="00B02871" w:rsidP="00D91C9F">
      <w:pPr>
        <w:rPr>
          <w:sz w:val="20"/>
        </w:rPr>
      </w:pPr>
      <w:r w:rsidRPr="00D91C9F">
        <w:rPr>
          <w:rStyle w:val="FootnoteReference"/>
          <w:sz w:val="20"/>
        </w:rPr>
        <w:footnoteRef/>
      </w:r>
      <w:r w:rsidRPr="00D91C9F">
        <w:rPr>
          <w:sz w:val="20"/>
        </w:rPr>
        <w:t xml:space="preserve"> Smith, Voices from the WELL.</w:t>
      </w:r>
    </w:p>
    <w:p w14:paraId="6093BD0B" w14:textId="77777777" w:rsidR="00B02871" w:rsidRPr="00D91C9F" w:rsidRDefault="00B02871" w:rsidP="00D91C9F">
      <w:pPr>
        <w:rPr>
          <w:sz w:val="20"/>
          <w:lang w:val="en-US"/>
        </w:rPr>
      </w:pPr>
    </w:p>
  </w:footnote>
  <w:footnote w:id="25">
    <w:p w14:paraId="1EC83234" w14:textId="77777777" w:rsidR="00B02871" w:rsidRPr="00D91C9F" w:rsidRDefault="00B02871" w:rsidP="00D91C9F">
      <w:pPr>
        <w:rPr>
          <w:sz w:val="20"/>
        </w:rPr>
      </w:pPr>
      <w:r w:rsidRPr="00D91C9F">
        <w:rPr>
          <w:rStyle w:val="FootnoteReference"/>
          <w:sz w:val="20"/>
        </w:rPr>
        <w:footnoteRef/>
      </w:r>
      <w:r w:rsidRPr="00D91C9F">
        <w:rPr>
          <w:sz w:val="20"/>
        </w:rPr>
        <w:t xml:space="preserve"> H. Rheingold, </w:t>
      </w:r>
      <w:r w:rsidRPr="00D91C9F">
        <w:rPr>
          <w:i/>
          <w:sz w:val="20"/>
        </w:rPr>
        <w:t>The Virtual Community: Homesteading on the Electronic Frontier</w:t>
      </w:r>
      <w:r w:rsidRPr="00D91C9F">
        <w:rPr>
          <w:sz w:val="20"/>
        </w:rPr>
        <w:t>, Reading, Mass.: Addison-Wesley, 1993 (2000);</w:t>
      </w:r>
    </w:p>
    <w:p w14:paraId="013ABB41" w14:textId="77777777" w:rsidR="00B02871" w:rsidRPr="00D91C9F" w:rsidRDefault="00B02871" w:rsidP="00D91C9F">
      <w:pPr>
        <w:rPr>
          <w:sz w:val="20"/>
        </w:rPr>
      </w:pPr>
      <w:r w:rsidRPr="00D91C9F">
        <w:rPr>
          <w:sz w:val="20"/>
        </w:rPr>
        <w:t xml:space="preserve">J. Nielsen, ‘The 90-9-1 Rule for Participation Inequality in Social Media and Online Communities’, </w:t>
      </w:r>
      <w:r w:rsidRPr="00D91C9F">
        <w:rPr>
          <w:i/>
          <w:sz w:val="20"/>
        </w:rPr>
        <w:t>Nielsen Norman Group Newsletter</w:t>
      </w:r>
      <w:r w:rsidRPr="00D91C9F">
        <w:rPr>
          <w:sz w:val="20"/>
        </w:rPr>
        <w:t xml:space="preserve">, 9 </w:t>
      </w:r>
      <w:proofErr w:type="gramStart"/>
      <w:r w:rsidRPr="00D91C9F">
        <w:rPr>
          <w:sz w:val="20"/>
        </w:rPr>
        <w:t>October  2006</w:t>
      </w:r>
      <w:proofErr w:type="gramEnd"/>
      <w:r w:rsidRPr="00D91C9F">
        <w:rPr>
          <w:sz w:val="20"/>
        </w:rPr>
        <w:t xml:space="preserve">, http://www.useit.com/alertbox/participation_inequality.html. </w:t>
      </w:r>
    </w:p>
    <w:p w14:paraId="452E4F3B" w14:textId="77777777" w:rsidR="00B02871" w:rsidRPr="00D91C9F" w:rsidRDefault="00B02871" w:rsidP="00D91C9F">
      <w:pPr>
        <w:rPr>
          <w:sz w:val="20"/>
          <w:lang w:val="en-US"/>
        </w:rPr>
      </w:pPr>
    </w:p>
  </w:footnote>
  <w:footnote w:id="26">
    <w:p w14:paraId="1CA26121" w14:textId="77777777" w:rsidR="00B02871" w:rsidRPr="00D91C9F" w:rsidRDefault="00B02871" w:rsidP="00D91C9F">
      <w:pPr>
        <w:rPr>
          <w:sz w:val="20"/>
        </w:rPr>
      </w:pPr>
      <w:r w:rsidRPr="00D91C9F">
        <w:rPr>
          <w:rStyle w:val="FootnoteReference"/>
          <w:sz w:val="20"/>
        </w:rPr>
        <w:footnoteRef/>
      </w:r>
      <w:r w:rsidRPr="00D91C9F">
        <w:rPr>
          <w:sz w:val="20"/>
        </w:rPr>
        <w:t xml:space="preserve"> I wish to thank </w:t>
      </w:r>
      <w:proofErr w:type="spellStart"/>
      <w:r w:rsidRPr="00D91C9F">
        <w:rPr>
          <w:sz w:val="20"/>
        </w:rPr>
        <w:t>Prof.</w:t>
      </w:r>
      <w:proofErr w:type="spellEnd"/>
      <w:r w:rsidRPr="00D91C9F">
        <w:rPr>
          <w:sz w:val="20"/>
        </w:rPr>
        <w:t xml:space="preserve"> Dieter Daniels for the suggestion of this label during my talk at the ‘Community vs Institution’ panel organized by the Boltzmann Institute </w:t>
      </w:r>
      <w:proofErr w:type="spellStart"/>
      <w:proofErr w:type="gramStart"/>
      <w:r w:rsidRPr="00D91C9F">
        <w:rPr>
          <w:sz w:val="20"/>
        </w:rPr>
        <w:t>Media.Art.Research</w:t>
      </w:r>
      <w:proofErr w:type="spellEnd"/>
      <w:proofErr w:type="gramEnd"/>
      <w:r w:rsidRPr="00D91C9F">
        <w:rPr>
          <w:sz w:val="20"/>
        </w:rPr>
        <w:t xml:space="preserve"> at the </w:t>
      </w:r>
      <w:proofErr w:type="spellStart"/>
      <w:r w:rsidRPr="00D91C9F">
        <w:rPr>
          <w:i/>
          <w:sz w:val="20"/>
        </w:rPr>
        <w:t>re:place</w:t>
      </w:r>
      <w:proofErr w:type="spellEnd"/>
      <w:r w:rsidRPr="00D91C9F">
        <w:rPr>
          <w:sz w:val="20"/>
        </w:rPr>
        <w:t xml:space="preserve"> conference in Berlin, 14-18 November 2007. One can find an echo of this way of proceeding in Wittgenstein’s language games. In 1933 the philosopher introduced language games to his students as a technique aimed to address one of the major philosophical puzzles, namely the tendency to make questions about general substantives – ‘what is knowledge, space, numbers, etc.?’ – and to answer them by naming a substance. Wittgenstein substituted Platonic Form by ‘family resemblance’: ‘we tend to think that there must be something shared by, for instance, all games, and that this common property justifies the application of the general substantive “game” to all the games, while, on the contrary, games constitute a family whose members display family resemblances. Inside a family, some members share the same nose, some others the same eyebrow, some others the same gait. These resemblances combine and intertwine’. L. Wittgenstein, </w:t>
      </w:r>
      <w:r w:rsidRPr="00D91C9F">
        <w:rPr>
          <w:i/>
          <w:sz w:val="20"/>
        </w:rPr>
        <w:t>The Blue and Brown Books</w:t>
      </w:r>
      <w:r w:rsidRPr="00D91C9F">
        <w:rPr>
          <w:sz w:val="20"/>
        </w:rPr>
        <w:t>, Oxford: Blackwell, 1975, pp. 26-27. Author’s revised translation. Italic in the text.</w:t>
      </w:r>
    </w:p>
    <w:p w14:paraId="1C74F400" w14:textId="77777777" w:rsidR="00B02871" w:rsidRPr="00D91C9F" w:rsidRDefault="00B02871" w:rsidP="00D91C9F">
      <w:pPr>
        <w:rPr>
          <w:sz w:val="20"/>
        </w:rPr>
      </w:pPr>
    </w:p>
  </w:footnote>
  <w:footnote w:id="27">
    <w:p w14:paraId="4DC162A4" w14:textId="77777777" w:rsidR="00B02871" w:rsidRPr="00D91C9F" w:rsidRDefault="00B02871" w:rsidP="00D91C9F">
      <w:pPr>
        <w:rPr>
          <w:sz w:val="20"/>
        </w:rPr>
      </w:pPr>
      <w:r w:rsidRPr="00D91C9F">
        <w:rPr>
          <w:rStyle w:val="FootnoteReference"/>
          <w:sz w:val="20"/>
        </w:rPr>
        <w:footnoteRef/>
      </w:r>
      <w:r w:rsidRPr="00D91C9F">
        <w:rPr>
          <w:sz w:val="20"/>
        </w:rPr>
        <w:t xml:space="preserve"> </w:t>
      </w:r>
      <w:proofErr w:type="spellStart"/>
      <w:r w:rsidRPr="00D91C9F">
        <w:rPr>
          <w:sz w:val="20"/>
        </w:rPr>
        <w:t>Gasperoni</w:t>
      </w:r>
      <w:proofErr w:type="spellEnd"/>
      <w:r w:rsidRPr="00D91C9F">
        <w:rPr>
          <w:sz w:val="20"/>
        </w:rPr>
        <w:t xml:space="preserve"> and </w:t>
      </w:r>
      <w:proofErr w:type="spellStart"/>
      <w:r w:rsidRPr="00D91C9F">
        <w:rPr>
          <w:sz w:val="20"/>
        </w:rPr>
        <w:t>Marradi</w:t>
      </w:r>
      <w:proofErr w:type="spellEnd"/>
      <w:r w:rsidRPr="00D91C9F">
        <w:rPr>
          <w:sz w:val="20"/>
        </w:rPr>
        <w:t>, ‘</w:t>
      </w:r>
      <w:proofErr w:type="spellStart"/>
      <w:r w:rsidRPr="00D91C9F">
        <w:rPr>
          <w:sz w:val="20"/>
        </w:rPr>
        <w:t>Metodo</w:t>
      </w:r>
      <w:proofErr w:type="spellEnd"/>
      <w:r w:rsidRPr="00D91C9F">
        <w:rPr>
          <w:sz w:val="20"/>
        </w:rPr>
        <w:t xml:space="preserve"> e </w:t>
      </w:r>
      <w:proofErr w:type="spellStart"/>
      <w:r w:rsidRPr="00D91C9F">
        <w:rPr>
          <w:sz w:val="20"/>
        </w:rPr>
        <w:t>tecniche</w:t>
      </w:r>
      <w:proofErr w:type="spellEnd"/>
      <w:r w:rsidRPr="00D91C9F">
        <w:rPr>
          <w:sz w:val="20"/>
        </w:rPr>
        <w:t xml:space="preserve"> </w:t>
      </w:r>
      <w:proofErr w:type="spellStart"/>
      <w:r w:rsidRPr="00D91C9F">
        <w:rPr>
          <w:sz w:val="20"/>
        </w:rPr>
        <w:t>nelle</w:t>
      </w:r>
      <w:proofErr w:type="spellEnd"/>
      <w:r w:rsidRPr="00D91C9F">
        <w:rPr>
          <w:sz w:val="20"/>
        </w:rPr>
        <w:t xml:space="preserve"> </w:t>
      </w:r>
      <w:proofErr w:type="spellStart"/>
      <w:r w:rsidRPr="00D91C9F">
        <w:rPr>
          <w:sz w:val="20"/>
        </w:rPr>
        <w:t>scienze</w:t>
      </w:r>
      <w:proofErr w:type="spellEnd"/>
      <w:r w:rsidRPr="00D91C9F">
        <w:rPr>
          <w:sz w:val="20"/>
        </w:rPr>
        <w:t xml:space="preserve"> </w:t>
      </w:r>
      <w:proofErr w:type="spellStart"/>
      <w:r w:rsidRPr="00D91C9F">
        <w:rPr>
          <w:sz w:val="20"/>
        </w:rPr>
        <w:t>sociali</w:t>
      </w:r>
      <w:proofErr w:type="spellEnd"/>
      <w:r w:rsidRPr="00D91C9F">
        <w:rPr>
          <w:sz w:val="20"/>
        </w:rPr>
        <w:t>’.</w:t>
      </w:r>
    </w:p>
    <w:p w14:paraId="0EF201BA" w14:textId="77777777" w:rsidR="00B02871" w:rsidRPr="00D91C9F" w:rsidRDefault="00B02871" w:rsidP="00D91C9F">
      <w:pPr>
        <w:rPr>
          <w:sz w:val="20"/>
          <w:lang w:val="en-US"/>
        </w:rPr>
      </w:pPr>
    </w:p>
  </w:footnote>
  <w:footnote w:id="28">
    <w:p w14:paraId="7538EF5E" w14:textId="77777777" w:rsidR="00B02871" w:rsidRPr="00D91C9F" w:rsidRDefault="00B02871" w:rsidP="00D91C9F">
      <w:pPr>
        <w:rPr>
          <w:sz w:val="20"/>
        </w:rPr>
      </w:pPr>
      <w:r w:rsidRPr="00D91C9F">
        <w:rPr>
          <w:rStyle w:val="FootnoteReference"/>
          <w:sz w:val="20"/>
        </w:rPr>
        <w:footnoteRef/>
      </w:r>
      <w:r w:rsidRPr="00D91C9F">
        <w:rPr>
          <w:sz w:val="20"/>
        </w:rPr>
        <w:t xml:space="preserve"> Latour,</w:t>
      </w:r>
      <w:r w:rsidRPr="00D91C9F">
        <w:rPr>
          <w:i/>
          <w:sz w:val="20"/>
        </w:rPr>
        <w:t xml:space="preserve"> Reassembling the </w:t>
      </w:r>
      <w:r w:rsidRPr="00D91C9F">
        <w:rPr>
          <w:sz w:val="20"/>
        </w:rPr>
        <w:t>Social, p. 34.</w:t>
      </w:r>
    </w:p>
    <w:p w14:paraId="2443EF32" w14:textId="77777777" w:rsidR="00B02871" w:rsidRPr="00D91C9F" w:rsidRDefault="00B02871" w:rsidP="00D91C9F">
      <w:pPr>
        <w:rPr>
          <w:sz w:val="20"/>
          <w:lang w:val="en-US"/>
        </w:rPr>
      </w:pPr>
    </w:p>
  </w:footnote>
  <w:footnote w:id="29">
    <w:p w14:paraId="5D3C295A" w14:textId="77777777" w:rsidR="00B02871" w:rsidRPr="00D91C9F" w:rsidRDefault="00B02871" w:rsidP="00D91C9F">
      <w:pPr>
        <w:rPr>
          <w:sz w:val="20"/>
        </w:rPr>
      </w:pPr>
      <w:r w:rsidRPr="00D91C9F">
        <w:rPr>
          <w:rStyle w:val="FootnoteReference"/>
          <w:sz w:val="20"/>
        </w:rPr>
        <w:footnoteRef/>
      </w:r>
      <w:r w:rsidRPr="00D91C9F">
        <w:rPr>
          <w:sz w:val="20"/>
        </w:rPr>
        <w:t xml:space="preserve"> Latour, Reassembling the Social, p. 37.</w:t>
      </w:r>
    </w:p>
    <w:p w14:paraId="680B59E1" w14:textId="77777777" w:rsidR="00B02871" w:rsidRPr="00D91C9F" w:rsidRDefault="00B02871" w:rsidP="00D91C9F">
      <w:pPr>
        <w:rPr>
          <w:sz w:val="20"/>
          <w:lang w:val="en-US"/>
        </w:rPr>
      </w:pPr>
    </w:p>
  </w:footnote>
  <w:footnote w:id="30">
    <w:p w14:paraId="1683F411" w14:textId="77777777" w:rsidR="00B02871" w:rsidRPr="00D91C9F" w:rsidRDefault="00B02871" w:rsidP="00D91C9F">
      <w:pPr>
        <w:rPr>
          <w:sz w:val="20"/>
        </w:rPr>
      </w:pPr>
      <w:r w:rsidRPr="00D91C9F">
        <w:rPr>
          <w:rStyle w:val="FootnoteReference"/>
          <w:sz w:val="20"/>
        </w:rPr>
        <w:footnoteRef/>
      </w:r>
      <w:r w:rsidRPr="00D91C9F">
        <w:rPr>
          <w:sz w:val="20"/>
        </w:rPr>
        <w:t xml:space="preserve"> Notably, the terms ‘digital’, ‘virtual’, ‘cyber’ and ‘online’ community are used as synonymous. Similarly, we use the terms ‘group’, ‘assemblage’, ‘aggregate’ in their most plain meaning indicating a whole composed of heterogeneous elements.  </w:t>
      </w:r>
    </w:p>
    <w:p w14:paraId="5F36F628" w14:textId="77777777" w:rsidR="00B02871" w:rsidRPr="00D91C9F" w:rsidRDefault="00B02871" w:rsidP="00D91C9F">
      <w:pPr>
        <w:rPr>
          <w:sz w:val="20"/>
        </w:rPr>
      </w:pPr>
    </w:p>
  </w:footnote>
  <w:footnote w:id="31">
    <w:p w14:paraId="5A8E4F65" w14:textId="77777777" w:rsidR="00B02871" w:rsidRPr="00D91C9F" w:rsidRDefault="00B02871" w:rsidP="00D91C9F">
      <w:pPr>
        <w:rPr>
          <w:sz w:val="20"/>
        </w:rPr>
      </w:pPr>
      <w:r w:rsidRPr="00D91C9F">
        <w:rPr>
          <w:rStyle w:val="FootnoteReference"/>
          <w:sz w:val="20"/>
        </w:rPr>
        <w:footnoteRef/>
      </w:r>
      <w:r w:rsidRPr="00D91C9F">
        <w:rPr>
          <w:sz w:val="20"/>
        </w:rPr>
        <w:t xml:space="preserve"> The fluctuating meanings associated with the popular, market-driven label ‘Web 2.0’ is an excellent example of this.</w:t>
      </w:r>
    </w:p>
    <w:p w14:paraId="2088C0FE" w14:textId="77777777" w:rsidR="00B02871" w:rsidRPr="00D91C9F" w:rsidRDefault="00B02871" w:rsidP="00D91C9F">
      <w:pPr>
        <w:rPr>
          <w:sz w:val="20"/>
        </w:rPr>
      </w:pPr>
    </w:p>
  </w:footnote>
  <w:footnote w:id="32">
    <w:p w14:paraId="396087F2" w14:textId="77777777" w:rsidR="00B02871" w:rsidRPr="00D91C9F" w:rsidRDefault="00B02871" w:rsidP="00D91C9F">
      <w:pPr>
        <w:rPr>
          <w:i/>
          <w:sz w:val="20"/>
          <w:lang w:val="en-US"/>
        </w:rPr>
      </w:pPr>
      <w:r w:rsidRPr="00D91C9F">
        <w:rPr>
          <w:rStyle w:val="FootnoteReference"/>
          <w:sz w:val="20"/>
        </w:rPr>
        <w:footnoteRef/>
      </w:r>
      <w:r w:rsidRPr="00D91C9F">
        <w:rPr>
          <w:sz w:val="20"/>
        </w:rPr>
        <w:t xml:space="preserve"> </w:t>
      </w:r>
      <w:proofErr w:type="spellStart"/>
      <w:r w:rsidRPr="00D91C9F">
        <w:rPr>
          <w:sz w:val="20"/>
        </w:rPr>
        <w:t>Bazzichelli</w:t>
      </w:r>
      <w:proofErr w:type="spellEnd"/>
      <w:r w:rsidRPr="00D91C9F">
        <w:rPr>
          <w:sz w:val="20"/>
        </w:rPr>
        <w:t xml:space="preserve">, </w:t>
      </w:r>
      <w:r w:rsidRPr="00D91C9F">
        <w:rPr>
          <w:i/>
          <w:sz w:val="20"/>
        </w:rPr>
        <w:t>Networking.</w:t>
      </w:r>
    </w:p>
  </w:footnote>
  <w:footnote w:id="33">
    <w:p w14:paraId="474C272E" w14:textId="0ACE407C" w:rsidR="00B02871" w:rsidRPr="00D91C9F" w:rsidRDefault="00B02871" w:rsidP="00D91C9F">
      <w:pPr>
        <w:rPr>
          <w:sz w:val="20"/>
        </w:rPr>
      </w:pPr>
      <w:r w:rsidRPr="00D91C9F">
        <w:rPr>
          <w:rStyle w:val="FootnoteReference"/>
          <w:sz w:val="20"/>
        </w:rPr>
        <w:footnoteRef/>
      </w:r>
      <w:r w:rsidRPr="00D91C9F">
        <w:rPr>
          <w:sz w:val="20"/>
        </w:rPr>
        <w:t xml:space="preserve"> </w:t>
      </w:r>
      <w:r w:rsidRPr="00875BED">
        <w:rPr>
          <w:sz w:val="20"/>
        </w:rPr>
        <w:t xml:space="preserve">Prix Ars Electronica (2004), </w:t>
      </w:r>
      <w:r w:rsidRPr="00875BED">
        <w:rPr>
          <w:i/>
          <w:sz w:val="20"/>
        </w:rPr>
        <w:t>Call for Digital Communities application</w:t>
      </w:r>
      <w:r w:rsidRPr="00875BED">
        <w:rPr>
          <w:sz w:val="20"/>
        </w:rPr>
        <w:t xml:space="preserve">. http://www.aec.at/prix_categories_en.php?cat=Digital%20Communities accessed 30 October 2008. </w:t>
      </w:r>
    </w:p>
    <w:p w14:paraId="4F87E880" w14:textId="77777777" w:rsidR="00B02871" w:rsidRPr="00D91C9F" w:rsidRDefault="00B02871" w:rsidP="00D91C9F">
      <w:pPr>
        <w:rPr>
          <w:sz w:val="20"/>
          <w:lang w:val="en-US"/>
        </w:rPr>
      </w:pPr>
    </w:p>
  </w:footnote>
  <w:footnote w:id="34">
    <w:p w14:paraId="2BEF59B5" w14:textId="77777777" w:rsidR="00B02871" w:rsidRPr="00D91C9F" w:rsidRDefault="00B02871" w:rsidP="00D91C9F">
      <w:pPr>
        <w:rPr>
          <w:sz w:val="20"/>
        </w:rPr>
      </w:pPr>
      <w:r w:rsidRPr="00D91C9F">
        <w:rPr>
          <w:rStyle w:val="FootnoteReference"/>
          <w:sz w:val="20"/>
        </w:rPr>
        <w:footnoteRef/>
      </w:r>
      <w:r w:rsidRPr="00D91C9F">
        <w:rPr>
          <w:sz w:val="20"/>
        </w:rPr>
        <w:t xml:space="preserve"> Andreas Hirsch, initiator of the competition, personal e-mail exchange with the author, 21 October 2007. </w:t>
      </w:r>
    </w:p>
    <w:p w14:paraId="18513B1D" w14:textId="77777777" w:rsidR="00B02871" w:rsidRPr="00D91C9F" w:rsidRDefault="00B02871" w:rsidP="00D91C9F">
      <w:pPr>
        <w:rPr>
          <w:sz w:val="20"/>
          <w:lang w:val="en-US"/>
        </w:rPr>
      </w:pPr>
    </w:p>
  </w:footnote>
  <w:footnote w:id="35">
    <w:p w14:paraId="7F559083" w14:textId="77777777" w:rsidR="00B02871" w:rsidRPr="00D91C9F" w:rsidRDefault="00B02871" w:rsidP="00D91C9F">
      <w:pPr>
        <w:rPr>
          <w:sz w:val="20"/>
        </w:rPr>
      </w:pPr>
      <w:r w:rsidRPr="00D91C9F">
        <w:rPr>
          <w:rStyle w:val="FootnoteReference"/>
          <w:sz w:val="20"/>
        </w:rPr>
        <w:footnoteRef/>
      </w:r>
      <w:r w:rsidRPr="00D91C9F">
        <w:rPr>
          <w:sz w:val="20"/>
        </w:rPr>
        <w:t xml:space="preserve"> A. J. </w:t>
      </w:r>
      <w:proofErr w:type="spellStart"/>
      <w:r w:rsidRPr="00D91C9F">
        <w:rPr>
          <w:sz w:val="20"/>
        </w:rPr>
        <w:t>Greimas</w:t>
      </w:r>
      <w:proofErr w:type="spellEnd"/>
      <w:r w:rsidRPr="00D91C9F">
        <w:rPr>
          <w:sz w:val="20"/>
        </w:rPr>
        <w:t xml:space="preserve"> and J. </w:t>
      </w:r>
      <w:proofErr w:type="spellStart"/>
      <w:r w:rsidRPr="00D91C9F">
        <w:rPr>
          <w:sz w:val="20"/>
        </w:rPr>
        <w:t>Courtés</w:t>
      </w:r>
      <w:proofErr w:type="spellEnd"/>
      <w:r w:rsidRPr="00D91C9F">
        <w:rPr>
          <w:sz w:val="20"/>
        </w:rPr>
        <w:t xml:space="preserve">, </w:t>
      </w:r>
      <w:proofErr w:type="spellStart"/>
      <w:r w:rsidRPr="00D91C9F">
        <w:rPr>
          <w:i/>
          <w:sz w:val="20"/>
        </w:rPr>
        <w:t>Sémiotique</w:t>
      </w:r>
      <w:proofErr w:type="spellEnd"/>
      <w:r w:rsidRPr="00D91C9F">
        <w:rPr>
          <w:i/>
          <w:sz w:val="20"/>
        </w:rPr>
        <w:t xml:space="preserve">. </w:t>
      </w:r>
      <w:proofErr w:type="spellStart"/>
      <w:r w:rsidRPr="00D91C9F">
        <w:rPr>
          <w:i/>
          <w:sz w:val="20"/>
        </w:rPr>
        <w:t>Dictionnaire</w:t>
      </w:r>
      <w:proofErr w:type="spellEnd"/>
      <w:r w:rsidRPr="00D91C9F">
        <w:rPr>
          <w:i/>
          <w:sz w:val="20"/>
        </w:rPr>
        <w:t xml:space="preserve"> </w:t>
      </w:r>
      <w:proofErr w:type="spellStart"/>
      <w:r w:rsidRPr="00D91C9F">
        <w:rPr>
          <w:i/>
          <w:sz w:val="20"/>
        </w:rPr>
        <w:t>raisonné</w:t>
      </w:r>
      <w:proofErr w:type="spellEnd"/>
      <w:r w:rsidRPr="00D91C9F">
        <w:rPr>
          <w:i/>
          <w:sz w:val="20"/>
        </w:rPr>
        <w:t xml:space="preserve"> de la </w:t>
      </w:r>
      <w:proofErr w:type="spellStart"/>
      <w:r w:rsidRPr="00D91C9F">
        <w:rPr>
          <w:i/>
          <w:sz w:val="20"/>
        </w:rPr>
        <w:t>théorie</w:t>
      </w:r>
      <w:proofErr w:type="spellEnd"/>
      <w:r w:rsidRPr="00D91C9F">
        <w:rPr>
          <w:i/>
          <w:sz w:val="20"/>
        </w:rPr>
        <w:t xml:space="preserve"> du </w:t>
      </w:r>
      <w:proofErr w:type="spellStart"/>
      <w:r w:rsidRPr="00D91C9F">
        <w:rPr>
          <w:i/>
          <w:sz w:val="20"/>
        </w:rPr>
        <w:t>langage</w:t>
      </w:r>
      <w:proofErr w:type="spellEnd"/>
      <w:r w:rsidRPr="00D91C9F">
        <w:rPr>
          <w:sz w:val="20"/>
        </w:rPr>
        <w:t xml:space="preserve">, Paris: Hachette, 1979. ‘Polemic’ </w:t>
      </w:r>
      <w:proofErr w:type="gramStart"/>
      <w:r w:rsidRPr="00D91C9F">
        <w:rPr>
          <w:sz w:val="20"/>
        </w:rPr>
        <w:t>define</w:t>
      </w:r>
      <w:proofErr w:type="gramEnd"/>
      <w:r w:rsidRPr="00D91C9F">
        <w:rPr>
          <w:sz w:val="20"/>
        </w:rPr>
        <w:t xml:space="preserve"> polemic structure as the dualistic principle (subject/anti-subject) on which any human activity is based. As they can be also contractual (agreement, cooperation, etc.) and not only hostile (blackmail, provocation, open struggle, etc), polemic structures lie at the core of any form of narration.</w:t>
      </w:r>
    </w:p>
    <w:p w14:paraId="1095EEA6" w14:textId="77777777" w:rsidR="00B02871" w:rsidRPr="00D91C9F" w:rsidRDefault="00B02871" w:rsidP="00D91C9F">
      <w:pPr>
        <w:rPr>
          <w:sz w:val="20"/>
        </w:rPr>
      </w:pPr>
    </w:p>
  </w:footnote>
  <w:footnote w:id="36">
    <w:p w14:paraId="62F10FEC" w14:textId="77777777" w:rsidR="00B02871" w:rsidRPr="00D91C9F" w:rsidRDefault="00B02871" w:rsidP="00D91C9F">
      <w:pPr>
        <w:rPr>
          <w:sz w:val="20"/>
        </w:rPr>
      </w:pPr>
      <w:r w:rsidRPr="00D91C9F">
        <w:rPr>
          <w:rStyle w:val="FootnoteReference"/>
          <w:sz w:val="20"/>
        </w:rPr>
        <w:footnoteRef/>
      </w:r>
      <w:r w:rsidRPr="00D91C9F">
        <w:rPr>
          <w:sz w:val="20"/>
        </w:rPr>
        <w:t xml:space="preserve"> These situations are numbered in Latour, </w:t>
      </w:r>
      <w:r w:rsidRPr="00D91C9F">
        <w:rPr>
          <w:i/>
          <w:sz w:val="20"/>
        </w:rPr>
        <w:t xml:space="preserve">Reassembling the </w:t>
      </w:r>
      <w:r w:rsidRPr="00D91C9F">
        <w:rPr>
          <w:sz w:val="20"/>
        </w:rPr>
        <w:t>Social, pp. 79-82.</w:t>
      </w:r>
    </w:p>
    <w:p w14:paraId="54FCC4B9" w14:textId="77777777" w:rsidR="00B02871" w:rsidRPr="00D91C9F" w:rsidRDefault="00B02871" w:rsidP="00D91C9F">
      <w:pPr>
        <w:rPr>
          <w:sz w:val="20"/>
        </w:rPr>
      </w:pPr>
    </w:p>
  </w:footnote>
  <w:footnote w:id="37">
    <w:p w14:paraId="0013CDF2" w14:textId="77777777" w:rsidR="00B02871" w:rsidRPr="00D91C9F" w:rsidRDefault="00B02871" w:rsidP="00D91C9F">
      <w:pPr>
        <w:rPr>
          <w:sz w:val="20"/>
        </w:rPr>
      </w:pPr>
      <w:r w:rsidRPr="00D91C9F">
        <w:rPr>
          <w:rStyle w:val="FootnoteReference"/>
          <w:sz w:val="20"/>
        </w:rPr>
        <w:footnoteRef/>
      </w:r>
      <w:r w:rsidRPr="00D91C9F">
        <w:rPr>
          <w:sz w:val="20"/>
        </w:rPr>
        <w:t xml:space="preserve"> Latour, Reassembling the Social, pp. 52-58.</w:t>
      </w:r>
    </w:p>
    <w:p w14:paraId="12D05D23" w14:textId="77777777" w:rsidR="00B02871" w:rsidRPr="00D91C9F" w:rsidRDefault="00B02871" w:rsidP="00D91C9F">
      <w:pPr>
        <w:rPr>
          <w:sz w:val="20"/>
          <w:lang w:val="en-US"/>
        </w:rPr>
      </w:pPr>
    </w:p>
  </w:footnote>
  <w:footnote w:id="38">
    <w:p w14:paraId="5E91BF3D" w14:textId="77777777" w:rsidR="00B02871" w:rsidRPr="00D91C9F" w:rsidRDefault="00B02871" w:rsidP="00D91C9F">
      <w:pPr>
        <w:rPr>
          <w:sz w:val="20"/>
          <w:lang w:val="en-US"/>
        </w:rPr>
      </w:pPr>
      <w:r w:rsidRPr="00D91C9F">
        <w:rPr>
          <w:rStyle w:val="FootnoteReference"/>
          <w:sz w:val="20"/>
        </w:rPr>
        <w:footnoteRef/>
      </w:r>
      <w:r w:rsidRPr="00D91C9F">
        <w:rPr>
          <w:sz w:val="20"/>
        </w:rPr>
        <w:t xml:space="preserve"> </w:t>
      </w:r>
      <w:r w:rsidRPr="00D91C9F">
        <w:rPr>
          <w:sz w:val="20"/>
          <w:lang w:val="en-US"/>
        </w:rPr>
        <w:t>Wellman, ‘Physical place and cyberplace’.</w:t>
      </w:r>
    </w:p>
  </w:footnote>
  <w:footnote w:id="39">
    <w:p w14:paraId="18625F26" w14:textId="77777777" w:rsidR="00B02871" w:rsidRPr="00D91C9F" w:rsidRDefault="00B02871" w:rsidP="00D91C9F">
      <w:pPr>
        <w:rPr>
          <w:sz w:val="20"/>
        </w:rPr>
      </w:pPr>
      <w:r w:rsidRPr="00D91C9F">
        <w:rPr>
          <w:rStyle w:val="FootnoteReference"/>
          <w:sz w:val="20"/>
        </w:rPr>
        <w:footnoteRef/>
      </w:r>
      <w:r w:rsidRPr="00D91C9F">
        <w:rPr>
          <w:sz w:val="20"/>
        </w:rPr>
        <w:t xml:space="preserve"> R.P. Weber, </w:t>
      </w:r>
      <w:r w:rsidRPr="00D91C9F">
        <w:rPr>
          <w:i/>
          <w:sz w:val="20"/>
        </w:rPr>
        <w:t>Basic Content Analysis</w:t>
      </w:r>
      <w:r w:rsidRPr="00D91C9F">
        <w:rPr>
          <w:sz w:val="20"/>
        </w:rPr>
        <w:t>, Newbury Park, CA: Sage Publications, 1990.</w:t>
      </w:r>
    </w:p>
    <w:p w14:paraId="10E8E9DB" w14:textId="77777777" w:rsidR="00B02871" w:rsidRPr="00D91C9F" w:rsidRDefault="00B02871" w:rsidP="00D91C9F">
      <w:pPr>
        <w:rPr>
          <w:sz w:val="20"/>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E3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CA98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6E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947E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C818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88FC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3E3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588E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C89A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BA8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0CF8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159A"/>
    <w:multiLevelType w:val="hybridMultilevel"/>
    <w:tmpl w:val="D6CE28AA"/>
    <w:lvl w:ilvl="0" w:tplc="A66C2AF6">
      <w:numFmt w:val="bullet"/>
      <w:lvlText w:val=""/>
      <w:lvlJc w:val="left"/>
      <w:pPr>
        <w:tabs>
          <w:tab w:val="num" w:pos="1080"/>
        </w:tabs>
        <w:ind w:left="108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F3F19"/>
    <w:multiLevelType w:val="hybridMultilevel"/>
    <w:tmpl w:val="EB7A5A58"/>
    <w:lvl w:ilvl="0" w:tplc="3B382296">
      <w:start w:val="1"/>
      <w:numFmt w:val="decimal"/>
      <w:lvlText w:val="%1."/>
      <w:lvlJc w:val="left"/>
      <w:pPr>
        <w:tabs>
          <w:tab w:val="num" w:pos="720"/>
        </w:tabs>
        <w:ind w:left="720" w:hanging="360"/>
      </w:pPr>
      <w:rPr>
        <w:rFonts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46209C"/>
    <w:multiLevelType w:val="hybridMultilevel"/>
    <w:tmpl w:val="714E4E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BBC7EA0"/>
    <w:multiLevelType w:val="hybridMultilevel"/>
    <w:tmpl w:val="0C20671E"/>
    <w:lvl w:ilvl="0" w:tplc="A66C2AF6">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720"/>
        </w:tabs>
        <w:ind w:left="720" w:hanging="360"/>
      </w:pPr>
      <w:rPr>
        <w:rFonts w:ascii="Courier New" w:hAnsi="Courier New" w:hint="default"/>
      </w:rPr>
    </w:lvl>
    <w:lvl w:ilvl="2" w:tplc="00050410" w:tentative="1">
      <w:start w:val="1"/>
      <w:numFmt w:val="bullet"/>
      <w:lvlText w:val=""/>
      <w:lvlJc w:val="left"/>
      <w:pPr>
        <w:tabs>
          <w:tab w:val="num" w:pos="1440"/>
        </w:tabs>
        <w:ind w:left="1440" w:hanging="360"/>
      </w:pPr>
      <w:rPr>
        <w:rFonts w:ascii="Wingdings" w:hAnsi="Wingdings" w:hint="default"/>
      </w:rPr>
    </w:lvl>
    <w:lvl w:ilvl="3" w:tplc="00010410" w:tentative="1">
      <w:start w:val="1"/>
      <w:numFmt w:val="bullet"/>
      <w:lvlText w:val=""/>
      <w:lvlJc w:val="left"/>
      <w:pPr>
        <w:tabs>
          <w:tab w:val="num" w:pos="2160"/>
        </w:tabs>
        <w:ind w:left="2160" w:hanging="360"/>
      </w:pPr>
      <w:rPr>
        <w:rFonts w:ascii="Symbol" w:hAnsi="Symbol" w:hint="default"/>
      </w:rPr>
    </w:lvl>
    <w:lvl w:ilvl="4" w:tplc="00030410" w:tentative="1">
      <w:start w:val="1"/>
      <w:numFmt w:val="bullet"/>
      <w:lvlText w:val="o"/>
      <w:lvlJc w:val="left"/>
      <w:pPr>
        <w:tabs>
          <w:tab w:val="num" w:pos="2880"/>
        </w:tabs>
        <w:ind w:left="2880" w:hanging="360"/>
      </w:pPr>
      <w:rPr>
        <w:rFonts w:ascii="Courier New" w:hAnsi="Courier New" w:hint="default"/>
      </w:rPr>
    </w:lvl>
    <w:lvl w:ilvl="5" w:tplc="00050410" w:tentative="1">
      <w:start w:val="1"/>
      <w:numFmt w:val="bullet"/>
      <w:lvlText w:val=""/>
      <w:lvlJc w:val="left"/>
      <w:pPr>
        <w:tabs>
          <w:tab w:val="num" w:pos="3600"/>
        </w:tabs>
        <w:ind w:left="3600" w:hanging="360"/>
      </w:pPr>
      <w:rPr>
        <w:rFonts w:ascii="Wingdings" w:hAnsi="Wingdings" w:hint="default"/>
      </w:rPr>
    </w:lvl>
    <w:lvl w:ilvl="6" w:tplc="00010410" w:tentative="1">
      <w:start w:val="1"/>
      <w:numFmt w:val="bullet"/>
      <w:lvlText w:val=""/>
      <w:lvlJc w:val="left"/>
      <w:pPr>
        <w:tabs>
          <w:tab w:val="num" w:pos="4320"/>
        </w:tabs>
        <w:ind w:left="4320" w:hanging="360"/>
      </w:pPr>
      <w:rPr>
        <w:rFonts w:ascii="Symbol" w:hAnsi="Symbol" w:hint="default"/>
      </w:rPr>
    </w:lvl>
    <w:lvl w:ilvl="7" w:tplc="00030410" w:tentative="1">
      <w:start w:val="1"/>
      <w:numFmt w:val="bullet"/>
      <w:lvlText w:val="o"/>
      <w:lvlJc w:val="left"/>
      <w:pPr>
        <w:tabs>
          <w:tab w:val="num" w:pos="5040"/>
        </w:tabs>
        <w:ind w:left="5040" w:hanging="360"/>
      </w:pPr>
      <w:rPr>
        <w:rFonts w:ascii="Courier New" w:hAnsi="Courier New" w:hint="default"/>
      </w:rPr>
    </w:lvl>
    <w:lvl w:ilvl="8" w:tplc="0005041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EAC4894"/>
    <w:multiLevelType w:val="hybridMultilevel"/>
    <w:tmpl w:val="5FA6CE44"/>
    <w:lvl w:ilvl="0" w:tplc="A478A216">
      <w:numFmt w:val="bullet"/>
      <w:lvlText w:val=""/>
      <w:lvlJc w:val="left"/>
      <w:pPr>
        <w:tabs>
          <w:tab w:val="num" w:pos="890"/>
        </w:tabs>
        <w:ind w:left="890" w:hanging="170"/>
      </w:pPr>
      <w:rPr>
        <w:rFonts w:ascii="Symbol" w:eastAsia="Times New Roman"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start w:val="1"/>
      <w:numFmt w:val="bullet"/>
      <w:lvlText w:val=""/>
      <w:lvlJc w:val="left"/>
      <w:pPr>
        <w:tabs>
          <w:tab w:val="num" w:pos="2880"/>
        </w:tabs>
        <w:ind w:left="2880" w:hanging="360"/>
      </w:pPr>
      <w:rPr>
        <w:rFonts w:ascii="Wingdings" w:hAnsi="Wingdings" w:hint="default"/>
      </w:rPr>
    </w:lvl>
    <w:lvl w:ilvl="3" w:tplc="00010410">
      <w:start w:val="1"/>
      <w:numFmt w:val="bullet"/>
      <w:lvlText w:val=""/>
      <w:lvlJc w:val="left"/>
      <w:pPr>
        <w:tabs>
          <w:tab w:val="num" w:pos="3600"/>
        </w:tabs>
        <w:ind w:left="3600" w:hanging="360"/>
      </w:pPr>
      <w:rPr>
        <w:rFonts w:ascii="Symbol" w:eastAsia="Times New Roman" w:hAnsi="Symbol" w:hint="default"/>
      </w:rPr>
    </w:lvl>
    <w:lvl w:ilvl="4" w:tplc="00030410">
      <w:start w:val="1"/>
      <w:numFmt w:val="bullet"/>
      <w:lvlText w:val="o"/>
      <w:lvlJc w:val="left"/>
      <w:pPr>
        <w:tabs>
          <w:tab w:val="num" w:pos="4320"/>
        </w:tabs>
        <w:ind w:left="4320" w:hanging="360"/>
      </w:pPr>
      <w:rPr>
        <w:rFonts w:ascii="Courier New" w:hAnsi="Courier New" w:hint="default"/>
      </w:rPr>
    </w:lvl>
    <w:lvl w:ilvl="5" w:tplc="00050410">
      <w:start w:val="1"/>
      <w:numFmt w:val="bullet"/>
      <w:lvlText w:val=""/>
      <w:lvlJc w:val="left"/>
      <w:pPr>
        <w:tabs>
          <w:tab w:val="num" w:pos="5040"/>
        </w:tabs>
        <w:ind w:left="5040" w:hanging="360"/>
      </w:pPr>
      <w:rPr>
        <w:rFonts w:ascii="Wingdings" w:hAnsi="Wingdings" w:hint="default"/>
      </w:rPr>
    </w:lvl>
    <w:lvl w:ilvl="6" w:tplc="00010410">
      <w:start w:val="1"/>
      <w:numFmt w:val="bullet"/>
      <w:lvlText w:val=""/>
      <w:lvlJc w:val="left"/>
      <w:pPr>
        <w:tabs>
          <w:tab w:val="num" w:pos="5760"/>
        </w:tabs>
        <w:ind w:left="5760" w:hanging="360"/>
      </w:pPr>
      <w:rPr>
        <w:rFonts w:ascii="Symbol" w:eastAsia="Times New Roman" w:hAnsi="Symbol" w:hint="default"/>
      </w:rPr>
    </w:lvl>
    <w:lvl w:ilvl="7" w:tplc="00030410">
      <w:start w:val="1"/>
      <w:numFmt w:val="bullet"/>
      <w:lvlText w:val="o"/>
      <w:lvlJc w:val="left"/>
      <w:pPr>
        <w:tabs>
          <w:tab w:val="num" w:pos="6480"/>
        </w:tabs>
        <w:ind w:left="6480" w:hanging="360"/>
      </w:pPr>
      <w:rPr>
        <w:rFonts w:ascii="Courier New" w:hAnsi="Courier New" w:hint="default"/>
      </w:rPr>
    </w:lvl>
    <w:lvl w:ilvl="8" w:tplc="00050410">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9D0625"/>
    <w:multiLevelType w:val="hybridMultilevel"/>
    <w:tmpl w:val="E2463840"/>
    <w:lvl w:ilvl="0" w:tplc="00050410">
      <w:start w:val="1"/>
      <w:numFmt w:val="bullet"/>
      <w:lvlText w:val=""/>
      <w:lvlJc w:val="left"/>
      <w:pPr>
        <w:tabs>
          <w:tab w:val="num" w:pos="360"/>
        </w:tabs>
        <w:ind w:left="360" w:hanging="360"/>
      </w:pPr>
      <w:rPr>
        <w:rFonts w:ascii="Wingdings" w:hAnsi="Wingdings" w:hint="default"/>
      </w:rPr>
    </w:lvl>
    <w:lvl w:ilvl="1" w:tplc="00030410">
      <w:start w:val="1"/>
      <w:numFmt w:val="bullet"/>
      <w:lvlText w:val="o"/>
      <w:lvlJc w:val="left"/>
      <w:pPr>
        <w:tabs>
          <w:tab w:val="num" w:pos="1080"/>
        </w:tabs>
        <w:ind w:left="1080" w:hanging="360"/>
      </w:pPr>
      <w:rPr>
        <w:rFonts w:ascii="Courier New" w:hAnsi="Courier New" w:hint="default"/>
      </w:rPr>
    </w:lvl>
    <w:lvl w:ilvl="2" w:tplc="00050410">
      <w:start w:val="1"/>
      <w:numFmt w:val="bullet"/>
      <w:lvlText w:val=""/>
      <w:lvlJc w:val="left"/>
      <w:pPr>
        <w:tabs>
          <w:tab w:val="num" w:pos="1800"/>
        </w:tabs>
        <w:ind w:left="1800" w:hanging="360"/>
      </w:pPr>
      <w:rPr>
        <w:rFonts w:ascii="Wingdings" w:hAnsi="Wingdings" w:hint="default"/>
      </w:rPr>
    </w:lvl>
    <w:lvl w:ilvl="3" w:tplc="00010410">
      <w:start w:val="1"/>
      <w:numFmt w:val="bullet"/>
      <w:lvlText w:val=""/>
      <w:lvlJc w:val="left"/>
      <w:pPr>
        <w:tabs>
          <w:tab w:val="num" w:pos="2520"/>
        </w:tabs>
        <w:ind w:left="2520" w:hanging="360"/>
      </w:pPr>
      <w:rPr>
        <w:rFonts w:ascii="Symbol" w:eastAsia="Times New Roman" w:hAnsi="Symbol" w:hint="default"/>
      </w:rPr>
    </w:lvl>
    <w:lvl w:ilvl="4" w:tplc="00030410">
      <w:start w:val="1"/>
      <w:numFmt w:val="bullet"/>
      <w:lvlText w:val="o"/>
      <w:lvlJc w:val="left"/>
      <w:pPr>
        <w:tabs>
          <w:tab w:val="num" w:pos="3240"/>
        </w:tabs>
        <w:ind w:left="3240" w:hanging="360"/>
      </w:pPr>
      <w:rPr>
        <w:rFonts w:ascii="Courier New" w:hAnsi="Courier New" w:hint="default"/>
      </w:rPr>
    </w:lvl>
    <w:lvl w:ilvl="5" w:tplc="00050410">
      <w:start w:val="1"/>
      <w:numFmt w:val="bullet"/>
      <w:lvlText w:val=""/>
      <w:lvlJc w:val="left"/>
      <w:pPr>
        <w:tabs>
          <w:tab w:val="num" w:pos="3960"/>
        </w:tabs>
        <w:ind w:left="3960" w:hanging="360"/>
      </w:pPr>
      <w:rPr>
        <w:rFonts w:ascii="Wingdings" w:hAnsi="Wingdings" w:hint="default"/>
      </w:rPr>
    </w:lvl>
    <w:lvl w:ilvl="6" w:tplc="00010410">
      <w:start w:val="1"/>
      <w:numFmt w:val="bullet"/>
      <w:lvlText w:val=""/>
      <w:lvlJc w:val="left"/>
      <w:pPr>
        <w:tabs>
          <w:tab w:val="num" w:pos="4680"/>
        </w:tabs>
        <w:ind w:left="4680" w:hanging="360"/>
      </w:pPr>
      <w:rPr>
        <w:rFonts w:ascii="Symbol" w:eastAsia="Times New Roman" w:hAnsi="Symbol" w:hint="default"/>
      </w:rPr>
    </w:lvl>
    <w:lvl w:ilvl="7" w:tplc="00030410">
      <w:start w:val="1"/>
      <w:numFmt w:val="bullet"/>
      <w:lvlText w:val="o"/>
      <w:lvlJc w:val="left"/>
      <w:pPr>
        <w:tabs>
          <w:tab w:val="num" w:pos="5400"/>
        </w:tabs>
        <w:ind w:left="5400" w:hanging="360"/>
      </w:pPr>
      <w:rPr>
        <w:rFonts w:ascii="Courier New" w:hAnsi="Courier New" w:hint="default"/>
      </w:rPr>
    </w:lvl>
    <w:lvl w:ilvl="8" w:tplc="00050410">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16296F"/>
    <w:multiLevelType w:val="hybridMultilevel"/>
    <w:tmpl w:val="60E0109A"/>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A4EAC"/>
    <w:multiLevelType w:val="hybridMultilevel"/>
    <w:tmpl w:val="DA1CDBBC"/>
    <w:lvl w:ilvl="0" w:tplc="A478A216">
      <w:numFmt w:val="bullet"/>
      <w:lvlText w:val=""/>
      <w:lvlJc w:val="left"/>
      <w:pPr>
        <w:tabs>
          <w:tab w:val="num" w:pos="737"/>
        </w:tabs>
        <w:ind w:left="737" w:hanging="170"/>
      </w:pPr>
      <w:rPr>
        <w:rFonts w:ascii="Symbol" w:eastAsia="Times New Roman" w:hAnsi="Symbol" w:hint="default"/>
      </w:rPr>
    </w:lvl>
    <w:lvl w:ilvl="1" w:tplc="00030410">
      <w:start w:val="1"/>
      <w:numFmt w:val="bullet"/>
      <w:lvlText w:val="o"/>
      <w:lvlJc w:val="left"/>
      <w:pPr>
        <w:tabs>
          <w:tab w:val="num" w:pos="2007"/>
        </w:tabs>
        <w:ind w:left="2007" w:hanging="360"/>
      </w:pPr>
      <w:rPr>
        <w:rFonts w:ascii="Courier New" w:hAnsi="Courier New" w:hint="default"/>
      </w:rPr>
    </w:lvl>
    <w:lvl w:ilvl="2" w:tplc="00050410">
      <w:start w:val="1"/>
      <w:numFmt w:val="bullet"/>
      <w:lvlText w:val=""/>
      <w:lvlJc w:val="left"/>
      <w:pPr>
        <w:tabs>
          <w:tab w:val="num" w:pos="2727"/>
        </w:tabs>
        <w:ind w:left="2727" w:hanging="360"/>
      </w:pPr>
      <w:rPr>
        <w:rFonts w:ascii="Wingdings" w:hAnsi="Wingdings" w:hint="default"/>
      </w:rPr>
    </w:lvl>
    <w:lvl w:ilvl="3" w:tplc="00010410">
      <w:start w:val="1"/>
      <w:numFmt w:val="bullet"/>
      <w:lvlText w:val=""/>
      <w:lvlJc w:val="left"/>
      <w:pPr>
        <w:tabs>
          <w:tab w:val="num" w:pos="3447"/>
        </w:tabs>
        <w:ind w:left="3447" w:hanging="360"/>
      </w:pPr>
      <w:rPr>
        <w:rFonts w:ascii="Symbol" w:eastAsia="Times New Roman" w:hAnsi="Symbol" w:hint="default"/>
      </w:rPr>
    </w:lvl>
    <w:lvl w:ilvl="4" w:tplc="00030410">
      <w:start w:val="1"/>
      <w:numFmt w:val="bullet"/>
      <w:lvlText w:val="o"/>
      <w:lvlJc w:val="left"/>
      <w:pPr>
        <w:tabs>
          <w:tab w:val="num" w:pos="4167"/>
        </w:tabs>
        <w:ind w:left="4167" w:hanging="360"/>
      </w:pPr>
      <w:rPr>
        <w:rFonts w:ascii="Courier New" w:hAnsi="Courier New" w:hint="default"/>
      </w:rPr>
    </w:lvl>
    <w:lvl w:ilvl="5" w:tplc="00050410">
      <w:start w:val="1"/>
      <w:numFmt w:val="bullet"/>
      <w:lvlText w:val=""/>
      <w:lvlJc w:val="left"/>
      <w:pPr>
        <w:tabs>
          <w:tab w:val="num" w:pos="4887"/>
        </w:tabs>
        <w:ind w:left="4887" w:hanging="360"/>
      </w:pPr>
      <w:rPr>
        <w:rFonts w:ascii="Wingdings" w:hAnsi="Wingdings" w:hint="default"/>
      </w:rPr>
    </w:lvl>
    <w:lvl w:ilvl="6" w:tplc="00010410">
      <w:start w:val="1"/>
      <w:numFmt w:val="bullet"/>
      <w:lvlText w:val=""/>
      <w:lvlJc w:val="left"/>
      <w:pPr>
        <w:tabs>
          <w:tab w:val="num" w:pos="5607"/>
        </w:tabs>
        <w:ind w:left="5607" w:hanging="360"/>
      </w:pPr>
      <w:rPr>
        <w:rFonts w:ascii="Symbol" w:eastAsia="Times New Roman" w:hAnsi="Symbol" w:hint="default"/>
      </w:rPr>
    </w:lvl>
    <w:lvl w:ilvl="7" w:tplc="00030410">
      <w:start w:val="1"/>
      <w:numFmt w:val="bullet"/>
      <w:lvlText w:val="o"/>
      <w:lvlJc w:val="left"/>
      <w:pPr>
        <w:tabs>
          <w:tab w:val="num" w:pos="6327"/>
        </w:tabs>
        <w:ind w:left="6327" w:hanging="360"/>
      </w:pPr>
      <w:rPr>
        <w:rFonts w:ascii="Courier New" w:hAnsi="Courier New" w:hint="default"/>
      </w:rPr>
    </w:lvl>
    <w:lvl w:ilvl="8" w:tplc="00050410">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26CFA"/>
    <w:multiLevelType w:val="hybridMultilevel"/>
    <w:tmpl w:val="135E6024"/>
    <w:lvl w:ilvl="0" w:tplc="000F0410">
      <w:start w:val="1"/>
      <w:numFmt w:val="decimal"/>
      <w:lvlText w:val="%1."/>
      <w:lvlJc w:val="left"/>
      <w:pPr>
        <w:tabs>
          <w:tab w:val="num" w:pos="1287"/>
        </w:tabs>
        <w:ind w:left="1287" w:hanging="360"/>
      </w:pPr>
    </w:lvl>
    <w:lvl w:ilvl="1" w:tplc="00190410" w:tentative="1">
      <w:start w:val="1"/>
      <w:numFmt w:val="lowerLetter"/>
      <w:lvlText w:val="%2."/>
      <w:lvlJc w:val="left"/>
      <w:pPr>
        <w:tabs>
          <w:tab w:val="num" w:pos="2007"/>
        </w:tabs>
        <w:ind w:left="2007" w:hanging="360"/>
      </w:pPr>
    </w:lvl>
    <w:lvl w:ilvl="2" w:tplc="001B0410" w:tentative="1">
      <w:start w:val="1"/>
      <w:numFmt w:val="lowerRoman"/>
      <w:lvlText w:val="%3."/>
      <w:lvlJc w:val="right"/>
      <w:pPr>
        <w:tabs>
          <w:tab w:val="num" w:pos="2727"/>
        </w:tabs>
        <w:ind w:left="2727" w:hanging="180"/>
      </w:pPr>
    </w:lvl>
    <w:lvl w:ilvl="3" w:tplc="000F0410" w:tentative="1">
      <w:start w:val="1"/>
      <w:numFmt w:val="decimal"/>
      <w:lvlText w:val="%4."/>
      <w:lvlJc w:val="left"/>
      <w:pPr>
        <w:tabs>
          <w:tab w:val="num" w:pos="3447"/>
        </w:tabs>
        <w:ind w:left="3447" w:hanging="360"/>
      </w:pPr>
    </w:lvl>
    <w:lvl w:ilvl="4" w:tplc="00190410" w:tentative="1">
      <w:start w:val="1"/>
      <w:numFmt w:val="lowerLetter"/>
      <w:lvlText w:val="%5."/>
      <w:lvlJc w:val="left"/>
      <w:pPr>
        <w:tabs>
          <w:tab w:val="num" w:pos="4167"/>
        </w:tabs>
        <w:ind w:left="4167" w:hanging="360"/>
      </w:pPr>
    </w:lvl>
    <w:lvl w:ilvl="5" w:tplc="001B0410" w:tentative="1">
      <w:start w:val="1"/>
      <w:numFmt w:val="lowerRoman"/>
      <w:lvlText w:val="%6."/>
      <w:lvlJc w:val="right"/>
      <w:pPr>
        <w:tabs>
          <w:tab w:val="num" w:pos="4887"/>
        </w:tabs>
        <w:ind w:left="4887" w:hanging="180"/>
      </w:pPr>
    </w:lvl>
    <w:lvl w:ilvl="6" w:tplc="000F0410" w:tentative="1">
      <w:start w:val="1"/>
      <w:numFmt w:val="decimal"/>
      <w:lvlText w:val="%7."/>
      <w:lvlJc w:val="left"/>
      <w:pPr>
        <w:tabs>
          <w:tab w:val="num" w:pos="5607"/>
        </w:tabs>
        <w:ind w:left="5607" w:hanging="360"/>
      </w:pPr>
    </w:lvl>
    <w:lvl w:ilvl="7" w:tplc="00190410" w:tentative="1">
      <w:start w:val="1"/>
      <w:numFmt w:val="lowerLetter"/>
      <w:lvlText w:val="%8."/>
      <w:lvlJc w:val="left"/>
      <w:pPr>
        <w:tabs>
          <w:tab w:val="num" w:pos="6327"/>
        </w:tabs>
        <w:ind w:left="6327" w:hanging="360"/>
      </w:pPr>
    </w:lvl>
    <w:lvl w:ilvl="8" w:tplc="001B0410" w:tentative="1">
      <w:start w:val="1"/>
      <w:numFmt w:val="lowerRoman"/>
      <w:lvlText w:val="%9."/>
      <w:lvlJc w:val="right"/>
      <w:pPr>
        <w:tabs>
          <w:tab w:val="num" w:pos="7047"/>
        </w:tabs>
        <w:ind w:left="7047" w:hanging="180"/>
      </w:pPr>
    </w:lvl>
  </w:abstractNum>
  <w:abstractNum w:abstractNumId="21" w15:restartNumberingAfterBreak="0">
    <w:nsid w:val="5FEA5A3B"/>
    <w:multiLevelType w:val="hybridMultilevel"/>
    <w:tmpl w:val="8CAE8FE6"/>
    <w:lvl w:ilvl="0" w:tplc="97B01186">
      <w:numFmt w:val="bullet"/>
      <w:pStyle w:val="elencononnumeratotesinisa"/>
      <w:lvlText w:val="-"/>
      <w:lvlJc w:val="left"/>
      <w:pPr>
        <w:tabs>
          <w:tab w:val="num" w:pos="720"/>
        </w:tabs>
        <w:ind w:left="720" w:hanging="360"/>
      </w:pPr>
      <w:rPr>
        <w:rFonts w:ascii="Times New Roman" w:eastAsia="Times New Roman" w:hAnsi="Times New Roman"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0B58BB"/>
    <w:multiLevelType w:val="hybridMultilevel"/>
    <w:tmpl w:val="8BAA93E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6F76356"/>
    <w:multiLevelType w:val="hybridMultilevel"/>
    <w:tmpl w:val="7DEC521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6DDC7118"/>
    <w:multiLevelType w:val="hybridMultilevel"/>
    <w:tmpl w:val="107E043E"/>
    <w:lvl w:ilvl="0" w:tplc="A478A216">
      <w:numFmt w:val="bullet"/>
      <w:lvlText w:val=""/>
      <w:lvlJc w:val="left"/>
      <w:pPr>
        <w:tabs>
          <w:tab w:val="num" w:pos="890"/>
        </w:tabs>
        <w:ind w:left="890" w:hanging="170"/>
      </w:pPr>
      <w:rPr>
        <w:rFonts w:ascii="Symbol"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tentative="1">
      <w:start w:val="1"/>
      <w:numFmt w:val="bullet"/>
      <w:lvlText w:val=""/>
      <w:lvlJc w:val="left"/>
      <w:pPr>
        <w:tabs>
          <w:tab w:val="num" w:pos="2880"/>
        </w:tabs>
        <w:ind w:left="2880" w:hanging="360"/>
      </w:pPr>
      <w:rPr>
        <w:rFonts w:ascii="Wingdings" w:hAnsi="Wingdings" w:hint="default"/>
      </w:rPr>
    </w:lvl>
    <w:lvl w:ilvl="3" w:tplc="00010410" w:tentative="1">
      <w:start w:val="1"/>
      <w:numFmt w:val="bullet"/>
      <w:lvlText w:val=""/>
      <w:lvlJc w:val="left"/>
      <w:pPr>
        <w:tabs>
          <w:tab w:val="num" w:pos="3600"/>
        </w:tabs>
        <w:ind w:left="3600" w:hanging="360"/>
      </w:pPr>
      <w:rPr>
        <w:rFonts w:ascii="Symbol" w:hAnsi="Symbol" w:hint="default"/>
      </w:rPr>
    </w:lvl>
    <w:lvl w:ilvl="4" w:tplc="00030410" w:tentative="1">
      <w:start w:val="1"/>
      <w:numFmt w:val="bullet"/>
      <w:lvlText w:val="o"/>
      <w:lvlJc w:val="left"/>
      <w:pPr>
        <w:tabs>
          <w:tab w:val="num" w:pos="4320"/>
        </w:tabs>
        <w:ind w:left="4320" w:hanging="360"/>
      </w:pPr>
      <w:rPr>
        <w:rFonts w:ascii="Courier New" w:hAnsi="Courier New" w:hint="default"/>
      </w:rPr>
    </w:lvl>
    <w:lvl w:ilvl="5" w:tplc="00050410" w:tentative="1">
      <w:start w:val="1"/>
      <w:numFmt w:val="bullet"/>
      <w:lvlText w:val=""/>
      <w:lvlJc w:val="left"/>
      <w:pPr>
        <w:tabs>
          <w:tab w:val="num" w:pos="5040"/>
        </w:tabs>
        <w:ind w:left="5040" w:hanging="360"/>
      </w:pPr>
      <w:rPr>
        <w:rFonts w:ascii="Wingdings" w:hAnsi="Wingdings" w:hint="default"/>
      </w:rPr>
    </w:lvl>
    <w:lvl w:ilvl="6" w:tplc="00010410" w:tentative="1">
      <w:start w:val="1"/>
      <w:numFmt w:val="bullet"/>
      <w:lvlText w:val=""/>
      <w:lvlJc w:val="left"/>
      <w:pPr>
        <w:tabs>
          <w:tab w:val="num" w:pos="5760"/>
        </w:tabs>
        <w:ind w:left="5760" w:hanging="360"/>
      </w:pPr>
      <w:rPr>
        <w:rFonts w:ascii="Symbol" w:hAnsi="Symbol" w:hint="default"/>
      </w:rPr>
    </w:lvl>
    <w:lvl w:ilvl="7" w:tplc="00030410" w:tentative="1">
      <w:start w:val="1"/>
      <w:numFmt w:val="bullet"/>
      <w:lvlText w:val="o"/>
      <w:lvlJc w:val="left"/>
      <w:pPr>
        <w:tabs>
          <w:tab w:val="num" w:pos="6480"/>
        </w:tabs>
        <w:ind w:left="6480" w:hanging="360"/>
      </w:pPr>
      <w:rPr>
        <w:rFonts w:ascii="Courier New" w:hAnsi="Courier New" w:hint="default"/>
      </w:rPr>
    </w:lvl>
    <w:lvl w:ilvl="8" w:tplc="0005041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74E28"/>
    <w:multiLevelType w:val="hybridMultilevel"/>
    <w:tmpl w:val="3C88B5F8"/>
    <w:lvl w:ilvl="0" w:tplc="A66C2AF6">
      <w:numFmt w:val="bullet"/>
      <w:lvlText w:val=""/>
      <w:lvlJc w:val="left"/>
      <w:pPr>
        <w:tabs>
          <w:tab w:val="num" w:pos="1080"/>
        </w:tabs>
        <w:ind w:left="1080" w:hanging="360"/>
      </w:pPr>
      <w:rPr>
        <w:rFonts w:ascii="Symbol" w:eastAsia="Times New Roman" w:hAnsi="Symbol" w:hint="default"/>
        <w:w w:val="0"/>
      </w:rPr>
    </w:lvl>
    <w:lvl w:ilvl="1" w:tplc="00030410">
      <w:start w:val="1"/>
      <w:numFmt w:val="bullet"/>
      <w:lvlText w:val="o"/>
      <w:lvlJc w:val="left"/>
      <w:pPr>
        <w:tabs>
          <w:tab w:val="num" w:pos="1800"/>
        </w:tabs>
        <w:ind w:left="1800" w:hanging="360"/>
      </w:pPr>
      <w:rPr>
        <w:rFonts w:ascii="Courier New" w:hAnsi="Courier New" w:hint="default"/>
      </w:rPr>
    </w:lvl>
    <w:lvl w:ilvl="2" w:tplc="00050410">
      <w:start w:val="1"/>
      <w:numFmt w:val="bullet"/>
      <w:lvlText w:val=""/>
      <w:lvlJc w:val="left"/>
      <w:pPr>
        <w:tabs>
          <w:tab w:val="num" w:pos="2520"/>
        </w:tabs>
        <w:ind w:left="2520" w:hanging="360"/>
      </w:pPr>
      <w:rPr>
        <w:rFonts w:ascii="Wingdings" w:hAnsi="Wingdings" w:hint="default"/>
      </w:rPr>
    </w:lvl>
    <w:lvl w:ilvl="3" w:tplc="00010410">
      <w:start w:val="1"/>
      <w:numFmt w:val="bullet"/>
      <w:lvlText w:val=""/>
      <w:lvlJc w:val="left"/>
      <w:pPr>
        <w:tabs>
          <w:tab w:val="num" w:pos="3240"/>
        </w:tabs>
        <w:ind w:left="3240" w:hanging="360"/>
      </w:pPr>
      <w:rPr>
        <w:rFonts w:ascii="Symbol" w:eastAsia="Times New Roman" w:hAnsi="Symbol" w:hint="default"/>
      </w:rPr>
    </w:lvl>
    <w:lvl w:ilvl="4" w:tplc="00030410">
      <w:start w:val="1"/>
      <w:numFmt w:val="bullet"/>
      <w:lvlText w:val="o"/>
      <w:lvlJc w:val="left"/>
      <w:pPr>
        <w:tabs>
          <w:tab w:val="num" w:pos="3960"/>
        </w:tabs>
        <w:ind w:left="3960" w:hanging="360"/>
      </w:pPr>
      <w:rPr>
        <w:rFonts w:ascii="Courier New" w:hAnsi="Courier New" w:hint="default"/>
      </w:rPr>
    </w:lvl>
    <w:lvl w:ilvl="5" w:tplc="00050410">
      <w:start w:val="1"/>
      <w:numFmt w:val="bullet"/>
      <w:lvlText w:val=""/>
      <w:lvlJc w:val="left"/>
      <w:pPr>
        <w:tabs>
          <w:tab w:val="num" w:pos="4680"/>
        </w:tabs>
        <w:ind w:left="4680" w:hanging="360"/>
      </w:pPr>
      <w:rPr>
        <w:rFonts w:ascii="Wingdings" w:hAnsi="Wingdings" w:hint="default"/>
      </w:rPr>
    </w:lvl>
    <w:lvl w:ilvl="6" w:tplc="00010410">
      <w:start w:val="1"/>
      <w:numFmt w:val="bullet"/>
      <w:lvlText w:val=""/>
      <w:lvlJc w:val="left"/>
      <w:pPr>
        <w:tabs>
          <w:tab w:val="num" w:pos="5400"/>
        </w:tabs>
        <w:ind w:left="5400" w:hanging="360"/>
      </w:pPr>
      <w:rPr>
        <w:rFonts w:ascii="Symbol" w:eastAsia="Times New Roman" w:hAnsi="Symbol" w:hint="default"/>
      </w:rPr>
    </w:lvl>
    <w:lvl w:ilvl="7" w:tplc="00030410">
      <w:start w:val="1"/>
      <w:numFmt w:val="bullet"/>
      <w:lvlText w:val="o"/>
      <w:lvlJc w:val="left"/>
      <w:pPr>
        <w:tabs>
          <w:tab w:val="num" w:pos="6120"/>
        </w:tabs>
        <w:ind w:left="6120" w:hanging="360"/>
      </w:pPr>
      <w:rPr>
        <w:rFonts w:ascii="Courier New" w:hAnsi="Courier New" w:hint="default"/>
      </w:rPr>
    </w:lvl>
    <w:lvl w:ilvl="8" w:tplc="00050410">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70C6245"/>
    <w:multiLevelType w:val="hybridMultilevel"/>
    <w:tmpl w:val="8564F37E"/>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0"/>
  </w:num>
  <w:num w:numId="4">
    <w:abstractNumId w:val="8"/>
  </w:num>
  <w:num w:numId="5">
    <w:abstractNumId w:val="7"/>
  </w:num>
  <w:num w:numId="6">
    <w:abstractNumId w:val="6"/>
  </w:num>
  <w:num w:numId="7">
    <w:abstractNumId w:val="5"/>
  </w:num>
  <w:num w:numId="8">
    <w:abstractNumId w:val="0"/>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23"/>
  </w:num>
  <w:num w:numId="17">
    <w:abstractNumId w:val="20"/>
  </w:num>
  <w:num w:numId="18">
    <w:abstractNumId w:val="17"/>
  </w:num>
  <w:num w:numId="19">
    <w:abstractNumId w:val="28"/>
  </w:num>
  <w:num w:numId="20">
    <w:abstractNumId w:val="25"/>
  </w:num>
  <w:num w:numId="21">
    <w:abstractNumId w:val="26"/>
  </w:num>
  <w:num w:numId="22">
    <w:abstractNumId w:val="19"/>
  </w:num>
  <w:num w:numId="23">
    <w:abstractNumId w:val="22"/>
  </w:num>
  <w:num w:numId="24">
    <w:abstractNumId w:val="27"/>
  </w:num>
  <w:num w:numId="25">
    <w:abstractNumId w:val="16"/>
  </w:num>
  <w:num w:numId="26">
    <w:abstractNumId w:val="15"/>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71"/>
    <w:rsid w:val="00131DF4"/>
    <w:rsid w:val="002A63C9"/>
    <w:rsid w:val="00352E6A"/>
    <w:rsid w:val="00415461"/>
    <w:rsid w:val="00875BED"/>
    <w:rsid w:val="00924172"/>
    <w:rsid w:val="00B02871"/>
    <w:rsid w:val="00C32EDD"/>
    <w:rsid w:val="00D9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6D1E77"/>
  <w14:defaultImageDpi w14:val="32767"/>
  <w15:chartTrackingRefBased/>
  <w15:docId w15:val="{4DCD19EB-DEF3-744C-97B9-921A1CB2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2871"/>
    <w:pPr>
      <w:spacing w:line="312" w:lineRule="auto"/>
      <w:jc w:val="both"/>
    </w:pPr>
    <w:rPr>
      <w:rFonts w:ascii="Arial" w:eastAsia="Times New Roman" w:hAnsi="Arial" w:cs="Times New Roman"/>
      <w:szCs w:val="20"/>
      <w:lang w:eastAsia="it-IT"/>
    </w:rPr>
  </w:style>
  <w:style w:type="paragraph" w:styleId="Heading1">
    <w:name w:val="heading 1"/>
    <w:aliases w:val="Titolo 1 tesi Nisa"/>
    <w:basedOn w:val="Normal"/>
    <w:next w:val="CorpodeltestotesiNisa"/>
    <w:link w:val="Heading1Char"/>
    <w:qFormat/>
    <w:rsid w:val="00875BED"/>
    <w:pPr>
      <w:keepNext/>
      <w:pageBreakBefore/>
      <w:spacing w:before="1200" w:after="120"/>
      <w:jc w:val="left"/>
      <w:outlineLvl w:val="0"/>
    </w:pPr>
    <w:rPr>
      <w:b/>
      <w:kern w:val="32"/>
      <w:sz w:val="32"/>
      <w:szCs w:val="32"/>
    </w:rPr>
  </w:style>
  <w:style w:type="paragraph" w:styleId="Heading2">
    <w:name w:val="heading 2"/>
    <w:aliases w:val="Titolo 2 tesi Nisa"/>
    <w:basedOn w:val="Normal"/>
    <w:next w:val="CorpodeltestotesiNisa"/>
    <w:link w:val="Heading2Char"/>
    <w:qFormat/>
    <w:rsid w:val="00B02871"/>
    <w:pPr>
      <w:keepNext/>
      <w:spacing w:before="240" w:after="120"/>
      <w:outlineLvl w:val="1"/>
    </w:pPr>
    <w:rPr>
      <w:b/>
      <w:sz w:val="28"/>
      <w:szCs w:val="28"/>
    </w:rPr>
  </w:style>
  <w:style w:type="paragraph" w:styleId="Heading3">
    <w:name w:val="heading 3"/>
    <w:aliases w:val="Titolo 3 tesi Nisa"/>
    <w:basedOn w:val="Normal"/>
    <w:next w:val="CorpodeltestotesiNisa"/>
    <w:link w:val="Heading3Char"/>
    <w:qFormat/>
    <w:rsid w:val="00B02871"/>
    <w:pPr>
      <w:keepNext/>
      <w:spacing w:before="240" w:after="60"/>
      <w:outlineLvl w:val="2"/>
    </w:pPr>
    <w:rPr>
      <w:b/>
      <w:i/>
      <w:szCs w:val="26"/>
    </w:rPr>
  </w:style>
  <w:style w:type="paragraph" w:styleId="Heading4">
    <w:name w:val="heading 4"/>
    <w:aliases w:val="Titolo 4 tesi nisa,Titolo 4 tesi Nisa"/>
    <w:basedOn w:val="Heading3"/>
    <w:next w:val="Normal"/>
    <w:link w:val="Heading4Char"/>
    <w:qFormat/>
    <w:rsid w:val="00B02871"/>
    <w:pPr>
      <w:outlineLvl w:val="3"/>
    </w:pPr>
    <w:rPr>
      <w:b w:val="0"/>
      <w:i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olo 1 tesi Nisa Char"/>
    <w:basedOn w:val="DefaultParagraphFont"/>
    <w:link w:val="Heading1"/>
    <w:rsid w:val="00875BED"/>
    <w:rPr>
      <w:rFonts w:ascii="Arial" w:eastAsia="Times New Roman" w:hAnsi="Arial" w:cs="Times New Roman"/>
      <w:b/>
      <w:kern w:val="32"/>
      <w:sz w:val="32"/>
      <w:szCs w:val="32"/>
      <w:lang w:eastAsia="it-IT"/>
    </w:rPr>
  </w:style>
  <w:style w:type="character" w:customStyle="1" w:styleId="Heading2Char">
    <w:name w:val="Heading 2 Char"/>
    <w:aliases w:val="Titolo 2 tesi Nisa Char"/>
    <w:basedOn w:val="DefaultParagraphFont"/>
    <w:link w:val="Heading2"/>
    <w:rsid w:val="00B02871"/>
    <w:rPr>
      <w:rFonts w:ascii="Arial" w:eastAsia="Times New Roman" w:hAnsi="Arial" w:cs="Times New Roman"/>
      <w:b/>
      <w:sz w:val="28"/>
      <w:szCs w:val="28"/>
      <w:lang w:val="it-IT" w:eastAsia="it-IT"/>
    </w:rPr>
  </w:style>
  <w:style w:type="character" w:customStyle="1" w:styleId="Heading3Char">
    <w:name w:val="Heading 3 Char"/>
    <w:aliases w:val="Titolo 3 tesi Nisa Char"/>
    <w:basedOn w:val="DefaultParagraphFont"/>
    <w:link w:val="Heading3"/>
    <w:rsid w:val="00B02871"/>
    <w:rPr>
      <w:rFonts w:ascii="Arial" w:eastAsia="Times New Roman" w:hAnsi="Arial" w:cs="Times New Roman"/>
      <w:b/>
      <w:i/>
      <w:szCs w:val="26"/>
      <w:lang w:eastAsia="it-IT"/>
    </w:rPr>
  </w:style>
  <w:style w:type="character" w:customStyle="1" w:styleId="Heading4Char">
    <w:name w:val="Heading 4 Char"/>
    <w:aliases w:val="Titolo 4 tesi nisa Char,Titolo 4 tesi Nisa Char"/>
    <w:basedOn w:val="DefaultParagraphFont"/>
    <w:link w:val="Heading4"/>
    <w:rsid w:val="00B02871"/>
    <w:rPr>
      <w:rFonts w:ascii="Arial" w:eastAsia="Times New Roman" w:hAnsi="Arial" w:cs="Times New Roman"/>
      <w:szCs w:val="28"/>
      <w:lang w:eastAsia="it-IT"/>
    </w:rPr>
  </w:style>
  <w:style w:type="paragraph" w:customStyle="1" w:styleId="CorpodeltestotesiNisa">
    <w:name w:val="Corpo del testo tesi Nisa"/>
    <w:basedOn w:val="Normal"/>
    <w:rsid w:val="00B02871"/>
    <w:pPr>
      <w:ind w:firstLine="567"/>
    </w:pPr>
  </w:style>
  <w:style w:type="paragraph" w:customStyle="1" w:styleId="BloccotestotesiNisa">
    <w:name w:val="Blocco testo tesi Nisa"/>
    <w:basedOn w:val="Normal"/>
    <w:next w:val="Normal"/>
    <w:rsid w:val="00B02871"/>
    <w:pPr>
      <w:spacing w:before="480" w:after="480"/>
      <w:ind w:left="567" w:right="567"/>
    </w:pPr>
    <w:rPr>
      <w:sz w:val="18"/>
    </w:rPr>
  </w:style>
  <w:style w:type="paragraph" w:customStyle="1" w:styleId="elencononnumeratotesinisa">
    <w:name w:val="elenco non numerato tesi nisa"/>
    <w:basedOn w:val="CorpodeltestotesiNisa"/>
    <w:rsid w:val="00B02871"/>
    <w:pPr>
      <w:numPr>
        <w:numId w:val="1"/>
      </w:numPr>
      <w:spacing w:before="120" w:after="120"/>
      <w:ind w:left="714" w:hanging="357"/>
    </w:pPr>
  </w:style>
  <w:style w:type="paragraph" w:styleId="FootnoteText">
    <w:name w:val="footnote text"/>
    <w:aliases w:val="Testo nota a piè di pagina tesi Nisa"/>
    <w:basedOn w:val="Normal"/>
    <w:link w:val="FootnoteTextChar"/>
    <w:semiHidden/>
    <w:rsid w:val="00B02871"/>
    <w:pPr>
      <w:keepLines/>
    </w:pPr>
    <w:rPr>
      <w:sz w:val="20"/>
      <w:szCs w:val="24"/>
    </w:rPr>
  </w:style>
  <w:style w:type="character" w:customStyle="1" w:styleId="FootnoteTextChar">
    <w:name w:val="Footnote Text Char"/>
    <w:aliases w:val="Testo nota a piè di pagina tesi Nisa Char"/>
    <w:basedOn w:val="DefaultParagraphFont"/>
    <w:link w:val="FootnoteText"/>
    <w:semiHidden/>
    <w:rsid w:val="00B02871"/>
    <w:rPr>
      <w:rFonts w:ascii="Arial" w:eastAsia="Times New Roman" w:hAnsi="Arial" w:cs="Times New Roman"/>
      <w:sz w:val="20"/>
      <w:lang w:eastAsia="it-IT"/>
    </w:rPr>
  </w:style>
  <w:style w:type="paragraph" w:customStyle="1" w:styleId="DidascalietesiNisa">
    <w:name w:val="Didascalie tesi Nisa"/>
    <w:basedOn w:val="Normal"/>
    <w:rsid w:val="00B02871"/>
    <w:pPr>
      <w:spacing w:before="360" w:after="120"/>
    </w:pPr>
    <w:rPr>
      <w:sz w:val="20"/>
    </w:rPr>
  </w:style>
  <w:style w:type="character" w:styleId="FollowedHyperlink">
    <w:name w:val="FollowedHyperlink"/>
    <w:rsid w:val="00B02871"/>
    <w:rPr>
      <w:color w:val="800080"/>
      <w:u w:val="single"/>
    </w:rPr>
  </w:style>
  <w:style w:type="character" w:styleId="FootnoteReference">
    <w:name w:val="footnote reference"/>
    <w:semiHidden/>
    <w:rsid w:val="00B02871"/>
    <w:rPr>
      <w:vertAlign w:val="superscript"/>
    </w:rPr>
  </w:style>
  <w:style w:type="paragraph" w:styleId="Footer">
    <w:name w:val="footer"/>
    <w:basedOn w:val="Normal"/>
    <w:link w:val="FooterChar"/>
    <w:semiHidden/>
    <w:rsid w:val="00B02871"/>
    <w:pPr>
      <w:tabs>
        <w:tab w:val="center" w:pos="4819"/>
        <w:tab w:val="right" w:pos="9638"/>
      </w:tabs>
    </w:pPr>
  </w:style>
  <w:style w:type="character" w:customStyle="1" w:styleId="FooterChar">
    <w:name w:val="Footer Char"/>
    <w:basedOn w:val="DefaultParagraphFont"/>
    <w:link w:val="Footer"/>
    <w:semiHidden/>
    <w:rsid w:val="00B02871"/>
    <w:rPr>
      <w:rFonts w:ascii="Arial" w:eastAsia="Times New Roman" w:hAnsi="Arial" w:cs="Times New Roman"/>
      <w:szCs w:val="20"/>
      <w:lang w:val="it-IT" w:eastAsia="it-IT"/>
    </w:rPr>
  </w:style>
  <w:style w:type="character" w:styleId="Hyperlink">
    <w:name w:val="Hyperlink"/>
    <w:rsid w:val="00B02871"/>
    <w:rPr>
      <w:color w:val="0000FF"/>
      <w:u w:val="single"/>
    </w:rPr>
  </w:style>
  <w:style w:type="paragraph" w:styleId="CommentText">
    <w:name w:val="annotation text"/>
    <w:basedOn w:val="Normal"/>
    <w:link w:val="CommentTextChar"/>
    <w:uiPriority w:val="99"/>
    <w:semiHidden/>
    <w:rsid w:val="00B02871"/>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rsid w:val="00B02871"/>
    <w:rPr>
      <w:rFonts w:ascii="Times New Roman" w:eastAsia="Times New Roman" w:hAnsi="Times New Roman" w:cs="Times New Roman"/>
      <w:lang w:val="it-IT" w:eastAsia="it-IT"/>
    </w:rPr>
  </w:style>
  <w:style w:type="paragraph" w:styleId="BalloonText">
    <w:name w:val="Balloon Text"/>
    <w:basedOn w:val="Normal"/>
    <w:link w:val="BalloonTextChar"/>
    <w:semiHidden/>
    <w:rsid w:val="00B02871"/>
    <w:pPr>
      <w:jc w:val="left"/>
    </w:pPr>
    <w:rPr>
      <w:rFonts w:ascii="Lucida Grande" w:hAnsi="Lucida Grande"/>
      <w:sz w:val="18"/>
      <w:szCs w:val="18"/>
    </w:rPr>
  </w:style>
  <w:style w:type="character" w:customStyle="1" w:styleId="BalloonTextChar">
    <w:name w:val="Balloon Text Char"/>
    <w:basedOn w:val="DefaultParagraphFont"/>
    <w:link w:val="BalloonText"/>
    <w:semiHidden/>
    <w:rsid w:val="00B02871"/>
    <w:rPr>
      <w:rFonts w:ascii="Lucida Grande" w:eastAsia="Times New Roman" w:hAnsi="Lucida Grande" w:cs="Times New Roman"/>
      <w:sz w:val="18"/>
      <w:szCs w:val="18"/>
      <w:lang w:val="it-IT" w:eastAsia="it-IT"/>
    </w:rPr>
  </w:style>
  <w:style w:type="paragraph" w:styleId="Header">
    <w:name w:val="header"/>
    <w:basedOn w:val="Normal"/>
    <w:link w:val="HeaderChar"/>
    <w:rsid w:val="00B02871"/>
    <w:pPr>
      <w:tabs>
        <w:tab w:val="center" w:pos="4819"/>
        <w:tab w:val="right" w:pos="9638"/>
      </w:tabs>
    </w:pPr>
  </w:style>
  <w:style w:type="character" w:customStyle="1" w:styleId="HeaderChar">
    <w:name w:val="Header Char"/>
    <w:basedOn w:val="DefaultParagraphFont"/>
    <w:link w:val="Header"/>
    <w:rsid w:val="00B02871"/>
    <w:rPr>
      <w:rFonts w:ascii="Arial" w:eastAsia="Times New Roman" w:hAnsi="Arial" w:cs="Times New Roman"/>
      <w:szCs w:val="20"/>
      <w:lang w:val="it-IT" w:eastAsia="it-IT"/>
    </w:rPr>
  </w:style>
  <w:style w:type="character" w:styleId="CommentReference">
    <w:name w:val="annotation reference"/>
    <w:uiPriority w:val="99"/>
    <w:semiHidden/>
    <w:unhideWhenUsed/>
    <w:rsid w:val="00B02871"/>
    <w:rPr>
      <w:sz w:val="16"/>
      <w:szCs w:val="16"/>
    </w:rPr>
  </w:style>
  <w:style w:type="paragraph" w:customStyle="1" w:styleId="BibliografiatesiNisa">
    <w:name w:val="Bibliografia tesi Nisa"/>
    <w:basedOn w:val="Normal"/>
    <w:rsid w:val="00B02871"/>
    <w:pPr>
      <w:spacing w:line="480" w:lineRule="auto"/>
      <w:ind w:left="567" w:hanging="567"/>
    </w:pPr>
    <w:rPr>
      <w:szCs w:val="24"/>
    </w:rPr>
  </w:style>
  <w:style w:type="paragraph" w:styleId="TOC1">
    <w:name w:val="toc 1"/>
    <w:basedOn w:val="Normal"/>
    <w:next w:val="Normal"/>
    <w:autoRedefine/>
    <w:uiPriority w:val="39"/>
    <w:rsid w:val="00B02871"/>
    <w:pPr>
      <w:spacing w:before="360" w:after="360"/>
      <w:jc w:val="left"/>
    </w:pPr>
    <w:rPr>
      <w:rFonts w:ascii="Times New Roman" w:hAnsi="Times New Roman"/>
      <w:b/>
      <w:caps/>
      <w:sz w:val="22"/>
      <w:szCs w:val="22"/>
      <w:u w:val="single"/>
    </w:rPr>
  </w:style>
  <w:style w:type="paragraph" w:styleId="TOC2">
    <w:name w:val="toc 2"/>
    <w:basedOn w:val="Normal"/>
    <w:next w:val="Normal"/>
    <w:autoRedefine/>
    <w:uiPriority w:val="39"/>
    <w:rsid w:val="00B02871"/>
    <w:pPr>
      <w:jc w:val="left"/>
    </w:pPr>
    <w:rPr>
      <w:rFonts w:ascii="Times New Roman" w:hAnsi="Times New Roman"/>
      <w:b/>
      <w:smallCaps/>
      <w:sz w:val="22"/>
      <w:szCs w:val="22"/>
    </w:rPr>
  </w:style>
  <w:style w:type="paragraph" w:styleId="TOC3">
    <w:name w:val="toc 3"/>
    <w:basedOn w:val="Normal"/>
    <w:next w:val="Normal"/>
    <w:autoRedefine/>
    <w:uiPriority w:val="39"/>
    <w:rsid w:val="00B02871"/>
    <w:pPr>
      <w:jc w:val="left"/>
    </w:pPr>
    <w:rPr>
      <w:rFonts w:ascii="Times New Roman" w:hAnsi="Times New Roman"/>
      <w:smallCaps/>
      <w:sz w:val="22"/>
      <w:szCs w:val="22"/>
    </w:rPr>
  </w:style>
  <w:style w:type="paragraph" w:styleId="TOC4">
    <w:name w:val="toc 4"/>
    <w:basedOn w:val="Normal"/>
    <w:next w:val="Normal"/>
    <w:autoRedefine/>
    <w:uiPriority w:val="39"/>
    <w:rsid w:val="00B02871"/>
    <w:pPr>
      <w:jc w:val="left"/>
    </w:pPr>
    <w:rPr>
      <w:rFonts w:ascii="Times New Roman" w:hAnsi="Times New Roman"/>
      <w:sz w:val="22"/>
      <w:szCs w:val="22"/>
    </w:rPr>
  </w:style>
  <w:style w:type="paragraph" w:styleId="TOC5">
    <w:name w:val="toc 5"/>
    <w:basedOn w:val="Normal"/>
    <w:next w:val="Normal"/>
    <w:autoRedefine/>
    <w:semiHidden/>
    <w:rsid w:val="00B02871"/>
    <w:pPr>
      <w:jc w:val="left"/>
    </w:pPr>
    <w:rPr>
      <w:rFonts w:ascii="Times New Roman" w:hAnsi="Times New Roman"/>
      <w:sz w:val="22"/>
      <w:szCs w:val="22"/>
    </w:rPr>
  </w:style>
  <w:style w:type="paragraph" w:styleId="TOC6">
    <w:name w:val="toc 6"/>
    <w:basedOn w:val="Normal"/>
    <w:next w:val="Normal"/>
    <w:autoRedefine/>
    <w:semiHidden/>
    <w:rsid w:val="00B02871"/>
    <w:pPr>
      <w:jc w:val="left"/>
    </w:pPr>
    <w:rPr>
      <w:rFonts w:ascii="Times New Roman" w:hAnsi="Times New Roman"/>
      <w:sz w:val="22"/>
      <w:szCs w:val="22"/>
    </w:rPr>
  </w:style>
  <w:style w:type="paragraph" w:styleId="TOC7">
    <w:name w:val="toc 7"/>
    <w:basedOn w:val="Normal"/>
    <w:next w:val="Normal"/>
    <w:autoRedefine/>
    <w:semiHidden/>
    <w:rsid w:val="00B02871"/>
    <w:pPr>
      <w:jc w:val="left"/>
    </w:pPr>
    <w:rPr>
      <w:rFonts w:ascii="Times New Roman" w:hAnsi="Times New Roman"/>
      <w:sz w:val="22"/>
      <w:szCs w:val="22"/>
    </w:rPr>
  </w:style>
  <w:style w:type="paragraph" w:styleId="TOC8">
    <w:name w:val="toc 8"/>
    <w:basedOn w:val="Normal"/>
    <w:next w:val="Normal"/>
    <w:autoRedefine/>
    <w:semiHidden/>
    <w:rsid w:val="00B02871"/>
    <w:pPr>
      <w:jc w:val="left"/>
    </w:pPr>
    <w:rPr>
      <w:rFonts w:ascii="Times New Roman" w:hAnsi="Times New Roman"/>
      <w:sz w:val="22"/>
      <w:szCs w:val="22"/>
    </w:rPr>
  </w:style>
  <w:style w:type="paragraph" w:styleId="TOC9">
    <w:name w:val="toc 9"/>
    <w:basedOn w:val="Normal"/>
    <w:next w:val="Normal"/>
    <w:autoRedefine/>
    <w:semiHidden/>
    <w:rsid w:val="00B02871"/>
    <w:pPr>
      <w:jc w:val="left"/>
    </w:pPr>
    <w:rPr>
      <w:rFonts w:ascii="Times New Roman" w:hAnsi="Times New Roman"/>
      <w:sz w:val="22"/>
      <w:szCs w:val="22"/>
    </w:rPr>
  </w:style>
  <w:style w:type="paragraph" w:styleId="CommentSubject">
    <w:name w:val="annotation subject"/>
    <w:basedOn w:val="CommentText"/>
    <w:next w:val="CommentText"/>
    <w:link w:val="CommentSubjectChar"/>
    <w:uiPriority w:val="99"/>
    <w:semiHidden/>
    <w:unhideWhenUsed/>
    <w:rsid w:val="00B02871"/>
    <w:pPr>
      <w:ind w:firstLine="284"/>
      <w:jc w:val="both"/>
    </w:pPr>
    <w:rPr>
      <w:rFonts w:ascii="Arial" w:hAnsi="Arial"/>
      <w:b/>
      <w:bCs/>
      <w:sz w:val="20"/>
      <w:szCs w:val="20"/>
    </w:rPr>
  </w:style>
  <w:style w:type="character" w:customStyle="1" w:styleId="CommentSubjectChar">
    <w:name w:val="Comment Subject Char"/>
    <w:basedOn w:val="CommentTextChar"/>
    <w:link w:val="CommentSubject"/>
    <w:uiPriority w:val="99"/>
    <w:semiHidden/>
    <w:rsid w:val="00B02871"/>
    <w:rPr>
      <w:rFonts w:ascii="Arial" w:eastAsia="Times New Roman" w:hAnsi="Arial" w:cs="Times New Roman"/>
      <w:b/>
      <w:bCs/>
      <w:sz w:val="20"/>
      <w:szCs w:val="20"/>
      <w:lang w:val="it-IT" w:eastAsia="it-IT"/>
    </w:rPr>
  </w:style>
  <w:style w:type="character" w:customStyle="1" w:styleId="shorttext">
    <w:name w:val="short_text"/>
    <w:rsid w:val="00B02871"/>
  </w:style>
  <w:style w:type="character" w:customStyle="1" w:styleId="gt-card-ttl-txt">
    <w:name w:val="gt-card-ttl-txt"/>
    <w:rsid w:val="00B02871"/>
  </w:style>
  <w:style w:type="table" w:styleId="TableGrid">
    <w:name w:val="Table Grid"/>
    <w:basedOn w:val="TableNormal"/>
    <w:uiPriority w:val="39"/>
    <w:rsid w:val="00B02871"/>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2871"/>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B02871"/>
    <w:rPr>
      <w:i/>
      <w:iCs/>
    </w:rPr>
  </w:style>
  <w:style w:type="paragraph" w:styleId="DocumentMap">
    <w:name w:val="Document Map"/>
    <w:basedOn w:val="Normal"/>
    <w:link w:val="DocumentMapChar"/>
    <w:uiPriority w:val="99"/>
    <w:semiHidden/>
    <w:unhideWhenUsed/>
    <w:rsid w:val="00B02871"/>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B02871"/>
    <w:rPr>
      <w:rFonts w:ascii="Lucida Grande" w:eastAsia="Times New Roman" w:hAnsi="Lucida Grande" w:cs="Lucida Grande"/>
      <w:lang w:val="it-IT" w:eastAsia="it-IT"/>
    </w:rPr>
  </w:style>
  <w:style w:type="paragraph" w:styleId="Revision">
    <w:name w:val="Revision"/>
    <w:hidden/>
    <w:uiPriority w:val="71"/>
    <w:rsid w:val="00B02871"/>
    <w:rPr>
      <w:rFonts w:ascii="Arial" w:eastAsia="Times New Roman" w:hAnsi="Arial" w:cs="Times New Roman"/>
      <w:szCs w:val="20"/>
      <w:lang w:val="it-IT" w:eastAsia="it-IT"/>
    </w:rPr>
  </w:style>
  <w:style w:type="character" w:customStyle="1" w:styleId="a">
    <w:name w:val="a"/>
    <w:basedOn w:val="DefaultParagraphFont"/>
    <w:rsid w:val="00B02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5632</Words>
  <Characters>32108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2018-11-09T13:05:00Z</dcterms:created>
  <dcterms:modified xsi:type="dcterms:W3CDTF">2018-11-12T11:01:00Z</dcterms:modified>
</cp:coreProperties>
</file>