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3377E" w14:textId="00A5B50C" w:rsidR="00796AB8" w:rsidRPr="00796AB8" w:rsidRDefault="00796AB8" w:rsidP="00796AB8">
      <w:pPr>
        <w:pStyle w:val="Heading1"/>
      </w:pPr>
      <w:bookmarkStart w:id="0" w:name="_Toc524106415"/>
      <w:r w:rsidRPr="00796AB8">
        <w:t>5. COMMUNITIES BEYOND ‘COMMUNITY’</w:t>
      </w:r>
      <w:bookmarkEnd w:id="0"/>
    </w:p>
    <w:p w14:paraId="29C4A335" w14:textId="77777777" w:rsidR="00796AB8" w:rsidRPr="00796AB8" w:rsidRDefault="00796AB8" w:rsidP="00796AB8">
      <w:proofErr w:type="spellStart"/>
      <w:r w:rsidRPr="00796AB8">
        <w:t>While</w:t>
      </w:r>
      <w:proofErr w:type="spellEnd"/>
      <w:r w:rsidRPr="00796AB8">
        <w:t xml:space="preserve"> the </w:t>
      </w:r>
      <w:proofErr w:type="spellStart"/>
      <w:r w:rsidRPr="00796AB8">
        <w:t>previous</w:t>
      </w:r>
      <w:proofErr w:type="spellEnd"/>
      <w:r w:rsidRPr="00796AB8">
        <w:t xml:space="preserve"> </w:t>
      </w:r>
      <w:proofErr w:type="spellStart"/>
      <w:r w:rsidRPr="00796AB8">
        <w:t>chapter</w:t>
      </w:r>
      <w:proofErr w:type="spellEnd"/>
      <w:r w:rsidRPr="00796AB8">
        <w:t xml:space="preserve"> </w:t>
      </w:r>
      <w:proofErr w:type="spellStart"/>
      <w:r w:rsidRPr="00796AB8">
        <w:t>has</w:t>
      </w:r>
      <w:proofErr w:type="spellEnd"/>
      <w:r w:rsidRPr="00796AB8">
        <w:t xml:space="preserve"> </w:t>
      </w:r>
      <w:proofErr w:type="spellStart"/>
      <w:r w:rsidRPr="00796AB8">
        <w:t>investigated</w:t>
      </w:r>
      <w:proofErr w:type="spellEnd"/>
      <w:r w:rsidRPr="00796AB8">
        <w:t xml:space="preserve"> the </w:t>
      </w:r>
      <w:proofErr w:type="spellStart"/>
      <w:r w:rsidRPr="00796AB8">
        <w:t>semantic</w:t>
      </w:r>
      <w:proofErr w:type="spellEnd"/>
      <w:r w:rsidRPr="00796AB8">
        <w:t xml:space="preserve"> </w:t>
      </w:r>
      <w:proofErr w:type="spellStart"/>
      <w:r w:rsidRPr="00796AB8">
        <w:t>profiling</w:t>
      </w:r>
      <w:proofErr w:type="spellEnd"/>
      <w:r w:rsidRPr="00796AB8">
        <w:t xml:space="preserve"> of ‘online community’, </w:t>
      </w:r>
      <w:proofErr w:type="spellStart"/>
      <w:r w:rsidRPr="00796AB8">
        <w:t>this</w:t>
      </w:r>
      <w:proofErr w:type="spellEnd"/>
      <w:r w:rsidRPr="00796AB8">
        <w:t xml:space="preserve"> </w:t>
      </w:r>
      <w:proofErr w:type="spellStart"/>
      <w:r w:rsidRPr="00796AB8">
        <w:t>chapter</w:t>
      </w:r>
      <w:proofErr w:type="spellEnd"/>
      <w:r w:rsidRPr="00796AB8">
        <w:t xml:space="preserve"> </w:t>
      </w:r>
      <w:proofErr w:type="spellStart"/>
      <w:r w:rsidRPr="00796AB8">
        <w:t>aims</w:t>
      </w:r>
      <w:proofErr w:type="spellEnd"/>
      <w:r w:rsidRPr="00796AB8">
        <w:t xml:space="preserve"> to </w:t>
      </w:r>
      <w:proofErr w:type="spellStart"/>
      <w:r w:rsidRPr="00796AB8">
        <w:t>analyse</w:t>
      </w:r>
      <w:proofErr w:type="spellEnd"/>
      <w:r w:rsidRPr="00796AB8">
        <w:t xml:space="preserve"> </w:t>
      </w:r>
      <w:proofErr w:type="spellStart"/>
      <w:r w:rsidRPr="00796AB8">
        <w:t>how</w:t>
      </w:r>
      <w:proofErr w:type="spellEnd"/>
      <w:r w:rsidRPr="00796AB8">
        <w:t xml:space="preserve"> </w:t>
      </w:r>
      <w:proofErr w:type="spellStart"/>
      <w:r w:rsidRPr="00796AB8">
        <w:t>communities</w:t>
      </w:r>
      <w:proofErr w:type="spellEnd"/>
      <w:r w:rsidRPr="00796AB8">
        <w:t xml:space="preserve"> are </w:t>
      </w:r>
      <w:proofErr w:type="spellStart"/>
      <w:r w:rsidRPr="00796AB8">
        <w:t>implicitly</w:t>
      </w:r>
      <w:proofErr w:type="spellEnd"/>
      <w:r w:rsidRPr="00796AB8">
        <w:t xml:space="preserve"> </w:t>
      </w:r>
      <w:proofErr w:type="spellStart"/>
      <w:r w:rsidRPr="00796AB8">
        <w:t>enacted</w:t>
      </w:r>
      <w:proofErr w:type="spellEnd"/>
      <w:r w:rsidRPr="00796AB8">
        <w:t xml:space="preserve"> </w:t>
      </w:r>
      <w:proofErr w:type="spellStart"/>
      <w:r w:rsidRPr="00796AB8">
        <w:t>through</w:t>
      </w:r>
      <w:proofErr w:type="spellEnd"/>
      <w:r w:rsidRPr="00796AB8">
        <w:t xml:space="preserve"> the data sets of </w:t>
      </w:r>
      <w:proofErr w:type="spellStart"/>
      <w:r w:rsidRPr="00796AB8">
        <w:t>submissions</w:t>
      </w:r>
      <w:proofErr w:type="spellEnd"/>
      <w:r w:rsidRPr="00796AB8">
        <w:t xml:space="preserve"> to Ars </w:t>
      </w:r>
      <w:proofErr w:type="spellStart"/>
      <w:r w:rsidRPr="00796AB8">
        <w:t>Electronica’s</w:t>
      </w:r>
      <w:proofErr w:type="spellEnd"/>
      <w:r w:rsidRPr="00796AB8">
        <w:t xml:space="preserve"> Digital </w:t>
      </w:r>
      <w:proofErr w:type="spellStart"/>
      <w:r w:rsidRPr="00796AB8">
        <w:t>Communities</w:t>
      </w:r>
      <w:proofErr w:type="spellEnd"/>
      <w:r w:rsidRPr="00796AB8">
        <w:t xml:space="preserve"> </w:t>
      </w:r>
      <w:proofErr w:type="spellStart"/>
      <w:r w:rsidRPr="00796AB8">
        <w:t>competition</w:t>
      </w:r>
      <w:proofErr w:type="spellEnd"/>
      <w:r w:rsidRPr="00796AB8">
        <w:t xml:space="preserve">. </w:t>
      </w:r>
      <w:proofErr w:type="spellStart"/>
      <w:r w:rsidRPr="00796AB8">
        <w:t>Drawing</w:t>
      </w:r>
      <w:proofErr w:type="spellEnd"/>
      <w:r w:rsidRPr="00796AB8">
        <w:t xml:space="preserve"> on an anti-</w:t>
      </w:r>
      <w:proofErr w:type="spellStart"/>
      <w:r w:rsidRPr="00796AB8">
        <w:t>essentialist</w:t>
      </w:r>
      <w:proofErr w:type="spellEnd"/>
      <w:r w:rsidRPr="00796AB8">
        <w:t xml:space="preserve">, performative </w:t>
      </w:r>
      <w:proofErr w:type="spellStart"/>
      <w:r w:rsidRPr="00796AB8">
        <w:t>approach</w:t>
      </w:r>
      <w:proofErr w:type="spellEnd"/>
      <w:r w:rsidRPr="00796AB8">
        <w:rPr>
          <w:rStyle w:val="FootnoteReference"/>
          <w:vertAlign w:val="baseline"/>
        </w:rPr>
        <w:footnoteReference w:id="1"/>
      </w:r>
      <w:r w:rsidRPr="00796AB8">
        <w:t xml:space="preserve">, </w:t>
      </w:r>
      <w:proofErr w:type="spellStart"/>
      <w:r w:rsidRPr="00796AB8">
        <w:t>it</w:t>
      </w:r>
      <w:proofErr w:type="spellEnd"/>
      <w:r w:rsidRPr="00796AB8">
        <w:t xml:space="preserve"> </w:t>
      </w:r>
      <w:proofErr w:type="spellStart"/>
      <w:r w:rsidRPr="00796AB8">
        <w:t>focuses</w:t>
      </w:r>
      <w:proofErr w:type="spellEnd"/>
      <w:r w:rsidRPr="00796AB8">
        <w:t xml:space="preserve"> on the way </w:t>
      </w:r>
      <w:proofErr w:type="spellStart"/>
      <w:r w:rsidRPr="00796AB8">
        <w:t>communities</w:t>
      </w:r>
      <w:proofErr w:type="spellEnd"/>
      <w:r w:rsidRPr="00796AB8">
        <w:t xml:space="preserve"> are </w:t>
      </w:r>
      <w:proofErr w:type="spellStart"/>
      <w:r w:rsidRPr="00796AB8">
        <w:t>said</w:t>
      </w:r>
      <w:proofErr w:type="spellEnd"/>
      <w:r w:rsidRPr="00796AB8">
        <w:t xml:space="preserve"> to </w:t>
      </w:r>
      <w:proofErr w:type="spellStart"/>
      <w:r w:rsidRPr="00796AB8">
        <w:t>exist</w:t>
      </w:r>
      <w:proofErr w:type="spellEnd"/>
      <w:r w:rsidRPr="00796AB8">
        <w:t xml:space="preserve"> by </w:t>
      </w:r>
      <w:proofErr w:type="spellStart"/>
      <w:r w:rsidRPr="00796AB8">
        <w:t>spokespersons</w:t>
      </w:r>
      <w:proofErr w:type="spellEnd"/>
      <w:r w:rsidRPr="00796AB8">
        <w:t xml:space="preserve"> to a major </w:t>
      </w:r>
      <w:proofErr w:type="spellStart"/>
      <w:r w:rsidRPr="00796AB8">
        <w:t>international</w:t>
      </w:r>
      <w:proofErr w:type="spellEnd"/>
      <w:r w:rsidRPr="00796AB8">
        <w:t xml:space="preserve"> </w:t>
      </w:r>
      <w:proofErr w:type="spellStart"/>
      <w:r w:rsidRPr="00796AB8">
        <w:t>competition</w:t>
      </w:r>
      <w:proofErr w:type="spellEnd"/>
      <w:r w:rsidRPr="00796AB8">
        <w:t>.</w:t>
      </w:r>
      <w:r w:rsidRPr="00796AB8">
        <w:rPr>
          <w:rStyle w:val="FootnoteReference"/>
          <w:vertAlign w:val="baseline"/>
        </w:rPr>
        <w:footnoteReference w:id="2"/>
      </w:r>
      <w:r w:rsidRPr="00796AB8">
        <w:t xml:space="preserve"> </w:t>
      </w:r>
      <w:proofErr w:type="spellStart"/>
      <w:r w:rsidRPr="00796AB8">
        <w:t>Such</w:t>
      </w:r>
      <w:proofErr w:type="spellEnd"/>
      <w:r w:rsidRPr="00796AB8">
        <w:t xml:space="preserve"> an </w:t>
      </w:r>
      <w:proofErr w:type="spellStart"/>
      <w:r w:rsidRPr="00796AB8">
        <w:t>approach</w:t>
      </w:r>
      <w:proofErr w:type="spellEnd"/>
      <w:r w:rsidRPr="00796AB8">
        <w:t xml:space="preserve"> </w:t>
      </w:r>
      <w:proofErr w:type="spellStart"/>
      <w:r w:rsidRPr="00796AB8">
        <w:t>allows</w:t>
      </w:r>
      <w:proofErr w:type="spellEnd"/>
      <w:r w:rsidRPr="00796AB8">
        <w:t xml:space="preserve"> </w:t>
      </w:r>
      <w:proofErr w:type="spellStart"/>
      <w:r w:rsidRPr="00796AB8">
        <w:t>bypassing</w:t>
      </w:r>
      <w:proofErr w:type="spellEnd"/>
      <w:r w:rsidRPr="00796AB8">
        <w:t xml:space="preserve"> 1990s’ </w:t>
      </w:r>
      <w:proofErr w:type="spellStart"/>
      <w:r w:rsidRPr="00796AB8">
        <w:t>discussions</w:t>
      </w:r>
      <w:proofErr w:type="spellEnd"/>
      <w:r w:rsidRPr="00796AB8">
        <w:t xml:space="preserve"> </w:t>
      </w:r>
      <w:proofErr w:type="spellStart"/>
      <w:r w:rsidRPr="00796AB8">
        <w:t>about</w:t>
      </w:r>
      <w:proofErr w:type="spellEnd"/>
      <w:r w:rsidRPr="00796AB8">
        <w:t xml:space="preserve"> </w:t>
      </w:r>
      <w:proofErr w:type="spellStart"/>
      <w:r w:rsidRPr="00796AB8">
        <w:t>what</w:t>
      </w:r>
      <w:proofErr w:type="spellEnd"/>
      <w:r w:rsidRPr="00796AB8">
        <w:t xml:space="preserve"> </w:t>
      </w:r>
      <w:proofErr w:type="spellStart"/>
      <w:r w:rsidRPr="00796AB8">
        <w:t>should</w:t>
      </w:r>
      <w:proofErr w:type="spellEnd"/>
      <w:r w:rsidRPr="00796AB8">
        <w:t xml:space="preserve"> be </w:t>
      </w:r>
      <w:proofErr w:type="spellStart"/>
      <w:r w:rsidRPr="00796AB8">
        <w:t>considered</w:t>
      </w:r>
      <w:proofErr w:type="spellEnd"/>
      <w:r w:rsidRPr="00796AB8">
        <w:t xml:space="preserve"> a ‘</w:t>
      </w:r>
      <w:proofErr w:type="spellStart"/>
      <w:r w:rsidRPr="00796AB8">
        <w:t>proper</w:t>
      </w:r>
      <w:proofErr w:type="spellEnd"/>
      <w:r w:rsidRPr="00796AB8">
        <w:t xml:space="preserve">’ online community, and </w:t>
      </w:r>
      <w:proofErr w:type="spellStart"/>
      <w:r w:rsidRPr="00796AB8">
        <w:t>focusing</w:t>
      </w:r>
      <w:proofErr w:type="spellEnd"/>
      <w:r w:rsidRPr="00796AB8">
        <w:t xml:space="preserve"> </w:t>
      </w:r>
      <w:proofErr w:type="spellStart"/>
      <w:r w:rsidRPr="00796AB8">
        <w:t>instead</w:t>
      </w:r>
      <w:proofErr w:type="spellEnd"/>
      <w:r w:rsidRPr="00796AB8">
        <w:t xml:space="preserve"> on techno-social </w:t>
      </w:r>
      <w:proofErr w:type="spellStart"/>
      <w:r w:rsidRPr="00796AB8">
        <w:t>assemblages</w:t>
      </w:r>
      <w:proofErr w:type="spellEnd"/>
      <w:r w:rsidRPr="00796AB8">
        <w:t xml:space="preserve"> </w:t>
      </w:r>
      <w:proofErr w:type="spellStart"/>
      <w:r w:rsidRPr="00796AB8">
        <w:t>that</w:t>
      </w:r>
      <w:proofErr w:type="spellEnd"/>
      <w:r w:rsidRPr="00796AB8">
        <w:t xml:space="preserve"> are </w:t>
      </w:r>
      <w:proofErr w:type="spellStart"/>
      <w:r w:rsidRPr="00796AB8">
        <w:t>acknowledged</w:t>
      </w:r>
      <w:proofErr w:type="spellEnd"/>
      <w:r w:rsidRPr="00796AB8">
        <w:t xml:space="preserve"> </w:t>
      </w:r>
      <w:proofErr w:type="spellStart"/>
      <w:r w:rsidRPr="00796AB8">
        <w:t>as</w:t>
      </w:r>
      <w:proofErr w:type="spellEnd"/>
      <w:r w:rsidRPr="00796AB8">
        <w:t xml:space="preserve"> </w:t>
      </w:r>
      <w:proofErr w:type="spellStart"/>
      <w:r w:rsidRPr="00796AB8">
        <w:t>occurrences</w:t>
      </w:r>
      <w:proofErr w:type="spellEnd"/>
      <w:r w:rsidRPr="00796AB8">
        <w:t xml:space="preserve"> of </w:t>
      </w:r>
      <w:proofErr w:type="spellStart"/>
      <w:r w:rsidRPr="00796AB8">
        <w:t>digital</w:t>
      </w:r>
      <w:proofErr w:type="spellEnd"/>
      <w:r w:rsidRPr="00796AB8">
        <w:t xml:space="preserve"> </w:t>
      </w:r>
      <w:proofErr w:type="spellStart"/>
      <w:r w:rsidRPr="00796AB8">
        <w:t>communities</w:t>
      </w:r>
      <w:proofErr w:type="spellEnd"/>
      <w:r w:rsidRPr="00796AB8">
        <w:t xml:space="preserve"> by </w:t>
      </w:r>
      <w:proofErr w:type="spellStart"/>
      <w:r w:rsidRPr="00796AB8">
        <w:t>virtue</w:t>
      </w:r>
      <w:proofErr w:type="spellEnd"/>
      <w:r w:rsidRPr="00796AB8">
        <w:t xml:space="preserve"> of </w:t>
      </w:r>
      <w:proofErr w:type="spellStart"/>
      <w:r w:rsidRPr="00796AB8">
        <w:t>being</w:t>
      </w:r>
      <w:proofErr w:type="spellEnd"/>
      <w:r w:rsidRPr="00796AB8">
        <w:t xml:space="preserve"> </w:t>
      </w:r>
      <w:proofErr w:type="spellStart"/>
      <w:r w:rsidRPr="00796AB8">
        <w:t>presented</w:t>
      </w:r>
      <w:proofErr w:type="spellEnd"/>
      <w:r w:rsidRPr="00796AB8">
        <w:t xml:space="preserve"> to and </w:t>
      </w:r>
      <w:proofErr w:type="spellStart"/>
      <w:r w:rsidRPr="00796AB8">
        <w:t>admitted</w:t>
      </w:r>
      <w:proofErr w:type="spellEnd"/>
      <w:r w:rsidRPr="00796AB8">
        <w:t xml:space="preserve"> by </w:t>
      </w:r>
      <w:proofErr w:type="spellStart"/>
      <w:r w:rsidRPr="00796AB8">
        <w:t>one</w:t>
      </w:r>
      <w:proofErr w:type="spellEnd"/>
      <w:r w:rsidRPr="00796AB8">
        <w:t xml:space="preserve"> </w:t>
      </w:r>
      <w:proofErr w:type="spellStart"/>
      <w:r w:rsidRPr="00796AB8">
        <w:t>such</w:t>
      </w:r>
      <w:proofErr w:type="spellEnd"/>
      <w:r w:rsidRPr="00796AB8">
        <w:t xml:space="preserve"> </w:t>
      </w:r>
      <w:proofErr w:type="spellStart"/>
      <w:r w:rsidRPr="00796AB8">
        <w:t>competition</w:t>
      </w:r>
      <w:proofErr w:type="spellEnd"/>
      <w:r w:rsidRPr="00796AB8">
        <w:t>.</w:t>
      </w:r>
    </w:p>
    <w:p w14:paraId="77B5F833" w14:textId="77777777" w:rsidR="00796AB8" w:rsidRPr="00D50C43" w:rsidRDefault="00796AB8" w:rsidP="00796AB8">
      <w:pPr>
        <w:pStyle w:val="CorpodeltestotesiNisa"/>
      </w:pPr>
    </w:p>
    <w:p w14:paraId="1AFFB577" w14:textId="77777777" w:rsidR="00796AB8" w:rsidRPr="00D50C43" w:rsidRDefault="00796AB8" w:rsidP="00796AB8">
      <w:r w:rsidRPr="00D50C43">
        <w:t>To do so, the chapter retains a relational definition of digital communities, and identifies the relevant topics in the data set. As seen in chapter 4, the chosen software defines as ‘relevant’ those concepts which are not only more frequent, but also more often co-occurring in a cluster of other frequent words. In Leximancer a word is said to be ‘part of’ a concept if it often co-occurs with it and occurs not so often with other concepts (i.e., the relevancy standard deviation value is above a set threshold). This inclusion is achieved through ‘learning’, an iterative process in which the collection of terms defining a concept is updated, so that initially central terms can reach a peripheral position or even be lost when relevancy is normalised after a certain number of iterations. The aim of concept learning is to discover clusters of words which, when taken together as a concept, maximise the relevancy values of all the other words in the document.</w:t>
      </w:r>
    </w:p>
    <w:p w14:paraId="5EE1504C" w14:textId="77777777" w:rsidR="00796AB8" w:rsidRPr="00D50C43" w:rsidRDefault="00796AB8" w:rsidP="00796AB8">
      <w:pPr>
        <w:pStyle w:val="CorpodeltestotesiNisa"/>
      </w:pPr>
    </w:p>
    <w:p w14:paraId="04D26B0D" w14:textId="77777777" w:rsidR="00796AB8" w:rsidRPr="00337EEB" w:rsidRDefault="00796AB8" w:rsidP="00796AB8">
      <w:r w:rsidRPr="00D50C43">
        <w:t xml:space="preserve">Despite machine learning, the method followed in this research left the researcher much more room than using software automation would suggest. On one hand, the specific software techniques used were selected </w:t>
      </w:r>
      <w:r>
        <w:t xml:space="preserve">by </w:t>
      </w:r>
      <w:r w:rsidRPr="00D50C43">
        <w:t>attentive</w:t>
      </w:r>
      <w:r w:rsidRPr="00947586">
        <w:t>ly setting the software.</w:t>
      </w:r>
      <w:r w:rsidRPr="00947586">
        <w:rPr>
          <w:rStyle w:val="FootnoteReference"/>
        </w:rPr>
        <w:footnoteReference w:id="3"/>
      </w:r>
      <w:r w:rsidRPr="00D50C43">
        <w:t xml:space="preserve"> Very different results </w:t>
      </w:r>
      <w:r w:rsidRPr="00442E07">
        <w:t xml:space="preserve">were </w:t>
      </w:r>
      <w:r w:rsidRPr="00D40CF0">
        <w:t xml:space="preserve">obtained by changing </w:t>
      </w:r>
      <w:r w:rsidRPr="0041636B">
        <w:t xml:space="preserve">only </w:t>
      </w:r>
      <w:r w:rsidRPr="00032C17">
        <w:t>a few</w:t>
      </w:r>
      <w:r w:rsidRPr="00542C1B">
        <w:t xml:space="preserve"> settings. </w:t>
      </w:r>
      <w:r w:rsidRPr="002F0E20">
        <w:t>For example, the analysis discussed in the previous chapter established</w:t>
      </w:r>
      <w:r w:rsidRPr="005D1F71">
        <w:t xml:space="preserve"> ‘online community’ as seeding word, and results were considerably different from those discussed in this chapter, which were </w:t>
      </w:r>
      <w:r w:rsidRPr="00337EEB">
        <w:t xml:space="preserve">obtained by not setting any seeding word. </w:t>
      </w:r>
    </w:p>
    <w:p w14:paraId="1761735E" w14:textId="77777777" w:rsidR="00796AB8" w:rsidRPr="00337EEB" w:rsidRDefault="00796AB8" w:rsidP="00796AB8"/>
    <w:p w14:paraId="1093A5FB" w14:textId="77777777" w:rsidR="00796AB8" w:rsidRPr="004B42EE" w:rsidRDefault="00796AB8" w:rsidP="00796AB8">
      <w:r w:rsidRPr="00337EEB">
        <w:t>On the other hand, software-extracted concepts constituted only the starting point of the analysis. It was only by qualitatively comparing the relative strengths of concepts co-occurring with the most relevant ones that I came to identify full-blown topics and narratives. Actually, the effort to move from mined concepts to full-blown topics informs this</w:t>
      </w:r>
      <w:r w:rsidRPr="004B42EE">
        <w:t xml:space="preserve"> whole chapter.</w:t>
      </w:r>
    </w:p>
    <w:p w14:paraId="0B5356F1" w14:textId="77777777" w:rsidR="00796AB8" w:rsidRPr="0021572C" w:rsidRDefault="00796AB8" w:rsidP="00796AB8"/>
    <w:p w14:paraId="173B1D57" w14:textId="77777777" w:rsidR="00796AB8" w:rsidRPr="00337EEB" w:rsidRDefault="00796AB8" w:rsidP="00796AB8">
      <w:r w:rsidRPr="0021572C">
        <w:t xml:space="preserve">Figure 4 shows the conceptual map extracted from the data set without any </w:t>
      </w:r>
      <w:r w:rsidRPr="00671EF3">
        <w:t>word seeding function.</w:t>
      </w:r>
      <w:r w:rsidRPr="00D50C43">
        <w:rPr>
          <w:rStyle w:val="FootnoteReference"/>
        </w:rPr>
        <w:footnoteReference w:id="4"/>
      </w:r>
      <w:r w:rsidRPr="00D50C43">
        <w:t xml:space="preserve"> </w:t>
      </w:r>
      <w:r w:rsidRPr="00442E07">
        <w:t>The map’s</w:t>
      </w:r>
      <w:r w:rsidRPr="00D40CF0">
        <w:t xml:space="preserve"> most </w:t>
      </w:r>
      <w:r w:rsidRPr="0041636B">
        <w:t>remarkable ch</w:t>
      </w:r>
      <w:r w:rsidRPr="00032C17">
        <w:t>aracteristic is its stability: a</w:t>
      </w:r>
      <w:r w:rsidRPr="00542C1B">
        <w:t>t every resetting, concepts aggregate</w:t>
      </w:r>
      <w:r w:rsidRPr="002F0E20">
        <w:t>d in stable clusters. D</w:t>
      </w:r>
      <w:r w:rsidRPr="005D1F71">
        <w:t>ifferently from the conceptual map in the previous chapter, in which loose concepts were reshuffled at every resetting, here it wa</w:t>
      </w:r>
      <w:r w:rsidRPr="00337EEB">
        <w:t xml:space="preserve">s possible to identify recurrent and stabilized concept clusters. </w:t>
      </w:r>
    </w:p>
    <w:p w14:paraId="51E15883" w14:textId="77777777" w:rsidR="00796AB8" w:rsidRPr="00CA3AE8" w:rsidRDefault="00796AB8" w:rsidP="00796AB8">
      <w:pPr>
        <w:pStyle w:val="CorpodeltestotesiNisa"/>
      </w:pPr>
    </w:p>
    <w:p w14:paraId="4D0D857C" w14:textId="466B511C" w:rsidR="00796AB8" w:rsidRPr="001C0BB2" w:rsidRDefault="001C0BB2" w:rsidP="00796AB8">
      <w:r>
        <w:t>Figure04</w:t>
      </w:r>
    </w:p>
    <w:p w14:paraId="1AC6D578" w14:textId="77777777" w:rsidR="00796AB8" w:rsidRPr="002F0E20" w:rsidRDefault="00796AB8" w:rsidP="00796AB8">
      <w:r w:rsidRPr="001C0BB2">
        <w:t>Figure 4 – Conceptual map without word seeding. Bird’s eye</w:t>
      </w:r>
    </w:p>
    <w:p w14:paraId="00301634" w14:textId="77777777" w:rsidR="00796AB8" w:rsidRDefault="00796AB8" w:rsidP="00796AB8"/>
    <w:p w14:paraId="58F813E4" w14:textId="492088E2" w:rsidR="00796AB8" w:rsidRPr="00D50C43" w:rsidRDefault="00796AB8" w:rsidP="00796AB8">
      <w:proofErr w:type="spellStart"/>
      <w:r w:rsidRPr="002F0E20">
        <w:t>Concepts</w:t>
      </w:r>
      <w:proofErr w:type="spellEnd"/>
      <w:r w:rsidRPr="002F0E20">
        <w:t xml:space="preserve"> are </w:t>
      </w:r>
      <w:proofErr w:type="spellStart"/>
      <w:r w:rsidRPr="002F0E20">
        <w:t>clustered</w:t>
      </w:r>
      <w:proofErr w:type="spellEnd"/>
      <w:r w:rsidRPr="002F0E20">
        <w:t xml:space="preserve"> in thematic circles that form around the most </w:t>
      </w:r>
      <w:r w:rsidRPr="005D1F71">
        <w:t xml:space="preserve">connected ones: </w:t>
      </w:r>
      <w:r w:rsidRPr="005D1F71">
        <w:rPr>
          <w:i/>
        </w:rPr>
        <w:t xml:space="preserve">information, (web)site, social, art, work, software, radio, research, technology, system </w:t>
      </w:r>
      <w:r w:rsidRPr="005D1F71">
        <w:t>and</w:t>
      </w:r>
      <w:r w:rsidRPr="005D1F71">
        <w:rPr>
          <w:i/>
        </w:rPr>
        <w:t xml:space="preserve"> rural</w:t>
      </w:r>
      <w:r w:rsidRPr="005D1F71">
        <w:t>.</w:t>
      </w:r>
      <w:r w:rsidRPr="00337EEB">
        <w:t xml:space="preserve"> Here some technology-related concepts are crucial, that were absent when ‘online community’ was seeded as key concept (see previous chapter). For example, it is</w:t>
      </w:r>
      <w:r w:rsidRPr="004B42EE">
        <w:t xml:space="preserve"> significant</w:t>
      </w:r>
      <w:r w:rsidRPr="00D50C43">
        <w:rPr>
          <w:rStyle w:val="FootnoteReference"/>
        </w:rPr>
        <w:footnoteReference w:id="5"/>
      </w:r>
      <w:r w:rsidRPr="00D50C43">
        <w:t xml:space="preserve"> that</w:t>
      </w:r>
      <w:r w:rsidRPr="00442E07">
        <w:t xml:space="preserve"> </w:t>
      </w:r>
      <w:r w:rsidRPr="00D40CF0">
        <w:t xml:space="preserve">– when </w:t>
      </w:r>
      <w:r w:rsidRPr="0041636B">
        <w:t>‘</w:t>
      </w:r>
      <w:r w:rsidRPr="00032C17">
        <w:t>online community</w:t>
      </w:r>
      <w:r w:rsidRPr="00542C1B">
        <w:t>’ was taken</w:t>
      </w:r>
      <w:r w:rsidRPr="002F0E20">
        <w:t xml:space="preserve"> as a key concept – </w:t>
      </w:r>
      <w:r w:rsidRPr="005D1F71">
        <w:t>technological objects were conceived only as ‘tools’</w:t>
      </w:r>
      <w:r w:rsidRPr="00D50C43">
        <w:rPr>
          <w:rStyle w:val="FootnoteReference"/>
          <w:rFonts w:cs="Arial"/>
          <w:szCs w:val="24"/>
        </w:rPr>
        <w:footnoteReference w:id="6"/>
      </w:r>
      <w:r w:rsidRPr="00D50C43">
        <w:t xml:space="preserve">. </w:t>
      </w:r>
      <w:r w:rsidRPr="00442E07">
        <w:t>Differently</w:t>
      </w:r>
      <w:r w:rsidRPr="00D40CF0">
        <w:t xml:space="preserve">, </w:t>
      </w:r>
      <w:r w:rsidRPr="0041636B">
        <w:t xml:space="preserve">in the unseeded analysis </w:t>
      </w:r>
      <w:r w:rsidRPr="00032C17">
        <w:t xml:space="preserve">they </w:t>
      </w:r>
      <w:r w:rsidRPr="00542C1B">
        <w:t>are specified</w:t>
      </w:r>
      <w:r w:rsidRPr="002F0E20">
        <w:t xml:space="preserve"> as ‘technology’, ‘software’, ‘website’. In other words, while in discourses on online communities (i.e., </w:t>
      </w:r>
      <w:r w:rsidRPr="005D1F71">
        <w:t xml:space="preserve">the seeded analysis) the role of technology is black-boxed as mere tool, </w:t>
      </w:r>
      <w:r w:rsidRPr="00CA3AE8">
        <w:t>outside that discourse there seems to be more room for artefacts to be unpacked. It is only when the rhetoric about online communities is dropped, that artefacts can appear in their role as mediators keeping human relations going.</w:t>
      </w:r>
    </w:p>
    <w:p w14:paraId="401FED9E" w14:textId="77777777" w:rsidR="00796AB8" w:rsidRPr="00442E07" w:rsidRDefault="00796AB8" w:rsidP="00796AB8">
      <w:pPr>
        <w:pStyle w:val="CorpodeltestotesiNisa"/>
      </w:pPr>
    </w:p>
    <w:p w14:paraId="23EB8D6F" w14:textId="77777777" w:rsidR="00796AB8" w:rsidRPr="00D50C43" w:rsidRDefault="00796AB8" w:rsidP="00796AB8">
      <w:r w:rsidRPr="00D40CF0">
        <w:t>C</w:t>
      </w:r>
      <w:r w:rsidRPr="0041636B">
        <w:t>onv</w:t>
      </w:r>
      <w:r w:rsidRPr="00032C17">
        <w:t>ersely</w:t>
      </w:r>
      <w:r w:rsidRPr="00542C1B">
        <w:t xml:space="preserve">, if we consider the </w:t>
      </w:r>
      <w:r w:rsidRPr="002F0E20">
        <w:t>concepts related to ‘online community’ in the seeded analysis, some of them are not present in the unseeded one</w:t>
      </w:r>
      <w:r w:rsidRPr="005D1F71">
        <w:t xml:space="preserve">. For example, in the concept list in Table 9 there is no reference to ‘individuals’ as agents of change, nor to the classical dichotomy between ‘physical’ and virtual realms. </w:t>
      </w:r>
      <w:r w:rsidRPr="00CA3AE8">
        <w:t xml:space="preserve">As we have seen in chapter 1, individualism and a sharp separation between the brick-and-mortar world and cyberspace were among the elements that digital communitarians inherited from early cyberculture. Indeed, these two concepts appear in the data set only when online community is taken as a seed, and not in the unseeded semantic profiling. It could thus be suggested that networked individualism and the physical/virtual separation are part of the discourse </w:t>
      </w:r>
      <w:r w:rsidRPr="00CA3AE8">
        <w:rPr>
          <w:i/>
        </w:rPr>
        <w:t xml:space="preserve">on </w:t>
      </w:r>
      <w:r w:rsidRPr="00CA3AE8">
        <w:t xml:space="preserve">digital communities, but they are not part of current practices </w:t>
      </w:r>
      <w:r w:rsidRPr="00CA3AE8">
        <w:rPr>
          <w:i/>
        </w:rPr>
        <w:t>of</w:t>
      </w:r>
      <w:r w:rsidRPr="00CA3AE8">
        <w:t xml:space="preserve"> online assemblages.</w:t>
      </w:r>
    </w:p>
    <w:p w14:paraId="1E9D964C" w14:textId="77777777" w:rsidR="00796AB8" w:rsidRPr="00796AB8" w:rsidRDefault="00796AB8" w:rsidP="00796AB8">
      <w:pPr>
        <w:pStyle w:val="Heading2"/>
      </w:pPr>
      <w:bookmarkStart w:id="1" w:name="_Toc524106416"/>
      <w:r w:rsidRPr="00796AB8">
        <w:t xml:space="preserve">5.1 From </w:t>
      </w:r>
      <w:proofErr w:type="spellStart"/>
      <w:r w:rsidRPr="00796AB8">
        <w:t>Concepts</w:t>
      </w:r>
      <w:proofErr w:type="spellEnd"/>
      <w:r w:rsidRPr="00796AB8">
        <w:t xml:space="preserve"> to Full-</w:t>
      </w:r>
      <w:proofErr w:type="spellStart"/>
      <w:r w:rsidRPr="00796AB8">
        <w:t>blown</w:t>
      </w:r>
      <w:proofErr w:type="spellEnd"/>
      <w:r w:rsidRPr="00796AB8">
        <w:t xml:space="preserve"> </w:t>
      </w:r>
      <w:bookmarkEnd w:id="1"/>
      <w:proofErr w:type="spellStart"/>
      <w:r w:rsidRPr="00796AB8">
        <w:t>Topics</w:t>
      </w:r>
      <w:proofErr w:type="spellEnd"/>
    </w:p>
    <w:p w14:paraId="1E9B9337" w14:textId="77777777" w:rsidR="00796AB8" w:rsidRPr="00D50C43" w:rsidRDefault="00796AB8" w:rsidP="00796AB8">
      <w:r w:rsidRPr="00D50C43">
        <w:t>F</w:t>
      </w:r>
      <w:r w:rsidRPr="00442E07">
        <w:t>igure 4 shows</w:t>
      </w:r>
      <w:r w:rsidRPr="00D40CF0">
        <w:t xml:space="preserve"> </w:t>
      </w:r>
      <w:r w:rsidRPr="0041636B">
        <w:t>‘</w:t>
      </w:r>
      <w:r w:rsidRPr="00032C17">
        <w:t>relevant</w:t>
      </w:r>
      <w:r w:rsidRPr="00542C1B">
        <w:t>’</w:t>
      </w:r>
      <w:r w:rsidRPr="002F0E20">
        <w:t xml:space="preserve"> concepts, that is, frequent words that co-occur more often with some other words, and less often with other ones. In that map</w:t>
      </w:r>
      <w:r w:rsidRPr="005D1F71">
        <w:t xml:space="preserve">, broader themes </w:t>
      </w:r>
      <w:r w:rsidRPr="005D1F71">
        <w:lastRenderedPageBreak/>
        <w:t xml:space="preserve">form around a highly connected concept, from which they borrow the label, and aggregate less connected ones. For instance, the theme </w:t>
      </w:r>
      <w:r w:rsidRPr="005D1F71">
        <w:rPr>
          <w:i/>
        </w:rPr>
        <w:t>Art</w:t>
      </w:r>
      <w:r w:rsidRPr="005D1F71">
        <w:t xml:space="preserve"> borrows the label from the highly connected concept ‘art’ and aggregates the concepts ‘media’ and ‘music’, as well. The relationship between the main concept/theme and the aggregated concepts is based on contextual similarity: they appear in similar</w:t>
      </w:r>
      <w:r w:rsidRPr="00337EEB">
        <w:t xml:space="preserve"> contexts in the data set. </w:t>
      </w:r>
      <w:r w:rsidRPr="00CA3AE8">
        <w:t>However, to what extent do these themes develop into full-blown topics? How can narratives be identified from a list of co-occurring concepts? How can we account for the theories of actions involving artefacts that underpin techno-social online collaboration, that is, this book’s main empirical question?</w:t>
      </w:r>
    </w:p>
    <w:p w14:paraId="516B61E5" w14:textId="77777777" w:rsidR="00796AB8" w:rsidRDefault="00796AB8" w:rsidP="00796AB8"/>
    <w:p w14:paraId="1F9781E2" w14:textId="77777777" w:rsidR="00796AB8" w:rsidRPr="00337EEB" w:rsidRDefault="00796AB8" w:rsidP="00796AB8">
      <w:r w:rsidRPr="00D50C43">
        <w:t>In order to address these requests, different methods than map visualization are needed. Co-occurrence patterns were thus systematically browsed, and corresponding textual excerpt</w:t>
      </w:r>
      <w:r w:rsidRPr="00442E07">
        <w:t>s thoroughly analysed in order to</w:t>
      </w:r>
      <w:r w:rsidRPr="00D40CF0">
        <w:t xml:space="preserve"> </w:t>
      </w:r>
      <w:r w:rsidRPr="0041636B">
        <w:t xml:space="preserve">identify </w:t>
      </w:r>
      <w:r w:rsidRPr="00032C17">
        <w:t>full-blown concepts and</w:t>
      </w:r>
      <w:r w:rsidRPr="00542C1B">
        <w:t xml:space="preserve"> narratives. In so doing, </w:t>
      </w:r>
      <w:r w:rsidRPr="002F0E20">
        <w:t>I did not only consider the co-occurrences recurring inside thematic clusters, but opened up the</w:t>
      </w:r>
      <w:r w:rsidRPr="005D1F71">
        <w:t xml:space="preserve"> analysis to the whole co-occurrence lists of highly relevant concepts. In this way, I tried to give reason</w:t>
      </w:r>
      <w:r>
        <w:t>s</w:t>
      </w:r>
      <w:r w:rsidRPr="005D1F71">
        <w:t xml:space="preserve"> </w:t>
      </w:r>
      <w:r>
        <w:t>for</w:t>
      </w:r>
      <w:r w:rsidRPr="005D1F71">
        <w:t xml:space="preserve"> those concepts being included in the more fragmented clusters, as well.</w:t>
      </w:r>
    </w:p>
    <w:p w14:paraId="125E7FF7" w14:textId="77777777" w:rsidR="00796AB8" w:rsidRPr="00337EEB" w:rsidRDefault="00796AB8" w:rsidP="00796AB8"/>
    <w:p w14:paraId="4E5FD76F" w14:textId="77777777" w:rsidR="00796AB8" w:rsidRPr="002F0E20" w:rsidRDefault="00796AB8" w:rsidP="00796AB8">
      <w:r w:rsidRPr="00337EEB">
        <w:t xml:space="preserve">As an example of this method, the theme </w:t>
      </w:r>
      <w:r w:rsidRPr="00337EEB">
        <w:rPr>
          <w:i/>
        </w:rPr>
        <w:t>Rural</w:t>
      </w:r>
      <w:r w:rsidRPr="00337EEB">
        <w:t xml:space="preserve"> aggregated the concepts</w:t>
      </w:r>
      <w:r w:rsidRPr="004B42EE">
        <w:rPr>
          <w:i/>
        </w:rPr>
        <w:t xml:space="preserve"> </w:t>
      </w:r>
      <w:r w:rsidRPr="004B42EE">
        <w:t>‘rural’, ‘health’,</w:t>
      </w:r>
      <w:r w:rsidRPr="0021572C">
        <w:t xml:space="preserve"> and ‘learned’. These concepts were strongly related: ‘rural’ occurred</w:t>
      </w:r>
      <w:r w:rsidRPr="00671EF3">
        <w:t xml:space="preserve"> very often with ‘learned’ and quite often with ‘health’, while ‘health’ and ‘rural’ were the concepts with which ‘learned’ most frequently co-occurred. The co-occurrence pattern between ‘rural’ and ‘learned’ singled out textual excerpts that could</w:t>
      </w:r>
      <w:r w:rsidRPr="00D81ED5">
        <w:t xml:space="preserve"> be browsed. Through browsing, a recurring narrative could be identified:</w:t>
      </w:r>
      <w:r w:rsidRPr="006B21D2">
        <w:t xml:space="preserve"> that of </w:t>
      </w:r>
      <w:r w:rsidRPr="00CA3AE8">
        <w:t>information technologies conceived of as benefiting the quality of life of rural populations by allowing access to informal education.</w:t>
      </w:r>
      <w:r w:rsidRPr="00D50C43">
        <w:t xml:space="preserve"> The rise of social networks w</w:t>
      </w:r>
      <w:r w:rsidRPr="00442E07">
        <w:t>as thus</w:t>
      </w:r>
      <w:r w:rsidRPr="00D40CF0">
        <w:t xml:space="preserve"> </w:t>
      </w:r>
      <w:r w:rsidRPr="0041636B">
        <w:t xml:space="preserve">deemed </w:t>
      </w:r>
      <w:r w:rsidRPr="00032C17">
        <w:t xml:space="preserve">the unmediated consequence of the possibility to access ICT. Conversely, lack of </w:t>
      </w:r>
      <w:r w:rsidRPr="00542C1B">
        <w:t xml:space="preserve">IT-mediated </w:t>
      </w:r>
      <w:r w:rsidRPr="002F0E20">
        <w:t>knowledge caused severe impairments:</w:t>
      </w:r>
    </w:p>
    <w:p w14:paraId="4DD899B6" w14:textId="77777777" w:rsidR="00796AB8" w:rsidRPr="00796AB8" w:rsidRDefault="00796AB8" w:rsidP="00796AB8">
      <w:pPr>
        <w:pStyle w:val="Quote"/>
      </w:pPr>
      <w:r w:rsidRPr="00796AB8">
        <w:t xml:space="preserve">The farmers of the riverside remotest areas [of Bangladesh] do not have any access to the information society; consequently the conditions of 7,000 rivers and streams of the country are degrading day by day with negative impact on the overall health of the aquatic system, human health, biodiversity, rural economy, rural life etc. […] Due to the knowledge gap of the farmers on proper use of fertilizer and pesticide the usages went up a hundred times over the last thirty years, but with the education of the Mobile Units, thousands of farmers were trained on proper use of fertilizer and pesticides, agricultural productivity is increased and thousands of landless farmers did not have to leave their villages in search of work. […] Technology contributes to the democratization of information and </w:t>
      </w:r>
      <w:proofErr w:type="gramStart"/>
      <w:r w:rsidRPr="00796AB8">
        <w:t>offers assistance to</w:t>
      </w:r>
      <w:proofErr w:type="gramEnd"/>
      <w:r w:rsidRPr="00796AB8">
        <w:t xml:space="preserve"> the underprivileged people of the remotest areas. This project has helped the people who had no right to be accessed to the information society. The rural people now can discuss their points of views and express their opinions. With the mobile unit activity their voices are disseminated in the distant areas and to other farming groups, and in this </w:t>
      </w:r>
      <w:proofErr w:type="gramStart"/>
      <w:r w:rsidRPr="00796AB8">
        <w:t>way</w:t>
      </w:r>
      <w:proofErr w:type="gramEnd"/>
      <w:r w:rsidRPr="00796AB8">
        <w:t xml:space="preserve"> they are able to think and decide the alternative ways for their local problems. Now they can look at the whole world, establish their relationships with it and, in this </w:t>
      </w:r>
      <w:proofErr w:type="gramStart"/>
      <w:r w:rsidRPr="00796AB8">
        <w:t>way</w:t>
      </w:r>
      <w:proofErr w:type="gramEnd"/>
      <w:r w:rsidRPr="00796AB8">
        <w:t xml:space="preserve"> they are building up a vision of development. </w:t>
      </w:r>
      <w:r w:rsidRPr="00796AB8">
        <w:rPr>
          <w:rStyle w:val="FootnoteReference"/>
          <w:vertAlign w:val="baseline"/>
        </w:rPr>
        <w:footnoteReference w:id="7"/>
      </w:r>
    </w:p>
    <w:p w14:paraId="098DB389" w14:textId="77777777" w:rsidR="00796AB8" w:rsidRPr="0041636B" w:rsidRDefault="00796AB8" w:rsidP="00796AB8">
      <w:r w:rsidRPr="00CA3AE8">
        <w:t>This narrative corresponds to one of the topics identified in chapter 4:</w:t>
      </w:r>
      <w:r>
        <w:t xml:space="preserve"> </w:t>
      </w:r>
      <w:r w:rsidRPr="00CA3AE8">
        <w:t xml:space="preserve">‘rural development through education’. Although this kind of narratives was quite recurrent, </w:t>
      </w:r>
      <w:r w:rsidRPr="00CA3AE8">
        <w:lastRenderedPageBreak/>
        <w:t>in our data set it followed a decreasing temporal trend. While several applications dealt with it in 2004, from that year onwards it became less and less popular</w:t>
      </w:r>
      <w:r w:rsidRPr="00D50C43">
        <w:t>, as f</w:t>
      </w:r>
      <w:r w:rsidRPr="00442E07">
        <w:t xml:space="preserve">igure </w:t>
      </w:r>
      <w:r w:rsidRPr="00D40CF0">
        <w:t>5</w:t>
      </w:r>
      <w:r w:rsidRPr="0041636B">
        <w:t xml:space="preserve"> shows.</w:t>
      </w:r>
    </w:p>
    <w:p w14:paraId="1C2D4F23" w14:textId="77777777" w:rsidR="00796AB8" w:rsidRPr="00032C17" w:rsidRDefault="00796AB8" w:rsidP="00796AB8">
      <w:pPr>
        <w:pStyle w:val="CorpodeltestotesiNisa"/>
      </w:pPr>
    </w:p>
    <w:p w14:paraId="1141A651" w14:textId="465EC733" w:rsidR="00796AB8" w:rsidRPr="00D50C43" w:rsidRDefault="001C0BB2" w:rsidP="001C0BB2">
      <w:r>
        <w:t>Figure05</w:t>
      </w:r>
    </w:p>
    <w:p w14:paraId="1E963889" w14:textId="77777777" w:rsidR="00796AB8" w:rsidRPr="0041636B" w:rsidRDefault="00796AB8" w:rsidP="001C0BB2">
      <w:r w:rsidRPr="00442E07">
        <w:t xml:space="preserve">Figure </w:t>
      </w:r>
      <w:r w:rsidRPr="00D40CF0">
        <w:t>5</w:t>
      </w:r>
      <w:r w:rsidRPr="0041636B">
        <w:t xml:space="preserve"> – Temporal trend for ‘rural’</w:t>
      </w:r>
    </w:p>
    <w:p w14:paraId="0403A1B6" w14:textId="77777777" w:rsidR="00796AB8" w:rsidRPr="00032C17" w:rsidRDefault="00796AB8" w:rsidP="00796AB8">
      <w:pPr>
        <w:pStyle w:val="CorpodeltestotesiNisa"/>
      </w:pPr>
    </w:p>
    <w:p w14:paraId="1A5F709A" w14:textId="50948EC9" w:rsidR="00796AB8" w:rsidRPr="006B21D2" w:rsidRDefault="00796AB8" w:rsidP="00796AB8">
      <w:r w:rsidRPr="00542C1B">
        <w:t>In summary, t</w:t>
      </w:r>
      <w:r w:rsidRPr="002F0E20">
        <w:t xml:space="preserve">he qualitative analysis conducted for all themes </w:t>
      </w:r>
      <w:r w:rsidRPr="005D1F71">
        <w:t xml:space="preserve">(figure 4) shows that not all of them </w:t>
      </w:r>
      <w:r w:rsidRPr="00337EEB">
        <w:t xml:space="preserve">correspond to full-blown topics. Some of them (i.e., </w:t>
      </w:r>
      <w:r w:rsidRPr="00337EEB">
        <w:rPr>
          <w:i/>
        </w:rPr>
        <w:t>Site, Social, Research, System</w:t>
      </w:r>
      <w:r w:rsidRPr="00337EEB">
        <w:t xml:space="preserve">) turned out to be </w:t>
      </w:r>
      <w:r w:rsidRPr="004B42EE">
        <w:t>aggregates of concepts whose closeness in the map did</w:t>
      </w:r>
      <w:r w:rsidRPr="0021572C">
        <w:t xml:space="preserve"> not reveal any recognizable narrative</w:t>
      </w:r>
      <w:r w:rsidRPr="00671EF3">
        <w:t xml:space="preserve">. Conversely, some others showed meaningful associations and deserved further investigation. </w:t>
      </w:r>
      <w:proofErr w:type="spellStart"/>
      <w:r w:rsidRPr="00671EF3">
        <w:t>Notably</w:t>
      </w:r>
      <w:proofErr w:type="spellEnd"/>
      <w:r w:rsidRPr="00671EF3">
        <w:t xml:space="preserve">, </w:t>
      </w:r>
      <w:r w:rsidRPr="00671EF3">
        <w:rPr>
          <w:i/>
        </w:rPr>
        <w:t>Art, Information, Work, Software</w:t>
      </w:r>
      <w:r w:rsidR="001C0BB2">
        <w:rPr>
          <w:i/>
        </w:rPr>
        <w:t>'</w:t>
      </w:r>
      <w:r w:rsidRPr="00671EF3">
        <w:rPr>
          <w:i/>
        </w:rPr>
        <w:t xml:space="preserve"> </w:t>
      </w:r>
      <w:proofErr w:type="spellStart"/>
      <w:r w:rsidRPr="00671EF3">
        <w:t>aggregated</w:t>
      </w:r>
      <w:proofErr w:type="spellEnd"/>
      <w:r w:rsidRPr="00671EF3">
        <w:t xml:space="preserve"> </w:t>
      </w:r>
      <w:proofErr w:type="spellStart"/>
      <w:r w:rsidRPr="00671EF3">
        <w:t>elements</w:t>
      </w:r>
      <w:proofErr w:type="spellEnd"/>
      <w:r w:rsidRPr="00671EF3">
        <w:t xml:space="preserve"> </w:t>
      </w:r>
      <w:proofErr w:type="spellStart"/>
      <w:r w:rsidRPr="00671EF3">
        <w:t>that</w:t>
      </w:r>
      <w:proofErr w:type="spellEnd"/>
      <w:r w:rsidRPr="00671EF3">
        <w:t xml:space="preserve"> co-</w:t>
      </w:r>
      <w:proofErr w:type="spellStart"/>
      <w:r w:rsidRPr="00671EF3">
        <w:t>occur</w:t>
      </w:r>
      <w:r w:rsidRPr="00D81ED5">
        <w:t>ed</w:t>
      </w:r>
      <w:proofErr w:type="spellEnd"/>
      <w:r w:rsidRPr="00D81ED5">
        <w:t xml:space="preserve"> with a </w:t>
      </w:r>
      <w:proofErr w:type="spellStart"/>
      <w:r w:rsidRPr="00D81ED5">
        <w:t>certain</w:t>
      </w:r>
      <w:proofErr w:type="spellEnd"/>
      <w:r w:rsidRPr="00D81ED5">
        <w:t xml:space="preserve"> regularity and suggested</w:t>
      </w:r>
      <w:r w:rsidRPr="006B21D2">
        <w:t xml:space="preserve"> the following topics:</w:t>
      </w:r>
    </w:p>
    <w:p w14:paraId="5A6F813C" w14:textId="77777777" w:rsidR="00796AB8" w:rsidRPr="0067335F" w:rsidRDefault="00796AB8" w:rsidP="00796AB8">
      <w:pPr>
        <w:pStyle w:val="ListParagraph"/>
        <w:numPr>
          <w:ilvl w:val="0"/>
          <w:numId w:val="2"/>
        </w:numPr>
      </w:pPr>
      <w:r w:rsidRPr="0067335F">
        <w:t>free and open software</w:t>
      </w:r>
    </w:p>
    <w:p w14:paraId="02BDCAF8" w14:textId="77777777" w:rsidR="00796AB8" w:rsidRPr="0067335F" w:rsidRDefault="00796AB8" w:rsidP="00796AB8">
      <w:pPr>
        <w:pStyle w:val="ListParagraph"/>
        <w:numPr>
          <w:ilvl w:val="0"/>
          <w:numId w:val="2"/>
        </w:numPr>
      </w:pPr>
      <w:r w:rsidRPr="0067335F">
        <w:t>local development and information</w:t>
      </w:r>
    </w:p>
    <w:p w14:paraId="46203C59" w14:textId="77777777" w:rsidR="00796AB8" w:rsidRPr="0067335F" w:rsidRDefault="00796AB8" w:rsidP="00796AB8">
      <w:pPr>
        <w:pStyle w:val="ListParagraph"/>
        <w:numPr>
          <w:ilvl w:val="0"/>
          <w:numId w:val="2"/>
        </w:numPr>
      </w:pPr>
      <w:r w:rsidRPr="0067335F">
        <w:t>cultural work</w:t>
      </w:r>
    </w:p>
    <w:p w14:paraId="5DB7FB46" w14:textId="77777777" w:rsidR="00796AB8" w:rsidRPr="00811568" w:rsidRDefault="00796AB8" w:rsidP="00796AB8">
      <w:pPr>
        <w:pStyle w:val="ListParagraph"/>
        <w:numPr>
          <w:ilvl w:val="0"/>
          <w:numId w:val="2"/>
        </w:numPr>
      </w:pPr>
      <w:r w:rsidRPr="00811568">
        <w:t>media art</w:t>
      </w:r>
    </w:p>
    <w:p w14:paraId="762F8E35" w14:textId="77777777" w:rsidR="00796AB8" w:rsidRPr="00F91432" w:rsidRDefault="00796AB8" w:rsidP="00796AB8">
      <w:pPr>
        <w:pStyle w:val="Heading2"/>
      </w:pPr>
      <w:bookmarkStart w:id="2" w:name="_Toc524106417"/>
      <w:r w:rsidRPr="00F75DCA">
        <w:t xml:space="preserve">5.2 Social </w:t>
      </w:r>
      <w:r w:rsidRPr="00A934D5">
        <w:t xml:space="preserve">Software </w:t>
      </w:r>
      <w:r w:rsidRPr="00CC53B1">
        <w:t xml:space="preserve">as </w:t>
      </w:r>
      <w:r w:rsidRPr="0020461A">
        <w:t xml:space="preserve">Mediator or </w:t>
      </w:r>
      <w:bookmarkEnd w:id="2"/>
      <w:r w:rsidRPr="0020461A">
        <w:t>Intermediary</w:t>
      </w:r>
    </w:p>
    <w:p w14:paraId="196F8908" w14:textId="77777777" w:rsidR="00796AB8" w:rsidRPr="005D1F71" w:rsidRDefault="00796AB8" w:rsidP="00796AB8">
      <w:r w:rsidRPr="00D50C43">
        <w:t>As with ‘work’</w:t>
      </w:r>
      <w:r w:rsidRPr="00442E07">
        <w:t xml:space="preserve"> (see below)</w:t>
      </w:r>
      <w:r w:rsidRPr="00D40CF0">
        <w:t xml:space="preserve">, ‘software’ </w:t>
      </w:r>
      <w:r w:rsidRPr="0041636B">
        <w:t>was</w:t>
      </w:r>
      <w:r w:rsidRPr="00032C17">
        <w:t xml:space="preserve"> a key concept over the four years of </w:t>
      </w:r>
      <w:proofErr w:type="spellStart"/>
      <w:r w:rsidRPr="00032C17">
        <w:t>competition</w:t>
      </w:r>
      <w:proofErr w:type="spellEnd"/>
      <w:r w:rsidRPr="00542C1B">
        <w:t xml:space="preserve"> </w:t>
      </w:r>
      <w:proofErr w:type="spellStart"/>
      <w:r w:rsidRPr="00542C1B">
        <w:t>being</w:t>
      </w:r>
      <w:proofErr w:type="spellEnd"/>
      <w:r w:rsidRPr="00542C1B">
        <w:t xml:space="preserve"> </w:t>
      </w:r>
      <w:proofErr w:type="spellStart"/>
      <w:r w:rsidRPr="00542C1B">
        <w:t>analyzed</w:t>
      </w:r>
      <w:proofErr w:type="spellEnd"/>
      <w:r w:rsidRPr="002F0E20">
        <w:t xml:space="preserve">, with </w:t>
      </w:r>
      <w:proofErr w:type="spellStart"/>
      <w:r w:rsidRPr="002F0E20">
        <w:t>only</w:t>
      </w:r>
      <w:proofErr w:type="spellEnd"/>
      <w:r w:rsidRPr="002F0E20">
        <w:t xml:space="preserve"> a light </w:t>
      </w:r>
      <w:proofErr w:type="spellStart"/>
      <w:r w:rsidRPr="002F0E20">
        <w:t>decrease</w:t>
      </w:r>
      <w:proofErr w:type="spellEnd"/>
      <w:r w:rsidRPr="002F0E20">
        <w:t xml:space="preserve"> in </w:t>
      </w:r>
      <w:proofErr w:type="spellStart"/>
      <w:r w:rsidRPr="002F0E20">
        <w:t>frequency</w:t>
      </w:r>
      <w:proofErr w:type="spellEnd"/>
      <w:r w:rsidRPr="002F0E20">
        <w:t xml:space="preserve"> in 2006 (figure 6). The theme </w:t>
      </w:r>
      <w:r w:rsidRPr="005D1F71">
        <w:rPr>
          <w:i/>
        </w:rPr>
        <w:t>Software</w:t>
      </w:r>
      <w:r w:rsidRPr="005D1F71">
        <w:t xml:space="preserve"> aggregated the concepts ‘software’, ‘video’, ‘open’, ‘free’, ‘collaboration’. Also ‘collaboration’ – not a frequent concept in itself – was part of this theme. Notably, a very strong co-occurrence pattern between ‘software’, ‘free’ and ‘open’ was recognizable. </w:t>
      </w:r>
    </w:p>
    <w:p w14:paraId="66E8C275" w14:textId="77777777" w:rsidR="00796AB8" w:rsidRPr="005D1F71" w:rsidRDefault="00796AB8" w:rsidP="00796AB8">
      <w:pPr>
        <w:pStyle w:val="CorpodeltestotesiNisa"/>
      </w:pPr>
    </w:p>
    <w:p w14:paraId="0A78F872" w14:textId="4310E4CB" w:rsidR="00796AB8" w:rsidRPr="00CA3AE8" w:rsidRDefault="001C0BB2" w:rsidP="001C0BB2">
      <w:pPr>
        <w:pStyle w:val="CorpodeltestotesiNisa"/>
        <w:ind w:firstLine="0"/>
      </w:pPr>
      <w:r>
        <w:t>Figure06</w:t>
      </w:r>
    </w:p>
    <w:p w14:paraId="5DDFDD24" w14:textId="77777777" w:rsidR="00796AB8" w:rsidRPr="00D40CF0" w:rsidRDefault="00796AB8" w:rsidP="001C0BB2">
      <w:r w:rsidRPr="00D50C43">
        <w:t xml:space="preserve">Figure </w:t>
      </w:r>
      <w:r w:rsidRPr="00442E07">
        <w:t>6</w:t>
      </w:r>
      <w:r w:rsidRPr="00D40CF0">
        <w:t xml:space="preserve"> – Temporal trend for ‘software’</w:t>
      </w:r>
    </w:p>
    <w:p w14:paraId="7033A2F7" w14:textId="77777777" w:rsidR="00796AB8" w:rsidRPr="0041636B" w:rsidRDefault="00796AB8" w:rsidP="00796AB8">
      <w:pPr>
        <w:pStyle w:val="CorpodeltestotesiNisa"/>
      </w:pPr>
    </w:p>
    <w:p w14:paraId="07FFC55C" w14:textId="77777777" w:rsidR="00796AB8" w:rsidRPr="00337EEB" w:rsidRDefault="00796AB8" w:rsidP="00796AB8">
      <w:r w:rsidRPr="00032C17">
        <w:t>‘S</w:t>
      </w:r>
      <w:r w:rsidRPr="00542C1B">
        <w:t>oftware’ wa</w:t>
      </w:r>
      <w:r w:rsidRPr="002F0E20">
        <w:t>s strongly related with ‘free’ (they co-occurred 11% of times in which ‘software’ appears) and ‘open’ (10,8%), while the strength of co-occurrence with ‘social’ wa</w:t>
      </w:r>
      <w:r w:rsidRPr="005D1F71">
        <w:t>s considerably lower (3,7%). Similarly, while ‘open’, ‘free’, and ‘software’ appeared in similar conceptual contexts in the map, ‘social’ and ‘software’ d</w:t>
      </w:r>
      <w:r w:rsidRPr="00337EEB">
        <w:t>id not (see figure 7).</w:t>
      </w:r>
    </w:p>
    <w:p w14:paraId="7A4315FD" w14:textId="77777777" w:rsidR="00796AB8" w:rsidRPr="00337EEB" w:rsidRDefault="00796AB8" w:rsidP="00796AB8">
      <w:pPr>
        <w:pStyle w:val="CorpodeltestotesiNisa"/>
      </w:pPr>
    </w:p>
    <w:p w14:paraId="7AAF7442" w14:textId="4000ABF8" w:rsidR="00796AB8" w:rsidRPr="00337EEB" w:rsidRDefault="001C0BB2" w:rsidP="00796AB8">
      <w:r>
        <w:t>Figure07</w:t>
      </w:r>
    </w:p>
    <w:p w14:paraId="380BF0CD" w14:textId="77777777" w:rsidR="00796AB8" w:rsidRPr="004B42EE" w:rsidRDefault="00796AB8" w:rsidP="00796AB8">
      <w:r w:rsidRPr="00337EEB">
        <w:t>Figure 7</w:t>
      </w:r>
      <w:r w:rsidRPr="004B42EE">
        <w:t xml:space="preserve"> – Co-occurrence between ‘software’ and ‘free’/’open’/’social’</w:t>
      </w:r>
    </w:p>
    <w:p w14:paraId="3D21C6CF" w14:textId="77777777" w:rsidR="00796AB8" w:rsidRPr="004B42EE" w:rsidRDefault="00796AB8" w:rsidP="00796AB8">
      <w:pPr>
        <w:rPr>
          <w:lang w:val="en-GB"/>
        </w:rPr>
      </w:pPr>
    </w:p>
    <w:p w14:paraId="53D4C0F9" w14:textId="77777777" w:rsidR="00796AB8" w:rsidRPr="002F0E20" w:rsidRDefault="00796AB8" w:rsidP="00796AB8">
      <w:pPr>
        <w:rPr>
          <w:szCs w:val="24"/>
        </w:rPr>
      </w:pPr>
      <w:r w:rsidRPr="00CA3AE8">
        <w:t>This evidence leads to register a predominance in the data set of the FLOSS and hacker discourse over the Web 2.0 one, one of whose key expressions is precisely ‘social software’.</w:t>
      </w:r>
      <w:r w:rsidRPr="00D50C43">
        <w:t xml:space="preserve"> Further evidence </w:t>
      </w:r>
      <w:r w:rsidRPr="00442E07">
        <w:t>is provided by Leximancer’s</w:t>
      </w:r>
      <w:r w:rsidRPr="00D40CF0">
        <w:t xml:space="preserve"> entity v</w:t>
      </w:r>
      <w:r w:rsidRPr="0041636B">
        <w:t xml:space="preserve">ocabulary list: among </w:t>
      </w:r>
      <w:r w:rsidRPr="00032C17">
        <w:rPr>
          <w:szCs w:val="24"/>
        </w:rPr>
        <w:t>the top t</w:t>
      </w:r>
      <w:r w:rsidRPr="00542C1B">
        <w:rPr>
          <w:szCs w:val="24"/>
        </w:rPr>
        <w:t>hirty most frequent words appear</w:t>
      </w:r>
      <w:r w:rsidRPr="002F0E20">
        <w:rPr>
          <w:szCs w:val="24"/>
        </w:rPr>
        <w:t xml:space="preserve">ing in sentences containing ‘software’, ‘social’ appeared 222 times, while ‘open’ 422 times and ‘free’ 420 times. </w:t>
      </w:r>
    </w:p>
    <w:p w14:paraId="23FBFF21" w14:textId="77777777" w:rsidR="00796AB8" w:rsidRPr="002F0E20" w:rsidRDefault="00796AB8" w:rsidP="00796AB8"/>
    <w:p w14:paraId="15775355" w14:textId="55289792" w:rsidR="00796AB8" w:rsidRDefault="00796AB8" w:rsidP="00796AB8">
      <w:r w:rsidRPr="005D1F71">
        <w:t xml:space="preserve">Textual excerpts browsing confirmed this insight and added further elements. On one hand, in all cases where ‘software’ occurred with ‘free’ and/or ‘open’, these terms </w:t>
      </w:r>
      <w:r w:rsidRPr="00337EEB">
        <w:t xml:space="preserve">were </w:t>
      </w:r>
      <w:r w:rsidRPr="00337EEB">
        <w:lastRenderedPageBreak/>
        <w:t xml:space="preserve">used to describe FLOSS initiatives participating in the competition: from </w:t>
      </w:r>
      <w:r w:rsidRPr="00337EEB">
        <w:rPr>
          <w:i/>
        </w:rPr>
        <w:t>FSF-GNU</w:t>
      </w:r>
      <w:r w:rsidRPr="00337EEB">
        <w:t xml:space="preserve"> and </w:t>
      </w:r>
      <w:r w:rsidRPr="00337EEB">
        <w:rPr>
          <w:i/>
        </w:rPr>
        <w:t>Linux</w:t>
      </w:r>
      <w:r w:rsidRPr="00337EEB">
        <w:t xml:space="preserve"> to </w:t>
      </w:r>
      <w:r w:rsidRPr="00337EEB">
        <w:rPr>
          <w:i/>
        </w:rPr>
        <w:t>dyne.org</w:t>
      </w:r>
      <w:r w:rsidRPr="00337EEB">
        <w:t xml:space="preserve"> and epigones. On the other hand, </w:t>
      </w:r>
      <w:r w:rsidRPr="004B42EE">
        <w:t>less homogeneous</w:t>
      </w:r>
      <w:r w:rsidRPr="0021572C">
        <w:t xml:space="preserve"> narratives were identified by the co-occurrence of ‘software’ and ‘social’. This lack of </w:t>
      </w:r>
      <w:proofErr w:type="spellStart"/>
      <w:r w:rsidRPr="0021572C">
        <w:t>homogeneity</w:t>
      </w:r>
      <w:proofErr w:type="spellEnd"/>
      <w:r w:rsidRPr="0021572C">
        <w:t xml:space="preserve"> </w:t>
      </w:r>
      <w:proofErr w:type="spellStart"/>
      <w:r w:rsidRPr="0021572C">
        <w:t>is</w:t>
      </w:r>
      <w:proofErr w:type="spellEnd"/>
      <w:r w:rsidRPr="0021572C">
        <w:t xml:space="preserve"> </w:t>
      </w:r>
      <w:proofErr w:type="spellStart"/>
      <w:r w:rsidRPr="0021572C">
        <w:t>thus</w:t>
      </w:r>
      <w:proofErr w:type="spellEnd"/>
      <w:r w:rsidRPr="0021572C">
        <w:t xml:space="preserve"> </w:t>
      </w:r>
      <w:proofErr w:type="spellStart"/>
      <w:r w:rsidRPr="0021572C">
        <w:t>worth</w:t>
      </w:r>
      <w:proofErr w:type="spellEnd"/>
      <w:r w:rsidRPr="0021572C">
        <w:t xml:space="preserve"> </w:t>
      </w:r>
      <w:proofErr w:type="spellStart"/>
      <w:r w:rsidRPr="0021572C">
        <w:t>further</w:t>
      </w:r>
      <w:proofErr w:type="spellEnd"/>
      <w:r w:rsidRPr="0021572C">
        <w:t xml:space="preserve"> </w:t>
      </w:r>
      <w:proofErr w:type="spellStart"/>
      <w:r w:rsidRPr="0021572C">
        <w:t>analysis</w:t>
      </w:r>
      <w:proofErr w:type="spellEnd"/>
      <w:r w:rsidRPr="0021572C">
        <w:t>.</w:t>
      </w:r>
    </w:p>
    <w:p w14:paraId="114BA3E5" w14:textId="77777777" w:rsidR="00796AB8" w:rsidRPr="00671EF3" w:rsidRDefault="00796AB8" w:rsidP="00796AB8"/>
    <w:p w14:paraId="1DC49C27" w14:textId="77777777" w:rsidR="00796AB8" w:rsidRPr="00032C17" w:rsidRDefault="00796AB8" w:rsidP="00796AB8">
      <w:r w:rsidRPr="00671EF3">
        <w:t>In the data set, three different meanings of ‘social software’ were distinguishable</w:t>
      </w:r>
      <w:r w:rsidRPr="00D81ED5">
        <w:t>. First</w:t>
      </w:r>
      <w:r w:rsidRPr="006B21D2">
        <w:t>, software design was se</w:t>
      </w:r>
      <w:r w:rsidRPr="0067335F">
        <w:t xml:space="preserve">en as constituting a moment for </w:t>
      </w:r>
      <w:r w:rsidRPr="00811568">
        <w:t>‘social inquiry’. As software design usually relies on knowledge of prior software, by definition software development is a collaborative process,</w:t>
      </w:r>
      <w:r w:rsidRPr="007F0DAA">
        <w:t xml:space="preserve"> and software is</w:t>
      </w:r>
      <w:r w:rsidRPr="009945D6">
        <w:t xml:space="preserve"> the artefact that crystallizes such social process.</w:t>
      </w:r>
      <w:r w:rsidRPr="00D50C43">
        <w:rPr>
          <w:rStyle w:val="FootnoteReference"/>
        </w:rPr>
        <w:footnoteReference w:id="8"/>
      </w:r>
      <w:r w:rsidRPr="00D50C43">
        <w:t xml:space="preserve"> See for </w:t>
      </w:r>
      <w:r w:rsidRPr="00442E07">
        <w:t xml:space="preserve">an example </w:t>
      </w:r>
      <w:r w:rsidRPr="00D40CF0">
        <w:t xml:space="preserve">the </w:t>
      </w:r>
      <w:r w:rsidRPr="0041636B">
        <w:rPr>
          <w:i/>
        </w:rPr>
        <w:t>Spring-alpha</w:t>
      </w:r>
      <w:r w:rsidRPr="00032C17">
        <w:t xml:space="preserve"> project:</w:t>
      </w:r>
    </w:p>
    <w:p w14:paraId="1AA74775" w14:textId="77777777" w:rsidR="00796AB8" w:rsidRPr="005D1F71" w:rsidRDefault="00796AB8" w:rsidP="00796AB8">
      <w:pPr>
        <w:pStyle w:val="Quote"/>
      </w:pPr>
      <w:r w:rsidRPr="00542C1B">
        <w:t>Thematically, "spring-alpha" is an exploration of the relationship between software and social systems, focusing, in particular, on how issues in their design and implementation mirror one another. This is being realise</w:t>
      </w:r>
      <w:r w:rsidRPr="002F0E20">
        <w:t xml:space="preserve">d practically, by taking the development of a game simulation world and exploring how the different issues involved in its design can form a process of social enquiry. […] [The game] depicts a story in which the occupants of an industrial housing project attempt to establish their own autonomous society. The narrative acts as a kind of parable paralleling the themes and practice of the project. It will serve as a "conceptual kernel" which will be extended through collaborative public workshops. The content of the game is therefore also developed through a form of "Open Source" method. Many of the issues involved in designing such a game mirror those involved in constructing real-world social systems. In this way the development process will act as a form of </w:t>
      </w:r>
      <w:r w:rsidRPr="005D1F71">
        <w:t>critical social enquiry exposing the relationships of software and social systems. Objectives: To demonstrate the potential of software design as a process of social enquiry. To extend the collaborative, social principles of FOSS beyond programming into broader forms of participation and creative practice. To foreground the development of software as a fundamentally social process.</w:t>
      </w:r>
      <w:r w:rsidRPr="005D1F71">
        <w:rPr>
          <w:rStyle w:val="FootnoteReference"/>
        </w:rPr>
        <w:footnoteReference w:id="9"/>
      </w:r>
      <w:r w:rsidRPr="005D1F71">
        <w:t xml:space="preserve"> </w:t>
      </w:r>
    </w:p>
    <w:p w14:paraId="1E6D0B54" w14:textId="77777777" w:rsidR="00796AB8" w:rsidRPr="0021572C" w:rsidRDefault="00796AB8" w:rsidP="00796AB8">
      <w:r w:rsidRPr="005D1F71">
        <w:t xml:space="preserve">A second, different understanding of </w:t>
      </w:r>
      <w:r w:rsidRPr="00337EEB">
        <w:t xml:space="preserve">social software was laid down by the </w:t>
      </w:r>
      <w:r w:rsidRPr="00337EEB">
        <w:rPr>
          <w:i/>
        </w:rPr>
        <w:t>[</w:t>
      </w:r>
      <w:proofErr w:type="spellStart"/>
      <w:proofErr w:type="gramStart"/>
      <w:r w:rsidRPr="00337EEB">
        <w:rPr>
          <w:i/>
        </w:rPr>
        <w:t>meme.garden</w:t>
      </w:r>
      <w:proofErr w:type="spellEnd"/>
      <w:proofErr w:type="gramEnd"/>
      <w:r w:rsidRPr="00337EEB">
        <w:rPr>
          <w:i/>
        </w:rPr>
        <w:t xml:space="preserve">] </w:t>
      </w:r>
      <w:proofErr w:type="spellStart"/>
      <w:r w:rsidRPr="00337EEB">
        <w:t>project</w:t>
      </w:r>
      <w:proofErr w:type="spellEnd"/>
      <w:r w:rsidRPr="00337EEB">
        <w:t xml:space="preserve">. In </w:t>
      </w:r>
      <w:proofErr w:type="spellStart"/>
      <w:r w:rsidRPr="00337EEB">
        <w:t>this</w:t>
      </w:r>
      <w:proofErr w:type="spellEnd"/>
      <w:r w:rsidRPr="00337EEB">
        <w:t xml:space="preserve"> case, social software </w:t>
      </w:r>
      <w:proofErr w:type="spellStart"/>
      <w:r w:rsidRPr="00337EEB">
        <w:t>was</w:t>
      </w:r>
      <w:proofErr w:type="spellEnd"/>
      <w:r w:rsidRPr="00337EEB">
        <w:t xml:space="preserve"> </w:t>
      </w:r>
      <w:proofErr w:type="spellStart"/>
      <w:r w:rsidRPr="004B42EE">
        <w:t>conceived</w:t>
      </w:r>
      <w:proofErr w:type="spellEnd"/>
      <w:r w:rsidRPr="004B42EE">
        <w:t xml:space="preserve"> of </w:t>
      </w:r>
      <w:proofErr w:type="spellStart"/>
      <w:r w:rsidRPr="004B42EE">
        <w:t>as</w:t>
      </w:r>
      <w:proofErr w:type="spellEnd"/>
      <w:r w:rsidRPr="004B42EE">
        <w:t xml:space="preserve"> a</w:t>
      </w:r>
      <w:r w:rsidRPr="0021572C">
        <w:t xml:space="preserve"> </w:t>
      </w:r>
      <w:proofErr w:type="spellStart"/>
      <w:r w:rsidRPr="0021572C">
        <w:t>peculiar</w:t>
      </w:r>
      <w:proofErr w:type="spellEnd"/>
      <w:r w:rsidRPr="0021572C">
        <w:t xml:space="preserve"> </w:t>
      </w:r>
      <w:proofErr w:type="spellStart"/>
      <w:r w:rsidRPr="0021572C">
        <w:t>kind</w:t>
      </w:r>
      <w:proofErr w:type="spellEnd"/>
      <w:r w:rsidRPr="0021572C">
        <w:t xml:space="preserve"> of software </w:t>
      </w:r>
      <w:proofErr w:type="spellStart"/>
      <w:r w:rsidRPr="0021572C">
        <w:t>that</w:t>
      </w:r>
      <w:proofErr w:type="spellEnd"/>
      <w:r w:rsidRPr="0021572C">
        <w:t xml:space="preserve"> </w:t>
      </w:r>
      <w:proofErr w:type="spellStart"/>
      <w:r w:rsidRPr="0021572C">
        <w:t>emphasizes</w:t>
      </w:r>
      <w:proofErr w:type="spellEnd"/>
      <w:r w:rsidRPr="0021572C">
        <w:t xml:space="preserve"> the human </w:t>
      </w:r>
      <w:proofErr w:type="spellStart"/>
      <w:r w:rsidRPr="0021572C">
        <w:t>dimension</w:t>
      </w:r>
      <w:proofErr w:type="spellEnd"/>
      <w:r w:rsidRPr="0021572C">
        <w:t xml:space="preserve"> of networking. Here, ‘social’ </w:t>
      </w:r>
      <w:proofErr w:type="spellStart"/>
      <w:r w:rsidRPr="0021572C">
        <w:t>was</w:t>
      </w:r>
      <w:proofErr w:type="spellEnd"/>
      <w:r w:rsidRPr="0021572C">
        <w:t xml:space="preserve"> </w:t>
      </w:r>
      <w:proofErr w:type="spellStart"/>
      <w:r w:rsidRPr="0021572C">
        <w:t>synonymous</w:t>
      </w:r>
      <w:proofErr w:type="spellEnd"/>
      <w:r w:rsidRPr="0021572C">
        <w:t xml:space="preserve"> of ‘human’, </w:t>
      </w:r>
      <w:proofErr w:type="spellStart"/>
      <w:r w:rsidRPr="0021572C">
        <w:t>as</w:t>
      </w:r>
      <w:proofErr w:type="spellEnd"/>
      <w:r w:rsidRPr="0021572C">
        <w:t xml:space="preserve"> </w:t>
      </w:r>
      <w:proofErr w:type="spellStart"/>
      <w:r w:rsidRPr="0021572C">
        <w:t>opposed</w:t>
      </w:r>
      <w:proofErr w:type="spellEnd"/>
      <w:r w:rsidRPr="0021572C">
        <w:t xml:space="preserve"> to ‘</w:t>
      </w:r>
      <w:proofErr w:type="spellStart"/>
      <w:r w:rsidRPr="0021572C">
        <w:t>cold</w:t>
      </w:r>
      <w:proofErr w:type="spellEnd"/>
      <w:r w:rsidRPr="0021572C">
        <w:t xml:space="preserve">’ computer </w:t>
      </w:r>
      <w:proofErr w:type="spellStart"/>
      <w:r w:rsidRPr="0021572C">
        <w:t>systems</w:t>
      </w:r>
      <w:proofErr w:type="spellEnd"/>
      <w:r w:rsidRPr="0021572C">
        <w:t>:</w:t>
      </w:r>
    </w:p>
    <w:p w14:paraId="5858555A" w14:textId="77777777" w:rsidR="00796AB8" w:rsidRPr="00671EF3" w:rsidRDefault="00796AB8" w:rsidP="00796AB8">
      <w:pPr>
        <w:pStyle w:val="Quote"/>
      </w:pPr>
      <w:r w:rsidRPr="00671EF3">
        <w:t>[</w:t>
      </w:r>
      <w:proofErr w:type="spellStart"/>
      <w:proofErr w:type="gramStart"/>
      <w:r w:rsidRPr="00671EF3">
        <w:t>meme.garden</w:t>
      </w:r>
      <w:proofErr w:type="spellEnd"/>
      <w:proofErr w:type="gramEnd"/>
      <w:r w:rsidRPr="00671EF3">
        <w:t>] functions as social software which explores an individual's interests (whether these interests be news topics, political phenomena, health, hobbies, etc) among a social group. The software emphasizes the human element inherent in networked tools. Artwork created with computerized systems often feels cold and impersonal to audiences. The [</w:t>
      </w:r>
      <w:proofErr w:type="spellStart"/>
      <w:proofErr w:type="gramStart"/>
      <w:r w:rsidRPr="00671EF3">
        <w:t>meme.garden</w:t>
      </w:r>
      <w:proofErr w:type="spellEnd"/>
      <w:proofErr w:type="gramEnd"/>
      <w:r w:rsidRPr="00671EF3">
        <w:t xml:space="preserve">] software blends social software, search tool, and aesthetic system to visualize participant's interests in prevalent streams of information, encouraging browsing and interaction between users in real time, </w:t>
      </w:r>
      <w:r w:rsidRPr="00671EF3">
        <w:lastRenderedPageBreak/>
        <w:t>through time. Our goal is to make a social software search engine tools that embody human themes.</w:t>
      </w:r>
      <w:r w:rsidRPr="00671EF3">
        <w:rPr>
          <w:rStyle w:val="FootnoteReference"/>
        </w:rPr>
        <w:footnoteReference w:id="10"/>
      </w:r>
      <w:r w:rsidRPr="00671EF3">
        <w:t xml:space="preserve"> </w:t>
      </w:r>
    </w:p>
    <w:p w14:paraId="4FCF549B" w14:textId="77777777" w:rsidR="00796AB8" w:rsidRPr="00811568" w:rsidRDefault="00796AB8" w:rsidP="00796AB8">
      <w:r w:rsidRPr="00D81ED5">
        <w:t xml:space="preserve">A </w:t>
      </w:r>
      <w:proofErr w:type="spellStart"/>
      <w:r w:rsidRPr="00D81ED5">
        <w:t>similar</w:t>
      </w:r>
      <w:proofErr w:type="spellEnd"/>
      <w:r w:rsidRPr="00D81ED5">
        <w:t xml:space="preserve"> narrative </w:t>
      </w:r>
      <w:proofErr w:type="spellStart"/>
      <w:r w:rsidRPr="00D81ED5">
        <w:t>was</w:t>
      </w:r>
      <w:proofErr w:type="spellEnd"/>
      <w:r w:rsidRPr="00D81ED5">
        <w:t xml:space="preserve"> </w:t>
      </w:r>
      <w:proofErr w:type="spellStart"/>
      <w:r w:rsidRPr="00D81ED5">
        <w:t>present</w:t>
      </w:r>
      <w:proofErr w:type="spellEnd"/>
      <w:r w:rsidRPr="00D81ED5">
        <w:t xml:space="preserve"> in the </w:t>
      </w:r>
      <w:proofErr w:type="spellStart"/>
      <w:r w:rsidRPr="006B21D2">
        <w:rPr>
          <w:i/>
        </w:rPr>
        <w:t>Barnraiser</w:t>
      </w:r>
      <w:proofErr w:type="spellEnd"/>
      <w:r w:rsidRPr="006B21D2">
        <w:t xml:space="preserve"> </w:t>
      </w:r>
      <w:proofErr w:type="spellStart"/>
      <w:r w:rsidRPr="006B21D2">
        <w:t>submission</w:t>
      </w:r>
      <w:proofErr w:type="spellEnd"/>
      <w:r w:rsidRPr="006B21D2">
        <w:t>. For</w:t>
      </w:r>
      <w:r w:rsidRPr="0067335F">
        <w:t xml:space="preserve"> </w:t>
      </w:r>
      <w:proofErr w:type="spellStart"/>
      <w:r w:rsidRPr="0067335F">
        <w:t>this</w:t>
      </w:r>
      <w:proofErr w:type="spellEnd"/>
      <w:r w:rsidRPr="0067335F">
        <w:t xml:space="preserve"> </w:t>
      </w:r>
      <w:proofErr w:type="spellStart"/>
      <w:r w:rsidRPr="0067335F">
        <w:t>project</w:t>
      </w:r>
      <w:proofErr w:type="spellEnd"/>
      <w:r w:rsidRPr="0067335F">
        <w:t xml:space="preserve">, social software </w:t>
      </w:r>
      <w:proofErr w:type="spellStart"/>
      <w:r w:rsidRPr="0067335F">
        <w:t>focuses</w:t>
      </w:r>
      <w:proofErr w:type="spellEnd"/>
      <w:r w:rsidRPr="0067335F">
        <w:t xml:space="preserve"> more on the ‘social </w:t>
      </w:r>
      <w:proofErr w:type="spellStart"/>
      <w:r w:rsidRPr="0067335F">
        <w:t>conventions</w:t>
      </w:r>
      <w:proofErr w:type="spellEnd"/>
      <w:r w:rsidRPr="0067335F">
        <w:t xml:space="preserve">’ </w:t>
      </w:r>
      <w:proofErr w:type="spellStart"/>
      <w:r w:rsidRPr="0067335F">
        <w:t>than</w:t>
      </w:r>
      <w:proofErr w:type="spellEnd"/>
      <w:r w:rsidRPr="0067335F">
        <w:t xml:space="preserve"> on ‘software </w:t>
      </w:r>
      <w:proofErr w:type="spellStart"/>
      <w:r w:rsidRPr="0067335F">
        <w:t>features</w:t>
      </w:r>
      <w:proofErr w:type="spellEnd"/>
      <w:r w:rsidRPr="0067335F">
        <w:t xml:space="preserve">’. </w:t>
      </w:r>
      <w:proofErr w:type="spellStart"/>
      <w:r w:rsidRPr="0067335F">
        <w:t>It</w:t>
      </w:r>
      <w:proofErr w:type="spellEnd"/>
      <w:r w:rsidRPr="0067335F">
        <w:t xml:space="preserve"> ‘</w:t>
      </w:r>
      <w:proofErr w:type="spellStart"/>
      <w:r w:rsidRPr="0067335F">
        <w:t>directly</w:t>
      </w:r>
      <w:proofErr w:type="spellEnd"/>
      <w:r w:rsidRPr="0067335F">
        <w:t xml:space="preserve">’ benefits society by </w:t>
      </w:r>
      <w:proofErr w:type="spellStart"/>
      <w:r w:rsidRPr="0067335F">
        <w:t>allowing</w:t>
      </w:r>
      <w:proofErr w:type="spellEnd"/>
      <w:r w:rsidRPr="0067335F">
        <w:t xml:space="preserve"> </w:t>
      </w:r>
      <w:proofErr w:type="spellStart"/>
      <w:r w:rsidRPr="0067335F">
        <w:t>people</w:t>
      </w:r>
      <w:proofErr w:type="spellEnd"/>
      <w:r w:rsidRPr="0067335F">
        <w:t xml:space="preserve"> to </w:t>
      </w:r>
      <w:proofErr w:type="spellStart"/>
      <w:r w:rsidRPr="0067335F">
        <w:t>interact</w:t>
      </w:r>
      <w:proofErr w:type="spellEnd"/>
      <w:r w:rsidRPr="0067335F">
        <w:t xml:space="preserve"> and share </w:t>
      </w:r>
      <w:proofErr w:type="spellStart"/>
      <w:r w:rsidRPr="0067335F">
        <w:t>knowledge</w:t>
      </w:r>
      <w:proofErr w:type="spellEnd"/>
      <w:r w:rsidRPr="0067335F">
        <w:t xml:space="preserve">. </w:t>
      </w:r>
      <w:proofErr w:type="spellStart"/>
      <w:r w:rsidRPr="0067335F">
        <w:t>While</w:t>
      </w:r>
      <w:proofErr w:type="spellEnd"/>
      <w:r w:rsidRPr="00811568">
        <w:t xml:space="preserve"> </w:t>
      </w:r>
      <w:proofErr w:type="spellStart"/>
      <w:r w:rsidRPr="00811568">
        <w:t>providing</w:t>
      </w:r>
      <w:proofErr w:type="spellEnd"/>
      <w:r w:rsidRPr="00811568">
        <w:t xml:space="preserve"> hardware </w:t>
      </w:r>
      <w:proofErr w:type="spellStart"/>
      <w:r w:rsidRPr="00811568">
        <w:t>is</w:t>
      </w:r>
      <w:proofErr w:type="spellEnd"/>
      <w:r w:rsidRPr="00811568">
        <w:t xml:space="preserve"> </w:t>
      </w:r>
      <w:proofErr w:type="spellStart"/>
      <w:r w:rsidRPr="00811568">
        <w:t>not</w:t>
      </w:r>
      <w:proofErr w:type="spellEnd"/>
      <w:r w:rsidRPr="00811568">
        <w:t xml:space="preserve"> </w:t>
      </w:r>
      <w:proofErr w:type="spellStart"/>
      <w:r w:rsidRPr="00811568">
        <w:t>sufficient</w:t>
      </w:r>
      <w:proofErr w:type="spellEnd"/>
      <w:r w:rsidRPr="00811568">
        <w:t xml:space="preserve"> to </w:t>
      </w:r>
      <w:proofErr w:type="spellStart"/>
      <w:r w:rsidRPr="00811568">
        <w:t>assure</w:t>
      </w:r>
      <w:proofErr w:type="spellEnd"/>
      <w:r w:rsidRPr="00811568">
        <w:t xml:space="preserve"> </w:t>
      </w:r>
      <w:proofErr w:type="spellStart"/>
      <w:r w:rsidRPr="00811568">
        <w:t>development</w:t>
      </w:r>
      <w:proofErr w:type="spellEnd"/>
      <w:r w:rsidRPr="00811568">
        <w:t xml:space="preserve">, </w:t>
      </w:r>
      <w:proofErr w:type="spellStart"/>
      <w:r w:rsidRPr="00811568">
        <w:t>having</w:t>
      </w:r>
      <w:proofErr w:type="spellEnd"/>
      <w:r w:rsidRPr="00811568">
        <w:t xml:space="preserve"> </w:t>
      </w:r>
      <w:proofErr w:type="spellStart"/>
      <w:r w:rsidRPr="00811568">
        <w:t>access</w:t>
      </w:r>
      <w:proofErr w:type="spellEnd"/>
      <w:r w:rsidRPr="00811568">
        <w:t xml:space="preserve"> to </w:t>
      </w:r>
      <w:r w:rsidRPr="00811568">
        <w:rPr>
          <w:i/>
        </w:rPr>
        <w:t>social</w:t>
      </w:r>
      <w:r w:rsidRPr="00811568">
        <w:t xml:space="preserve"> software and </w:t>
      </w:r>
      <w:proofErr w:type="spellStart"/>
      <w:r w:rsidRPr="00811568">
        <w:t>knowing</w:t>
      </w:r>
      <w:proofErr w:type="spellEnd"/>
      <w:r w:rsidRPr="00811568">
        <w:t xml:space="preserve"> </w:t>
      </w:r>
      <w:proofErr w:type="spellStart"/>
      <w:r w:rsidRPr="00811568">
        <w:t>how</w:t>
      </w:r>
      <w:proofErr w:type="spellEnd"/>
      <w:r w:rsidRPr="00811568">
        <w:t xml:space="preserve"> to use </w:t>
      </w:r>
      <w:proofErr w:type="spellStart"/>
      <w:r w:rsidRPr="00811568">
        <w:t>it</w:t>
      </w:r>
      <w:proofErr w:type="spellEnd"/>
      <w:r w:rsidRPr="00811568">
        <w:t xml:space="preserve"> </w:t>
      </w:r>
      <w:proofErr w:type="spellStart"/>
      <w:r w:rsidRPr="00811568">
        <w:t>facilitates</w:t>
      </w:r>
      <w:proofErr w:type="spellEnd"/>
      <w:r w:rsidRPr="00811568">
        <w:t xml:space="preserve"> the </w:t>
      </w:r>
      <w:proofErr w:type="spellStart"/>
      <w:r w:rsidRPr="00811568">
        <w:t>development</w:t>
      </w:r>
      <w:proofErr w:type="spellEnd"/>
      <w:r w:rsidRPr="00811568">
        <w:t xml:space="preserve"> of society:</w:t>
      </w:r>
    </w:p>
    <w:p w14:paraId="5FEDA243" w14:textId="77777777" w:rsidR="00796AB8" w:rsidRPr="00811568" w:rsidRDefault="00796AB8" w:rsidP="00796AB8">
      <w:pPr>
        <w:pStyle w:val="Quote"/>
      </w:pPr>
      <w:r w:rsidRPr="00811568">
        <w:t>We are a growing movement of people that want to contribute directly to a better society by pushing forward the boundaries of social software development and education. Social software is developed from social convention rather than software features. Social software facilitates interaction and collaboration and is changing how people communicate. Installing computers and supplying Internet connection is not enough when building capacity within society. We need software, software that allows that society to develop, allows the people within that society to share knowledge and contribute towards their information society. We facilitate this by creating free social software and ensuring that people can have access to it and the knowledge to use it.</w:t>
      </w:r>
      <w:r>
        <w:rPr>
          <w:rStyle w:val="FootnoteReference"/>
        </w:rPr>
        <w:footnoteReference w:id="11"/>
      </w:r>
      <w:r w:rsidRPr="00811568">
        <w:t xml:space="preserve"> </w:t>
      </w:r>
    </w:p>
    <w:p w14:paraId="3A76CA05" w14:textId="77777777" w:rsidR="00796AB8" w:rsidRPr="00664C76" w:rsidRDefault="00796AB8" w:rsidP="00796AB8">
      <w:r w:rsidRPr="00811568">
        <w:t xml:space="preserve">A </w:t>
      </w:r>
      <w:proofErr w:type="spellStart"/>
      <w:r w:rsidRPr="00811568">
        <w:t>third</w:t>
      </w:r>
      <w:proofErr w:type="spellEnd"/>
      <w:r w:rsidRPr="00811568">
        <w:t xml:space="preserve"> narrative </w:t>
      </w:r>
      <w:proofErr w:type="spellStart"/>
      <w:r w:rsidRPr="00811568">
        <w:t>associated</w:t>
      </w:r>
      <w:proofErr w:type="spellEnd"/>
      <w:r w:rsidRPr="00811568">
        <w:t xml:space="preserve"> </w:t>
      </w:r>
      <w:r>
        <w:t>with</w:t>
      </w:r>
      <w:r w:rsidRPr="00811568">
        <w:t xml:space="preserve"> social software </w:t>
      </w:r>
      <w:proofErr w:type="spellStart"/>
      <w:r w:rsidRPr="00811568">
        <w:t>was</w:t>
      </w:r>
      <w:proofErr w:type="spellEnd"/>
      <w:r w:rsidRPr="00811568">
        <w:t xml:space="preserve"> </w:t>
      </w:r>
      <w:proofErr w:type="spellStart"/>
      <w:r w:rsidRPr="00811568">
        <w:t>provided</w:t>
      </w:r>
      <w:proofErr w:type="spellEnd"/>
      <w:r w:rsidRPr="00811568">
        <w:t xml:space="preserve"> </w:t>
      </w:r>
      <w:r w:rsidRPr="007F0DAA">
        <w:t xml:space="preserve">for </w:t>
      </w:r>
      <w:proofErr w:type="spellStart"/>
      <w:r w:rsidRPr="007F0DAA">
        <w:t>example</w:t>
      </w:r>
      <w:proofErr w:type="spellEnd"/>
      <w:r w:rsidRPr="007F0DAA">
        <w:t xml:space="preserve"> by </w:t>
      </w:r>
      <w:r w:rsidRPr="009945D6">
        <w:rPr>
          <w:i/>
        </w:rPr>
        <w:t>World-Information.org</w:t>
      </w:r>
      <w:r w:rsidRPr="009945D6">
        <w:t xml:space="preserve">. Here, the Web 2.0 </w:t>
      </w:r>
      <w:proofErr w:type="spellStart"/>
      <w:r w:rsidRPr="009945D6">
        <w:t>rhetoric</w:t>
      </w:r>
      <w:proofErr w:type="spellEnd"/>
      <w:r w:rsidRPr="009945D6">
        <w:t xml:space="preserve"> </w:t>
      </w:r>
      <w:proofErr w:type="spellStart"/>
      <w:r w:rsidRPr="00E77477">
        <w:t>was</w:t>
      </w:r>
      <w:proofErr w:type="spellEnd"/>
      <w:r w:rsidRPr="00E77477">
        <w:t xml:space="preserve"> </w:t>
      </w:r>
      <w:proofErr w:type="spellStart"/>
      <w:r w:rsidRPr="00E77477">
        <w:t>explicit</w:t>
      </w:r>
      <w:proofErr w:type="spellEnd"/>
      <w:r w:rsidRPr="00E77477">
        <w:t xml:space="preserve">. </w:t>
      </w:r>
      <w:proofErr w:type="spellStart"/>
      <w:r w:rsidRPr="00E77477">
        <w:t>Indeed</w:t>
      </w:r>
      <w:proofErr w:type="spellEnd"/>
      <w:r w:rsidRPr="00E77477">
        <w:t xml:space="preserve">, social </w:t>
      </w:r>
      <w:proofErr w:type="spellStart"/>
      <w:r w:rsidRPr="00E77477">
        <w:t>software’s</w:t>
      </w:r>
      <w:proofErr w:type="spellEnd"/>
      <w:r w:rsidRPr="00E77477">
        <w:t xml:space="preserve"> </w:t>
      </w:r>
      <w:proofErr w:type="spellStart"/>
      <w:r w:rsidRPr="00E77477">
        <w:t>peculiarity</w:t>
      </w:r>
      <w:proofErr w:type="spellEnd"/>
      <w:r w:rsidRPr="00E77477">
        <w:t xml:space="preserve"> </w:t>
      </w:r>
      <w:proofErr w:type="spellStart"/>
      <w:r w:rsidRPr="00E77477">
        <w:t>was</w:t>
      </w:r>
      <w:proofErr w:type="spellEnd"/>
      <w:r w:rsidRPr="00E77477">
        <w:t xml:space="preserve"> </w:t>
      </w:r>
      <w:proofErr w:type="spellStart"/>
      <w:r w:rsidRPr="00E77477">
        <w:t>seen</w:t>
      </w:r>
      <w:proofErr w:type="spellEnd"/>
      <w:r w:rsidRPr="00E77477">
        <w:t xml:space="preserve"> </w:t>
      </w:r>
      <w:r w:rsidRPr="00664C76">
        <w:t xml:space="preserve">in </w:t>
      </w:r>
      <w:proofErr w:type="spellStart"/>
      <w:r w:rsidRPr="00664C76">
        <w:t>allowing</w:t>
      </w:r>
      <w:proofErr w:type="spellEnd"/>
      <w:r w:rsidRPr="00664C76">
        <w:t xml:space="preserve"> the </w:t>
      </w:r>
      <w:proofErr w:type="spellStart"/>
      <w:r w:rsidRPr="00664C76">
        <w:t>convergence</w:t>
      </w:r>
      <w:proofErr w:type="spellEnd"/>
      <w:r w:rsidRPr="00664C76">
        <w:t xml:space="preserve"> </w:t>
      </w:r>
      <w:proofErr w:type="spellStart"/>
      <w:r w:rsidRPr="00664C76">
        <w:t>between</w:t>
      </w:r>
      <w:proofErr w:type="spellEnd"/>
      <w:r w:rsidRPr="00664C76">
        <w:t xml:space="preserve"> </w:t>
      </w:r>
      <w:proofErr w:type="spellStart"/>
      <w:r w:rsidRPr="00664C76">
        <w:t>sender</w:t>
      </w:r>
      <w:proofErr w:type="spellEnd"/>
      <w:r w:rsidRPr="00664C76">
        <w:t xml:space="preserve"> and </w:t>
      </w:r>
      <w:proofErr w:type="spellStart"/>
      <w:r w:rsidRPr="00664C76">
        <w:t>receiver</w:t>
      </w:r>
      <w:proofErr w:type="spellEnd"/>
      <w:r w:rsidRPr="00664C76">
        <w:t xml:space="preserve">, passive </w:t>
      </w:r>
      <w:proofErr w:type="spellStart"/>
      <w:r w:rsidRPr="00664C76">
        <w:t>user</w:t>
      </w:r>
      <w:proofErr w:type="spellEnd"/>
      <w:r w:rsidRPr="00664C76">
        <w:t xml:space="preserve">, and </w:t>
      </w:r>
      <w:proofErr w:type="spellStart"/>
      <w:r w:rsidRPr="00664C76">
        <w:t>content</w:t>
      </w:r>
      <w:proofErr w:type="spellEnd"/>
      <w:r w:rsidRPr="00664C76">
        <w:t xml:space="preserve"> contributor:</w:t>
      </w:r>
    </w:p>
    <w:p w14:paraId="7A30E7F2" w14:textId="77777777" w:rsidR="00796AB8" w:rsidRPr="00B639C5" w:rsidRDefault="00796AB8" w:rsidP="00796AB8">
      <w:pPr>
        <w:pStyle w:val="Quote"/>
      </w:pPr>
      <w:r w:rsidRPr="009230B3">
        <w:t>the [social software] content management system had to be specifically adaptable to support the different workflow models simultaneously because not only inte</w:t>
      </w:r>
      <w:r w:rsidRPr="00722233">
        <w:t xml:space="preserve">rnal editors but also external parties such as institutions or single individuals must be enabled to join the editorial team. </w:t>
      </w:r>
      <w:proofErr w:type="gramStart"/>
      <w:r w:rsidRPr="00722233">
        <w:t>Also</w:t>
      </w:r>
      <w:proofErr w:type="gramEnd"/>
      <w:r w:rsidRPr="00722233">
        <w:t xml:space="preserve"> the very heterogeneous skill levels of the prospect users had to be kept in mind. Editors all over the world had to be given </w:t>
      </w:r>
      <w:r w:rsidRPr="00D303FA">
        <w:t>access to the system over the internet. The user interface had to give support during the research process as well during content entry.</w:t>
      </w:r>
      <w:r w:rsidRPr="00696BAA">
        <w:rPr>
          <w:rStyle w:val="FootnoteReference"/>
        </w:rPr>
        <w:footnoteReference w:id="12"/>
      </w:r>
      <w:r w:rsidRPr="00F64383">
        <w:t xml:space="preserve"> </w:t>
      </w:r>
    </w:p>
    <w:p w14:paraId="413F2FB7" w14:textId="77777777" w:rsidR="00796AB8" w:rsidRPr="00D50C43" w:rsidRDefault="00796AB8" w:rsidP="00796AB8">
      <w:r w:rsidRPr="00CA3AE8">
        <w:t xml:space="preserve">In </w:t>
      </w:r>
      <w:proofErr w:type="spellStart"/>
      <w:r w:rsidRPr="00CA3AE8">
        <w:t>summary</w:t>
      </w:r>
      <w:proofErr w:type="spellEnd"/>
      <w:r w:rsidRPr="00CA3AE8">
        <w:t xml:space="preserve">, by </w:t>
      </w:r>
      <w:proofErr w:type="spellStart"/>
      <w:r w:rsidRPr="00CA3AE8">
        <w:t>following</w:t>
      </w:r>
      <w:proofErr w:type="spellEnd"/>
      <w:r w:rsidRPr="00CA3AE8">
        <w:t xml:space="preserve"> co-</w:t>
      </w:r>
      <w:proofErr w:type="spellStart"/>
      <w:r w:rsidRPr="00CA3AE8">
        <w:t>occurrence</w:t>
      </w:r>
      <w:proofErr w:type="spellEnd"/>
      <w:r w:rsidRPr="00CA3AE8">
        <w:t xml:space="preserve"> </w:t>
      </w:r>
      <w:proofErr w:type="spellStart"/>
      <w:r w:rsidRPr="00CA3AE8">
        <w:t>patterns</w:t>
      </w:r>
      <w:proofErr w:type="spellEnd"/>
      <w:r w:rsidRPr="00CA3AE8">
        <w:t xml:space="preserve"> for ‘software’, diverse </w:t>
      </w:r>
      <w:proofErr w:type="spellStart"/>
      <w:r w:rsidRPr="00CA3AE8">
        <w:t>narratives</w:t>
      </w:r>
      <w:proofErr w:type="spellEnd"/>
      <w:r w:rsidRPr="00CA3AE8">
        <w:t xml:space="preserve"> </w:t>
      </w:r>
      <w:proofErr w:type="spellStart"/>
      <w:r w:rsidRPr="00CA3AE8">
        <w:t>emerged</w:t>
      </w:r>
      <w:proofErr w:type="spellEnd"/>
      <w:r w:rsidRPr="00CA3AE8">
        <w:t xml:space="preserve">, </w:t>
      </w:r>
      <w:proofErr w:type="spellStart"/>
      <w:r w:rsidRPr="00CA3AE8">
        <w:t>which</w:t>
      </w:r>
      <w:proofErr w:type="spellEnd"/>
      <w:r w:rsidRPr="00CA3AE8">
        <w:t xml:space="preserve"> can be </w:t>
      </w:r>
      <w:proofErr w:type="spellStart"/>
      <w:r w:rsidRPr="00CA3AE8">
        <w:t>compared</w:t>
      </w:r>
      <w:proofErr w:type="spellEnd"/>
      <w:r w:rsidRPr="00CA3AE8">
        <w:t xml:space="preserve"> to the </w:t>
      </w:r>
      <w:proofErr w:type="spellStart"/>
      <w:r w:rsidRPr="00CA3AE8">
        <w:t>communitarian</w:t>
      </w:r>
      <w:proofErr w:type="spellEnd"/>
      <w:r w:rsidRPr="00CA3AE8">
        <w:t xml:space="preserve"> </w:t>
      </w:r>
      <w:proofErr w:type="spellStart"/>
      <w:r w:rsidRPr="00CA3AE8">
        <w:t>rhetorics</w:t>
      </w:r>
      <w:proofErr w:type="spellEnd"/>
      <w:r w:rsidRPr="00CA3AE8">
        <w:t xml:space="preserve"> </w:t>
      </w:r>
      <w:proofErr w:type="spellStart"/>
      <w:r w:rsidRPr="00CA3AE8">
        <w:t>discussed</w:t>
      </w:r>
      <w:proofErr w:type="spellEnd"/>
      <w:r w:rsidRPr="00CA3AE8">
        <w:t xml:space="preserve"> in </w:t>
      </w:r>
      <w:proofErr w:type="spellStart"/>
      <w:r w:rsidRPr="00CA3AE8">
        <w:t>chapters</w:t>
      </w:r>
      <w:proofErr w:type="spellEnd"/>
      <w:r w:rsidRPr="00CA3AE8">
        <w:t xml:space="preserve"> 1 and 2. The </w:t>
      </w:r>
      <w:proofErr w:type="spellStart"/>
      <w:r w:rsidRPr="00CA3AE8">
        <w:t>most</w:t>
      </w:r>
      <w:proofErr w:type="spellEnd"/>
      <w:r w:rsidRPr="00CA3AE8">
        <w:t xml:space="preserve"> </w:t>
      </w:r>
      <w:proofErr w:type="spellStart"/>
      <w:r w:rsidRPr="00CA3AE8">
        <w:t>frequent</w:t>
      </w:r>
      <w:proofErr w:type="spellEnd"/>
      <w:r w:rsidRPr="00CA3AE8">
        <w:t xml:space="preserve"> narrative </w:t>
      </w:r>
      <w:proofErr w:type="spellStart"/>
      <w:r w:rsidRPr="00CA3AE8">
        <w:t>recalls</w:t>
      </w:r>
      <w:proofErr w:type="spellEnd"/>
      <w:r w:rsidRPr="00CA3AE8">
        <w:t xml:space="preserve"> hacker </w:t>
      </w:r>
      <w:proofErr w:type="spellStart"/>
      <w:r w:rsidRPr="00CA3AE8">
        <w:t>culture’s</w:t>
      </w:r>
      <w:proofErr w:type="spellEnd"/>
      <w:r w:rsidRPr="00CA3AE8">
        <w:t xml:space="preserve"> focus on free and/or open software, </w:t>
      </w:r>
      <w:proofErr w:type="spellStart"/>
      <w:r w:rsidRPr="00CA3AE8">
        <w:t>as</w:t>
      </w:r>
      <w:proofErr w:type="spellEnd"/>
      <w:r w:rsidRPr="00CA3AE8">
        <w:t xml:space="preserve"> </w:t>
      </w:r>
      <w:proofErr w:type="spellStart"/>
      <w:r w:rsidRPr="00CA3AE8">
        <w:t>described</w:t>
      </w:r>
      <w:proofErr w:type="spellEnd"/>
      <w:r w:rsidRPr="00CA3AE8">
        <w:t xml:space="preserve"> in </w:t>
      </w:r>
      <w:proofErr w:type="spellStart"/>
      <w:r w:rsidRPr="00CA3AE8">
        <w:t>chapter</w:t>
      </w:r>
      <w:proofErr w:type="spellEnd"/>
      <w:r w:rsidRPr="00CA3AE8">
        <w:t xml:space="preserve"> 1. </w:t>
      </w:r>
      <w:proofErr w:type="spellStart"/>
      <w:r w:rsidRPr="00CA3AE8">
        <w:t>This</w:t>
      </w:r>
      <w:proofErr w:type="spellEnd"/>
      <w:r w:rsidRPr="00CA3AE8">
        <w:t xml:space="preserve"> </w:t>
      </w:r>
      <w:proofErr w:type="spellStart"/>
      <w:r w:rsidRPr="00CA3AE8">
        <w:t>discourse</w:t>
      </w:r>
      <w:proofErr w:type="spellEnd"/>
      <w:r w:rsidRPr="00CA3AE8">
        <w:t xml:space="preserve"> </w:t>
      </w:r>
      <w:proofErr w:type="spellStart"/>
      <w:r w:rsidRPr="00CA3AE8">
        <w:t>is</w:t>
      </w:r>
      <w:proofErr w:type="spellEnd"/>
      <w:r w:rsidRPr="00CA3AE8">
        <w:t xml:space="preserve"> </w:t>
      </w:r>
      <w:proofErr w:type="spellStart"/>
      <w:r w:rsidRPr="00CA3AE8">
        <w:t>domina</w:t>
      </w:r>
      <w:r>
        <w:t>n</w:t>
      </w:r>
      <w:r w:rsidRPr="00CA3AE8">
        <w:t>t</w:t>
      </w:r>
      <w:proofErr w:type="spellEnd"/>
      <w:r w:rsidRPr="00CA3AE8">
        <w:t xml:space="preserve"> over </w:t>
      </w:r>
      <w:proofErr w:type="spellStart"/>
      <w:r w:rsidRPr="00CA3AE8">
        <w:t>less</w:t>
      </w:r>
      <w:proofErr w:type="spellEnd"/>
      <w:r w:rsidRPr="00CA3AE8">
        <w:t xml:space="preserve"> </w:t>
      </w:r>
      <w:proofErr w:type="spellStart"/>
      <w:r w:rsidRPr="00CA3AE8">
        <w:t>represented</w:t>
      </w:r>
      <w:proofErr w:type="spellEnd"/>
      <w:r w:rsidRPr="00CA3AE8">
        <w:t xml:space="preserve"> </w:t>
      </w:r>
      <w:proofErr w:type="spellStart"/>
      <w:r w:rsidRPr="00CA3AE8">
        <w:t>understandings</w:t>
      </w:r>
      <w:proofErr w:type="spellEnd"/>
      <w:r w:rsidRPr="00CA3AE8">
        <w:t xml:space="preserve"> of</w:t>
      </w:r>
      <w:r w:rsidRPr="00D50C43">
        <w:t xml:space="preserve"> </w:t>
      </w:r>
      <w:r w:rsidRPr="00CA3AE8">
        <w:t xml:space="preserve">‘social software’. Social software can </w:t>
      </w:r>
      <w:proofErr w:type="spellStart"/>
      <w:r w:rsidRPr="00CA3AE8">
        <w:t>either</w:t>
      </w:r>
      <w:proofErr w:type="spellEnd"/>
      <w:r w:rsidRPr="00CA3AE8">
        <w:t xml:space="preserve"> </w:t>
      </w:r>
      <w:proofErr w:type="spellStart"/>
      <w:r w:rsidRPr="00CA3AE8">
        <w:t>refer</w:t>
      </w:r>
      <w:proofErr w:type="spellEnd"/>
      <w:r w:rsidRPr="00CA3AE8">
        <w:t xml:space="preserve"> to a </w:t>
      </w:r>
      <w:proofErr w:type="spellStart"/>
      <w:r w:rsidRPr="00CA3AE8">
        <w:t>type</w:t>
      </w:r>
      <w:proofErr w:type="spellEnd"/>
      <w:r w:rsidRPr="00CA3AE8">
        <w:t xml:space="preserve"> of ‘human’ </w:t>
      </w:r>
      <w:proofErr w:type="spellStart"/>
      <w:r w:rsidRPr="00CA3AE8">
        <w:t>substance</w:t>
      </w:r>
      <w:proofErr w:type="spellEnd"/>
      <w:r w:rsidRPr="00CA3AE8">
        <w:t xml:space="preserve"> </w:t>
      </w:r>
      <w:proofErr w:type="spellStart"/>
      <w:r w:rsidRPr="00CA3AE8">
        <w:t>opposed</w:t>
      </w:r>
      <w:proofErr w:type="spellEnd"/>
      <w:r w:rsidRPr="00CA3AE8">
        <w:t xml:space="preserve"> to </w:t>
      </w:r>
      <w:proofErr w:type="spellStart"/>
      <w:r w:rsidRPr="00CA3AE8">
        <w:t>machinic</w:t>
      </w:r>
      <w:proofErr w:type="spellEnd"/>
      <w:r w:rsidRPr="00CA3AE8">
        <w:t xml:space="preserve"> </w:t>
      </w:r>
      <w:proofErr w:type="spellStart"/>
      <w:r w:rsidRPr="00CA3AE8">
        <w:t>reasoning</w:t>
      </w:r>
      <w:proofErr w:type="spellEnd"/>
      <w:r w:rsidRPr="00CA3AE8">
        <w:t xml:space="preserve">, or to a collaborative </w:t>
      </w:r>
      <w:proofErr w:type="spellStart"/>
      <w:r w:rsidRPr="00CA3AE8">
        <w:t>process</w:t>
      </w:r>
      <w:proofErr w:type="spellEnd"/>
      <w:r w:rsidRPr="00CA3AE8">
        <w:t xml:space="preserve"> of social </w:t>
      </w:r>
      <w:proofErr w:type="spellStart"/>
      <w:r w:rsidRPr="00CA3AE8">
        <w:t>inquiry</w:t>
      </w:r>
      <w:proofErr w:type="spellEnd"/>
      <w:r w:rsidRPr="00CA3AE8">
        <w:t xml:space="preserve">. </w:t>
      </w:r>
      <w:proofErr w:type="spellStart"/>
      <w:r w:rsidRPr="00CA3AE8">
        <w:t>Additionally</w:t>
      </w:r>
      <w:proofErr w:type="spellEnd"/>
      <w:r w:rsidRPr="00CA3AE8">
        <w:t xml:space="preserve">, the social networking narrative </w:t>
      </w:r>
      <w:proofErr w:type="spellStart"/>
      <w:r w:rsidRPr="00CA3AE8">
        <w:t>proper</w:t>
      </w:r>
      <w:proofErr w:type="spellEnd"/>
      <w:r w:rsidRPr="00CA3AE8">
        <w:t xml:space="preserve"> to the Web 2.0 </w:t>
      </w:r>
      <w:proofErr w:type="spellStart"/>
      <w:r w:rsidRPr="00CA3AE8">
        <w:t>rhetoric</w:t>
      </w:r>
      <w:proofErr w:type="spellEnd"/>
      <w:r w:rsidRPr="00CA3AE8">
        <w:t xml:space="preserve"> </w:t>
      </w:r>
      <w:proofErr w:type="spellStart"/>
      <w:r w:rsidRPr="00CA3AE8">
        <w:t>addressed</w:t>
      </w:r>
      <w:proofErr w:type="spellEnd"/>
      <w:r w:rsidRPr="00CA3AE8">
        <w:t xml:space="preserve"> in </w:t>
      </w:r>
      <w:proofErr w:type="spellStart"/>
      <w:r w:rsidRPr="00CA3AE8">
        <w:t>section</w:t>
      </w:r>
      <w:proofErr w:type="spellEnd"/>
      <w:r w:rsidRPr="00CA3AE8">
        <w:t xml:space="preserve"> 2.3 </w:t>
      </w:r>
      <w:proofErr w:type="spellStart"/>
      <w:r w:rsidRPr="00CA3AE8">
        <w:t>is</w:t>
      </w:r>
      <w:proofErr w:type="spellEnd"/>
      <w:r w:rsidRPr="00CA3AE8">
        <w:t xml:space="preserve"> a minor </w:t>
      </w:r>
      <w:proofErr w:type="spellStart"/>
      <w:r w:rsidRPr="00CA3AE8">
        <w:t>one</w:t>
      </w:r>
      <w:proofErr w:type="spellEnd"/>
      <w:r w:rsidRPr="00CA3AE8">
        <w:t xml:space="preserve">. </w:t>
      </w:r>
    </w:p>
    <w:p w14:paraId="3016629D" w14:textId="77777777" w:rsidR="00796AB8" w:rsidRPr="00442E07" w:rsidRDefault="00796AB8" w:rsidP="00796AB8"/>
    <w:p w14:paraId="65D1E06C" w14:textId="77777777" w:rsidR="00796AB8" w:rsidRPr="00032C17" w:rsidRDefault="00796AB8" w:rsidP="00796AB8">
      <w:r w:rsidRPr="00D40CF0">
        <w:t>T</w:t>
      </w:r>
      <w:r w:rsidRPr="0041636B">
        <w:t xml:space="preserve">he differences between these narratives </w:t>
      </w:r>
      <w:r w:rsidRPr="00032C17">
        <w:t xml:space="preserve">allow </w:t>
      </w:r>
      <w:r w:rsidRPr="00542C1B">
        <w:t>introducing</w:t>
      </w:r>
      <w:r w:rsidRPr="002F0E20">
        <w:t xml:space="preserve"> a key category of analysis, that will </w:t>
      </w:r>
      <w:r>
        <w:t>be</w:t>
      </w:r>
      <w:r w:rsidRPr="002F0E20">
        <w:t xml:space="preserve"> crucial </w:t>
      </w:r>
      <w:r>
        <w:t>to</w:t>
      </w:r>
      <w:r w:rsidRPr="002F0E20">
        <w:t xml:space="preserve"> the rest of the book. I suggest that </w:t>
      </w:r>
      <w:r w:rsidRPr="00CA3AE8">
        <w:t xml:space="preserve">we can read the difference among those narratives by recovering the distinction between </w:t>
      </w:r>
      <w:r w:rsidRPr="00CA3AE8">
        <w:rPr>
          <w:i/>
        </w:rPr>
        <w:t>mediators</w:t>
      </w:r>
      <w:r w:rsidRPr="00CA3AE8">
        <w:t xml:space="preserve"> and </w:t>
      </w:r>
      <w:r w:rsidRPr="00CA3AE8">
        <w:rPr>
          <w:i/>
        </w:rPr>
        <w:lastRenderedPageBreak/>
        <w:t>intermediaries</w:t>
      </w:r>
      <w:r w:rsidRPr="00CA3AE8">
        <w:t>.</w:t>
      </w:r>
      <w:r w:rsidRPr="00D50C43">
        <w:t xml:space="preserve"> </w:t>
      </w:r>
      <w:r w:rsidRPr="00442E07">
        <w:t>While Human-Computer-Interaction (HCI) has usually focused on the ‘immediacy’ between input and output as a key concept for the evaluation of digital artefacts,</w:t>
      </w:r>
      <w:r w:rsidRPr="00D50C43">
        <w:rPr>
          <w:rStyle w:val="FootnoteReference"/>
        </w:rPr>
        <w:footnoteReference w:id="13"/>
      </w:r>
      <w:r w:rsidRPr="00D50C43">
        <w:t xml:space="preserve"> sociology of </w:t>
      </w:r>
      <w:r w:rsidRPr="00442E07">
        <w:t>technology</w:t>
      </w:r>
      <w:r w:rsidRPr="00D40CF0">
        <w:t xml:space="preserve"> </w:t>
      </w:r>
      <w:r w:rsidRPr="0041636B">
        <w:t xml:space="preserve">has </w:t>
      </w:r>
      <w:r w:rsidRPr="00032C17">
        <w:t>su</w:t>
      </w:r>
      <w:r w:rsidRPr="00542C1B">
        <w:t>ggested</w:t>
      </w:r>
      <w:r w:rsidRPr="002F0E20">
        <w:t xml:space="preserve"> the notion of ‘mediation’ to overcome that dichotomy.</w:t>
      </w:r>
      <w:r w:rsidRPr="00D50C43">
        <w:rPr>
          <w:rStyle w:val="FootnoteReference"/>
        </w:rPr>
        <w:footnoteReference w:id="14"/>
      </w:r>
      <w:r>
        <w:t xml:space="preserve"> </w:t>
      </w:r>
      <w:r w:rsidRPr="002F0E20">
        <w:t xml:space="preserve">The two traditions entailed </w:t>
      </w:r>
      <w:r w:rsidRPr="005D1F71">
        <w:t xml:space="preserve">very different approaches towards agency. While for HCI agency pertains to a full-blown subject endowed with intentionality, sociology of technology </w:t>
      </w:r>
      <w:r w:rsidRPr="00337EEB">
        <w:t xml:space="preserve">questions the cognitive nature of intentionality, and sees agency emerging in interaction, distributed throughout an assemblage, a network of </w:t>
      </w:r>
      <w:proofErr w:type="spellStart"/>
      <w:r w:rsidRPr="00337EEB">
        <w:t>hybrid</w:t>
      </w:r>
      <w:proofErr w:type="spellEnd"/>
      <w:r w:rsidRPr="00337EEB">
        <w:t xml:space="preserve"> ‘</w:t>
      </w:r>
      <w:proofErr w:type="spellStart"/>
      <w:r w:rsidRPr="00337EEB">
        <w:t>actants</w:t>
      </w:r>
      <w:proofErr w:type="spellEnd"/>
      <w:r w:rsidRPr="00337EEB">
        <w:t>’</w:t>
      </w:r>
      <w:r w:rsidRPr="00D50C43">
        <w:rPr>
          <w:rStyle w:val="FootnoteReference"/>
        </w:rPr>
        <w:footnoteReference w:id="15"/>
      </w:r>
      <w:r w:rsidRPr="00D50C43">
        <w:t xml:space="preserve">. </w:t>
      </w:r>
      <w:r w:rsidRPr="00442E07">
        <w:t>For this scholarship, a</w:t>
      </w:r>
      <w:r w:rsidRPr="00D40CF0">
        <w:t>gency</w:t>
      </w:r>
      <w:r w:rsidRPr="0041636B">
        <w:t xml:space="preserve"> is not embodied in a single actor, nor </w:t>
      </w:r>
      <w:r w:rsidRPr="00032C17">
        <w:t xml:space="preserve">in a single ‘social cause’, rather, it is dislocated. </w:t>
      </w:r>
    </w:p>
    <w:p w14:paraId="3F9B82B3" w14:textId="77777777" w:rsidR="00796AB8" w:rsidRPr="00542C1B" w:rsidRDefault="00796AB8" w:rsidP="00796AB8"/>
    <w:p w14:paraId="4BF1E358" w14:textId="77777777" w:rsidR="00796AB8" w:rsidRPr="002F0E20" w:rsidRDefault="00796AB8" w:rsidP="00796AB8">
      <w:r w:rsidRPr="002F0E20">
        <w:t>On closer inspection, one could notice that this extended definition of ‘action’ as ‘making someone do something’ resembles HCI’s notion of ‘affordance’ as an invitation to action that is embedded in the artefact.</w:t>
      </w:r>
      <w:r w:rsidRPr="00D50C43">
        <w:rPr>
          <w:rStyle w:val="FootnoteReference"/>
        </w:rPr>
        <w:footnoteReference w:id="16"/>
      </w:r>
      <w:r>
        <w:t xml:space="preserve"> </w:t>
      </w:r>
      <w:r w:rsidRPr="00D40CF0">
        <w:t xml:space="preserve">Nonetheless, a crucial difference between the two approaches should not be </w:t>
      </w:r>
      <w:r w:rsidRPr="0041636B">
        <w:t>overlooked</w:t>
      </w:r>
      <w:r w:rsidRPr="00032C17">
        <w:t xml:space="preserve">: while for the theories based on situated action affordances emerge </w:t>
      </w:r>
      <w:r w:rsidRPr="00542C1B">
        <w:rPr>
          <w:i/>
        </w:rPr>
        <w:t>during</w:t>
      </w:r>
      <w:r w:rsidRPr="002F0E20">
        <w:t xml:space="preserve"> action, for cognitive ergonomics the subject and the object are constituted </w:t>
      </w:r>
      <w:r w:rsidRPr="002F0E20">
        <w:rPr>
          <w:i/>
        </w:rPr>
        <w:t>before</w:t>
      </w:r>
      <w:r w:rsidRPr="002F0E20">
        <w:t xml:space="preserve"> the interaction. </w:t>
      </w:r>
    </w:p>
    <w:p w14:paraId="19AB8A67" w14:textId="77777777" w:rsidR="00796AB8" w:rsidRPr="005D1F71" w:rsidRDefault="00796AB8" w:rsidP="00796AB8"/>
    <w:p w14:paraId="64E94651" w14:textId="77777777" w:rsidR="00796AB8" w:rsidRPr="005D1F71" w:rsidRDefault="00796AB8" w:rsidP="00796AB8">
      <w:r w:rsidRPr="005D1F71">
        <w:t>One of the ways to account for this difference is the distinction between ‘mediation’ – a relationship that constitutes actors while taking place, from ‘intermediation’ – a relationship in which a tool just transports agency from one pre-existing point to another pre-existing point. While in intermediation the inputs are enough to define the outputs, mediation exceeds its inputs and cannot be reduced to a relationship of cause-and-effect.</w:t>
      </w:r>
      <w:r w:rsidRPr="00D50C43">
        <w:rPr>
          <w:rStyle w:val="FootnoteReference"/>
        </w:rPr>
        <w:footnoteReference w:id="17"/>
      </w:r>
      <w:r w:rsidRPr="00D50C43">
        <w:t xml:space="preserve"> </w:t>
      </w:r>
      <w:r w:rsidRPr="0041636B">
        <w:t>Pu</w:t>
      </w:r>
      <w:r w:rsidRPr="00032C17">
        <w:t xml:space="preserve">tting it slightly differently, a mediator </w:t>
      </w:r>
      <w:proofErr w:type="spellStart"/>
      <w:r w:rsidRPr="00032C17">
        <w:t>is</w:t>
      </w:r>
      <w:proofErr w:type="spellEnd"/>
      <w:r w:rsidRPr="00032C17">
        <w:t xml:space="preserve"> an </w:t>
      </w:r>
      <w:proofErr w:type="spellStart"/>
      <w:r w:rsidRPr="00032C17">
        <w:t>actant</w:t>
      </w:r>
      <w:proofErr w:type="spellEnd"/>
      <w:r w:rsidRPr="00032C17">
        <w:t xml:space="preserve"> </w:t>
      </w:r>
      <w:proofErr w:type="spellStart"/>
      <w:r w:rsidRPr="00032C17">
        <w:t>that</w:t>
      </w:r>
      <w:proofErr w:type="spellEnd"/>
      <w:r w:rsidRPr="00032C17">
        <w:t xml:space="preserve"> </w:t>
      </w:r>
      <w:proofErr w:type="spellStart"/>
      <w:r w:rsidRPr="00032C17">
        <w:t>translates</w:t>
      </w:r>
      <w:proofErr w:type="spellEnd"/>
      <w:r w:rsidRPr="00032C17">
        <w:t xml:space="preserve">, </w:t>
      </w:r>
      <w:proofErr w:type="spellStart"/>
      <w:r w:rsidRPr="00032C17">
        <w:t>transforms</w:t>
      </w:r>
      <w:proofErr w:type="spellEnd"/>
      <w:r w:rsidRPr="00032C17">
        <w:t>, modifies the elements it is supposed to carry; a mediator is never a cause: it does not determine, but makes someone do something, it triggers further actions and activates</w:t>
      </w:r>
      <w:r w:rsidRPr="00542C1B">
        <w:t xml:space="preserve"> new participants. Every time a mediator appears, it introduces a </w:t>
      </w:r>
      <w:r w:rsidRPr="00542C1B">
        <w:lastRenderedPageBreak/>
        <w:t>bifurcation in the course of action</w:t>
      </w:r>
      <w:r w:rsidRPr="002F0E20">
        <w:t>. Therefore, the chain of action becomes longer and the output is never predictable starting from the input. On the contrary, an intermediary only transports agency from an input to an output without transforming it; the output can therefore be easily predicted. With intermediaries, elements are usually linked through relationships of cause-and-effect and the chain transporting action is thus short, often made of only a couple of elements (</w:t>
      </w:r>
      <w:r w:rsidRPr="005D1F71">
        <w:t>i.e., the cause and the effect).</w:t>
      </w:r>
    </w:p>
    <w:p w14:paraId="643B7467" w14:textId="77777777" w:rsidR="00796AB8" w:rsidRPr="005D1F71" w:rsidRDefault="00796AB8" w:rsidP="00796AB8"/>
    <w:p w14:paraId="57ED9199" w14:textId="77777777" w:rsidR="00796AB8" w:rsidRPr="00671EF3" w:rsidRDefault="00796AB8" w:rsidP="00796AB8">
      <w:r w:rsidRPr="005D1F71">
        <w:t xml:space="preserve">As to the social software cases above discussed, in the </w:t>
      </w:r>
      <w:r w:rsidRPr="005D1F71">
        <w:rPr>
          <w:i/>
        </w:rPr>
        <w:t>[</w:t>
      </w:r>
      <w:proofErr w:type="spellStart"/>
      <w:proofErr w:type="gramStart"/>
      <w:r w:rsidRPr="005D1F71">
        <w:rPr>
          <w:i/>
        </w:rPr>
        <w:t>meme.garden</w:t>
      </w:r>
      <w:proofErr w:type="spellEnd"/>
      <w:proofErr w:type="gramEnd"/>
      <w:r w:rsidRPr="005D1F71">
        <w:rPr>
          <w:i/>
        </w:rPr>
        <w:t>]</w:t>
      </w:r>
      <w:r w:rsidRPr="00337EEB">
        <w:t xml:space="preserve"> and </w:t>
      </w:r>
      <w:proofErr w:type="spellStart"/>
      <w:r w:rsidRPr="00337EEB">
        <w:rPr>
          <w:i/>
        </w:rPr>
        <w:t>Barnraiser</w:t>
      </w:r>
      <w:proofErr w:type="spellEnd"/>
      <w:r w:rsidRPr="00337EEB">
        <w:t xml:space="preserve"> accounts, computer systems are supposed to be cold digital machines and social software acts as an intermediary that dilutes this coldness into the warmth of human interaction. Yet social software does not introduce elements that could interfere with the output, which is simply given by the encounter of the ‘digital’ with the ‘social’. It is thus conceived a</w:t>
      </w:r>
      <w:r w:rsidRPr="004B42EE">
        <w:t xml:space="preserve">s an intermediary. On the other hand, in the </w:t>
      </w:r>
      <w:r w:rsidRPr="004B42EE">
        <w:rPr>
          <w:i/>
        </w:rPr>
        <w:t>Spring-alpha</w:t>
      </w:r>
      <w:r w:rsidRPr="0021572C">
        <w:t xml:space="preserve"> project the software and the social system get constituted </w:t>
      </w:r>
      <w:r w:rsidRPr="0021572C">
        <w:rPr>
          <w:i/>
        </w:rPr>
        <w:t>through</w:t>
      </w:r>
      <w:r w:rsidRPr="0021572C">
        <w:t xml:space="preserve"> their interplay. The gaming software is a mediator because it transforms the subjects involved: the output (the ‘</w:t>
      </w:r>
      <w:r w:rsidRPr="00671EF3">
        <w:t>autonomous society’) cannot be predicted by the input (the ‘conceptual kernel’).</w:t>
      </w:r>
    </w:p>
    <w:p w14:paraId="4FF76FED" w14:textId="77777777" w:rsidR="00796AB8" w:rsidRPr="00671EF3" w:rsidRDefault="00796AB8" w:rsidP="00796AB8"/>
    <w:p w14:paraId="628DACAA" w14:textId="77777777" w:rsidR="00796AB8" w:rsidRPr="00D50C43" w:rsidRDefault="00796AB8" w:rsidP="00796AB8">
      <w:r w:rsidRPr="00671EF3">
        <w:t xml:space="preserve">This distinction is going to play a major role in examining the theories of action which underpin online collaboration, and the </w:t>
      </w:r>
      <w:r w:rsidRPr="00671EF3">
        <w:rPr>
          <w:rFonts w:cs="Arial"/>
          <w:szCs w:val="24"/>
        </w:rPr>
        <w:t>role of artefacts as mediators keeping human relations going</w:t>
      </w:r>
      <w:r w:rsidRPr="00671EF3">
        <w:t>, once the online communities rhetoric is definitely dropped.</w:t>
      </w:r>
      <w:r w:rsidRPr="00CA3AE8">
        <w:rPr>
          <w:rFonts w:cs="Arial"/>
          <w:szCs w:val="24"/>
        </w:rPr>
        <w:t xml:space="preserve"> </w:t>
      </w:r>
    </w:p>
    <w:p w14:paraId="7025E03A" w14:textId="77777777" w:rsidR="00796AB8" w:rsidRPr="00442E07" w:rsidRDefault="00796AB8" w:rsidP="00796AB8">
      <w:pPr>
        <w:pStyle w:val="CorpodeltestotesiNisa"/>
      </w:pPr>
    </w:p>
    <w:p w14:paraId="7818158A" w14:textId="77777777" w:rsidR="00796AB8" w:rsidRPr="00F6720E" w:rsidRDefault="00796AB8" w:rsidP="00796AB8">
      <w:pPr>
        <w:pStyle w:val="Heading2"/>
      </w:pPr>
      <w:bookmarkStart w:id="3" w:name="_Toc524106418"/>
      <w:r w:rsidRPr="00A934D5">
        <w:t>5.3</w:t>
      </w:r>
      <w:r w:rsidRPr="00CC53B1">
        <w:t xml:space="preserve"> Different </w:t>
      </w:r>
      <w:r w:rsidRPr="0020461A">
        <w:t xml:space="preserve">Technologies for Different </w:t>
      </w:r>
      <w:bookmarkEnd w:id="3"/>
      <w:r w:rsidRPr="00153932">
        <w:t>Territories</w:t>
      </w:r>
    </w:p>
    <w:p w14:paraId="4EFF54BB" w14:textId="77777777" w:rsidR="00796AB8" w:rsidRPr="0021572C" w:rsidRDefault="00796AB8" w:rsidP="00796AB8">
      <w:r w:rsidRPr="00D50C43">
        <w:t xml:space="preserve">As far as the theme </w:t>
      </w:r>
      <w:r w:rsidRPr="00442E07">
        <w:rPr>
          <w:i/>
        </w:rPr>
        <w:t xml:space="preserve">Information </w:t>
      </w:r>
      <w:r w:rsidRPr="00D40CF0">
        <w:t>i</w:t>
      </w:r>
      <w:r w:rsidRPr="0041636B">
        <w:t>s</w:t>
      </w:r>
      <w:r w:rsidRPr="00032C17">
        <w:t xml:space="preserve"> concerned, it </w:t>
      </w:r>
      <w:r w:rsidRPr="00542C1B">
        <w:t>aggregate</w:t>
      </w:r>
      <w:r w:rsidRPr="002F0E20">
        <w:t>d the concepts ‘information’, ‘local’, ‘government’, ‘services’, ‘city’, ‘human’, ‘development’, ‘youth’, ‘including’, ‘map’, ‘life’, ‘members’, ‘created’. Among these concepts, ‘information’ co-occurred frequently with ‘local’, ‘government’, ‘development’; ‘government’ co-occur</w:t>
      </w:r>
      <w:r w:rsidRPr="005D1F71">
        <w:t>red frequently with ‘services’ and ‘development’; ‘local’ showed a strong co-occurrence with ‘information’ and ‘development’; ‘</w:t>
      </w:r>
      <w:proofErr w:type="spellStart"/>
      <w:r w:rsidRPr="005D1F71">
        <w:t>development</w:t>
      </w:r>
      <w:proofErr w:type="spellEnd"/>
      <w:r w:rsidRPr="005D1F71">
        <w:t>’ and ‘</w:t>
      </w:r>
      <w:proofErr w:type="spellStart"/>
      <w:r w:rsidRPr="005D1F71">
        <w:t>members</w:t>
      </w:r>
      <w:proofErr w:type="spellEnd"/>
      <w:r w:rsidRPr="005D1F71">
        <w:t>’ co-</w:t>
      </w:r>
      <w:proofErr w:type="spellStart"/>
      <w:r w:rsidRPr="005D1F71">
        <w:t>occured</w:t>
      </w:r>
      <w:proofErr w:type="spellEnd"/>
      <w:r w:rsidRPr="005D1F71">
        <w:t xml:space="preserve"> </w:t>
      </w:r>
      <w:proofErr w:type="spellStart"/>
      <w:r w:rsidRPr="005D1F71">
        <w:t>frequently</w:t>
      </w:r>
      <w:proofErr w:type="spellEnd"/>
      <w:r w:rsidRPr="005D1F71">
        <w:t xml:space="preserve"> with ‘</w:t>
      </w:r>
      <w:proofErr w:type="spellStart"/>
      <w:r w:rsidRPr="005D1F71">
        <w:t>local</w:t>
      </w:r>
      <w:proofErr w:type="spellEnd"/>
      <w:r w:rsidRPr="005D1F71">
        <w:t xml:space="preserve">’ and ‘information’. As figure </w:t>
      </w:r>
      <w:r w:rsidRPr="00337EEB">
        <w:t>8 shows, the concept ‘information’ was most relevant in the applications submitted in 2004, while it progressively decrease</w:t>
      </w:r>
      <w:r w:rsidRPr="004B42EE">
        <w:t>d in importance in the following years.</w:t>
      </w:r>
    </w:p>
    <w:p w14:paraId="34625EAE" w14:textId="77777777" w:rsidR="00796AB8" w:rsidRPr="00D50C43" w:rsidRDefault="00796AB8" w:rsidP="00796AB8">
      <w:pPr>
        <w:pStyle w:val="CorpodeltestotesiNisa"/>
      </w:pPr>
      <w:r>
        <w:rPr>
          <w:noProof/>
          <w:lang w:eastAsia="nl-NL"/>
        </w:rPr>
        <w:drawing>
          <wp:inline distT="0" distB="0" distL="0" distR="0" wp14:anchorId="5C272BDB" wp14:editId="65CA6991">
            <wp:extent cx="3333750" cy="2667000"/>
            <wp:effectExtent l="0" t="0" r="0" b="0"/>
            <wp:docPr id="3" name="Picture 3" descr="informatio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667000"/>
                    </a:xfrm>
                    <a:prstGeom prst="rect">
                      <a:avLst/>
                    </a:prstGeom>
                    <a:noFill/>
                    <a:ln>
                      <a:noFill/>
                    </a:ln>
                  </pic:spPr>
                </pic:pic>
              </a:graphicData>
            </a:graphic>
          </wp:inline>
        </w:drawing>
      </w:r>
    </w:p>
    <w:p w14:paraId="3CD6FD65" w14:textId="77777777" w:rsidR="00796AB8" w:rsidRPr="0041636B" w:rsidRDefault="00796AB8" w:rsidP="00796AB8">
      <w:r w:rsidRPr="00442E07">
        <w:t xml:space="preserve">Figure </w:t>
      </w:r>
      <w:r w:rsidRPr="00D40CF0">
        <w:t>8</w:t>
      </w:r>
      <w:r w:rsidRPr="0041636B">
        <w:t xml:space="preserve"> – Temporal trend for ‘information’</w:t>
      </w:r>
    </w:p>
    <w:p w14:paraId="1EC3F0C6" w14:textId="77777777" w:rsidR="00796AB8" w:rsidRPr="00032C17" w:rsidRDefault="00796AB8" w:rsidP="00796AB8">
      <w:pPr>
        <w:pStyle w:val="CorpodeltestotesiNisa"/>
      </w:pPr>
    </w:p>
    <w:p w14:paraId="5DF890AD" w14:textId="77777777" w:rsidR="00796AB8" w:rsidRPr="002F0E20" w:rsidRDefault="00796AB8" w:rsidP="00796AB8">
      <w:r w:rsidRPr="00CA3AE8">
        <w:t xml:space="preserve">In counter-tendency with the dominant internet </w:t>
      </w:r>
      <w:proofErr w:type="spellStart"/>
      <w:r w:rsidRPr="00CA3AE8">
        <w:t>discourse</w:t>
      </w:r>
      <w:proofErr w:type="spellEnd"/>
      <w:r w:rsidRPr="00CA3AE8">
        <w:t xml:space="preserve"> on de-</w:t>
      </w:r>
      <w:proofErr w:type="spellStart"/>
      <w:r w:rsidRPr="00CA3AE8">
        <w:t>territorialization</w:t>
      </w:r>
      <w:proofErr w:type="spellEnd"/>
      <w:r w:rsidRPr="00CA3AE8">
        <w:t xml:space="preserve"> (</w:t>
      </w:r>
      <w:proofErr w:type="spellStart"/>
      <w:r w:rsidRPr="00CA3AE8">
        <w:t>see</w:t>
      </w:r>
      <w:proofErr w:type="spellEnd"/>
      <w:r w:rsidRPr="00CA3AE8">
        <w:t xml:space="preserve"> </w:t>
      </w:r>
      <w:proofErr w:type="spellStart"/>
      <w:r w:rsidRPr="00CA3AE8">
        <w:t>sections</w:t>
      </w:r>
      <w:proofErr w:type="spellEnd"/>
      <w:r w:rsidRPr="00CA3AE8">
        <w:t xml:space="preserve"> 1.1, 3.1), and confirming more recent </w:t>
      </w:r>
      <w:proofErr w:type="spellStart"/>
      <w:r w:rsidRPr="00CA3AE8">
        <w:t>studies</w:t>
      </w:r>
      <w:proofErr w:type="spellEnd"/>
      <w:r w:rsidRPr="00CA3AE8">
        <w:t xml:space="preserve"> on the </w:t>
      </w:r>
      <w:proofErr w:type="spellStart"/>
      <w:r w:rsidRPr="00CA3AE8">
        <w:t>territorialization</w:t>
      </w:r>
      <w:proofErr w:type="spellEnd"/>
      <w:r w:rsidRPr="00CA3AE8">
        <w:t xml:space="preserve"> of the Net (see section 2.2), ‘information’ registers the emergence of a territorial topic.</w:t>
      </w:r>
      <w:r w:rsidRPr="00D50C43">
        <w:t xml:space="preserve"> In the co-occurrence list for ‘information’, among the five concepts most freq</w:t>
      </w:r>
      <w:r w:rsidRPr="00442E07">
        <w:t>uently co-occurring</w:t>
      </w:r>
      <w:r w:rsidRPr="00D40CF0">
        <w:t xml:space="preserve"> three dis</w:t>
      </w:r>
      <w:r w:rsidRPr="0041636B">
        <w:t>play</w:t>
      </w:r>
      <w:r w:rsidRPr="00032C17">
        <w:t>ed</w:t>
      </w:r>
      <w:r w:rsidRPr="00542C1B">
        <w:t xml:space="preserve"> a semantic reference to a territorial dimension (‘local’, ‘government’, ‘rural’), while another one (‘site’) connote</w:t>
      </w:r>
      <w:r w:rsidRPr="002F0E20">
        <w:t>d both a physical and a virtual (website) portion of space (figure 9).</w:t>
      </w:r>
    </w:p>
    <w:p w14:paraId="23D33842" w14:textId="77777777" w:rsidR="00796AB8" w:rsidRPr="002F0E20" w:rsidRDefault="00796AB8" w:rsidP="00796AB8"/>
    <w:p w14:paraId="7921F5AB" w14:textId="68D57590" w:rsidR="00796AB8" w:rsidRPr="001C0BB2" w:rsidRDefault="001C0BB2" w:rsidP="00796AB8">
      <w:r w:rsidRPr="001C0BB2">
        <w:t>Figure09</w:t>
      </w:r>
    </w:p>
    <w:p w14:paraId="26DA9C15" w14:textId="77777777" w:rsidR="00796AB8" w:rsidRPr="005D1F71" w:rsidRDefault="00796AB8" w:rsidP="00796AB8">
      <w:r w:rsidRPr="001C0BB2">
        <w:t>Figure 9 – Co-occurrence map for ‘information’</w:t>
      </w:r>
    </w:p>
    <w:p w14:paraId="2BA287F4" w14:textId="77777777" w:rsidR="00796AB8" w:rsidRPr="005D1F71" w:rsidRDefault="00796AB8" w:rsidP="00796AB8">
      <w:pPr>
        <w:rPr>
          <w:lang w:val="en-GB"/>
        </w:rPr>
      </w:pPr>
    </w:p>
    <w:p w14:paraId="15466992" w14:textId="77777777" w:rsidR="00796AB8" w:rsidRPr="00337EEB" w:rsidRDefault="00796AB8" w:rsidP="00796AB8">
      <w:r w:rsidRPr="005D1F71">
        <w:t>The territorial topic was present also in the co-occurrence scheme for ‘development’, the fifth item in the list. The strongest item co-occurring with ‘development’ wa</w:t>
      </w:r>
      <w:r w:rsidRPr="00337EEB">
        <w:t>s ‘local’, followed by ‘information’, ‘site’, ‘software’, and ‘technology’.</w:t>
      </w:r>
    </w:p>
    <w:p w14:paraId="494CB5EB" w14:textId="77777777" w:rsidR="00796AB8" w:rsidRPr="00337EEB" w:rsidRDefault="00796AB8" w:rsidP="00796AB8"/>
    <w:p w14:paraId="1EEBD4D6" w14:textId="77777777" w:rsidR="00796AB8" w:rsidRPr="00671EF3" w:rsidRDefault="00796AB8" w:rsidP="00796AB8">
      <w:r w:rsidRPr="00337EEB">
        <w:t>In most of the</w:t>
      </w:r>
      <w:r w:rsidRPr="004B42EE">
        <w:t xml:space="preserve">se cases, a recurring narrative </w:t>
      </w:r>
      <w:r w:rsidRPr="0021572C">
        <w:t xml:space="preserve">emerged, according to which information technologies are seen as empowering means for local, rural, </w:t>
      </w:r>
      <w:r w:rsidRPr="00671EF3">
        <w:t>disadvantaged communities:</w:t>
      </w:r>
    </w:p>
    <w:p w14:paraId="5850CEC3" w14:textId="77777777" w:rsidR="00796AB8" w:rsidRPr="00811568" w:rsidRDefault="00796AB8" w:rsidP="001C0BB2">
      <w:pPr>
        <w:pStyle w:val="Quote"/>
      </w:pPr>
      <w:proofErr w:type="spellStart"/>
      <w:r w:rsidRPr="00671EF3">
        <w:t>Namma</w:t>
      </w:r>
      <w:proofErr w:type="spellEnd"/>
      <w:r w:rsidRPr="00671EF3">
        <w:t xml:space="preserve"> </w:t>
      </w:r>
      <w:proofErr w:type="spellStart"/>
      <w:r w:rsidRPr="00671EF3">
        <w:t>Dhwani</w:t>
      </w:r>
      <w:proofErr w:type="spellEnd"/>
      <w:r w:rsidRPr="00671EF3">
        <w:t xml:space="preserve"> (</w:t>
      </w:r>
      <w:proofErr w:type="spellStart"/>
      <w:r w:rsidRPr="00671EF3">
        <w:t>Our</w:t>
      </w:r>
      <w:proofErr w:type="spellEnd"/>
      <w:r w:rsidRPr="00671EF3">
        <w:t xml:space="preserve"> VOICES in the </w:t>
      </w:r>
      <w:proofErr w:type="spellStart"/>
      <w:r w:rsidRPr="00671EF3">
        <w:t>Kannada</w:t>
      </w:r>
      <w:proofErr w:type="spellEnd"/>
      <w:r w:rsidRPr="00671EF3">
        <w:t xml:space="preserve"> </w:t>
      </w:r>
      <w:proofErr w:type="spellStart"/>
      <w:r w:rsidRPr="00671EF3">
        <w:t>language</w:t>
      </w:r>
      <w:proofErr w:type="spellEnd"/>
      <w:r w:rsidRPr="00671EF3">
        <w:t xml:space="preserve">) </w:t>
      </w:r>
      <w:proofErr w:type="spellStart"/>
      <w:r w:rsidRPr="00671EF3">
        <w:t>is</w:t>
      </w:r>
      <w:proofErr w:type="spellEnd"/>
      <w:r w:rsidRPr="00671EF3">
        <w:t xml:space="preserve"> an </w:t>
      </w:r>
      <w:proofErr w:type="spellStart"/>
      <w:r w:rsidRPr="00671EF3">
        <w:t>initiative</w:t>
      </w:r>
      <w:proofErr w:type="spellEnd"/>
      <w:r w:rsidRPr="00671EF3">
        <w:t xml:space="preserve"> </w:t>
      </w:r>
      <w:proofErr w:type="spellStart"/>
      <w:r w:rsidRPr="00671EF3">
        <w:t>which</w:t>
      </w:r>
      <w:proofErr w:type="spellEnd"/>
      <w:r w:rsidRPr="00671EF3">
        <w:t xml:space="preserve"> </w:t>
      </w:r>
      <w:proofErr w:type="spellStart"/>
      <w:r w:rsidRPr="00671EF3">
        <w:t>has</w:t>
      </w:r>
      <w:proofErr w:type="spellEnd"/>
      <w:r w:rsidRPr="00671EF3">
        <w:t xml:space="preserve"> </w:t>
      </w:r>
      <w:proofErr w:type="spellStart"/>
      <w:r w:rsidRPr="00671EF3">
        <w:t>created</w:t>
      </w:r>
      <w:proofErr w:type="spellEnd"/>
      <w:r w:rsidRPr="00671EF3">
        <w:t xml:space="preserve"> a </w:t>
      </w:r>
      <w:proofErr w:type="spellStart"/>
      <w:r w:rsidRPr="00671EF3">
        <w:t>space</w:t>
      </w:r>
      <w:proofErr w:type="spellEnd"/>
      <w:r w:rsidRPr="00671EF3">
        <w:t xml:space="preserve"> for </w:t>
      </w:r>
      <w:proofErr w:type="spellStart"/>
      <w:r w:rsidRPr="00671EF3">
        <w:t>different</w:t>
      </w:r>
      <w:proofErr w:type="spellEnd"/>
      <w:r w:rsidRPr="00671EF3">
        <w:t xml:space="preserve"> </w:t>
      </w:r>
      <w:proofErr w:type="spellStart"/>
      <w:r w:rsidRPr="00671EF3">
        <w:t>rural</w:t>
      </w:r>
      <w:proofErr w:type="spellEnd"/>
      <w:r w:rsidRPr="00671EF3">
        <w:t xml:space="preserve"> social </w:t>
      </w:r>
      <w:proofErr w:type="spellStart"/>
      <w:r w:rsidRPr="00671EF3">
        <w:t>groups</w:t>
      </w:r>
      <w:proofErr w:type="spellEnd"/>
      <w:r w:rsidRPr="00671EF3">
        <w:t xml:space="preserve"> to </w:t>
      </w:r>
      <w:proofErr w:type="spellStart"/>
      <w:r w:rsidRPr="00671EF3">
        <w:t>utilize</w:t>
      </w:r>
      <w:proofErr w:type="spellEnd"/>
      <w:r w:rsidRPr="00671EF3">
        <w:t xml:space="preserve"> a </w:t>
      </w:r>
      <w:proofErr w:type="spellStart"/>
      <w:r w:rsidRPr="00671EF3">
        <w:t>combination</w:t>
      </w:r>
      <w:proofErr w:type="spellEnd"/>
      <w:r w:rsidRPr="00671EF3">
        <w:t xml:space="preserve"> of </w:t>
      </w:r>
      <w:proofErr w:type="spellStart"/>
      <w:r w:rsidRPr="00671EF3">
        <w:t>cable</w:t>
      </w:r>
      <w:proofErr w:type="spellEnd"/>
      <w:r w:rsidRPr="00671EF3">
        <w:t xml:space="preserve"> audio &amp; </w:t>
      </w:r>
      <w:proofErr w:type="spellStart"/>
      <w:r w:rsidRPr="00671EF3">
        <w:t>digital</w:t>
      </w:r>
      <w:proofErr w:type="spellEnd"/>
      <w:r w:rsidRPr="00671EF3">
        <w:t xml:space="preserve"> </w:t>
      </w:r>
      <w:proofErr w:type="spellStart"/>
      <w:r w:rsidRPr="00671EF3">
        <w:t>technologies</w:t>
      </w:r>
      <w:proofErr w:type="spellEnd"/>
      <w:r w:rsidRPr="00671EF3">
        <w:t xml:space="preserve"> to put in </w:t>
      </w:r>
      <w:proofErr w:type="spellStart"/>
      <w:r w:rsidRPr="00671EF3">
        <w:t>place</w:t>
      </w:r>
      <w:proofErr w:type="spellEnd"/>
      <w:r w:rsidRPr="00671EF3">
        <w:t xml:space="preserve"> a </w:t>
      </w:r>
      <w:proofErr w:type="spellStart"/>
      <w:r w:rsidRPr="00671EF3">
        <w:t>local</w:t>
      </w:r>
      <w:proofErr w:type="spellEnd"/>
      <w:r w:rsidRPr="00671EF3">
        <w:t xml:space="preserve"> information and </w:t>
      </w:r>
      <w:proofErr w:type="spellStart"/>
      <w:r w:rsidRPr="00671EF3">
        <w:t>communication</w:t>
      </w:r>
      <w:proofErr w:type="spellEnd"/>
      <w:r w:rsidRPr="00671EF3">
        <w:t xml:space="preserve"> network </w:t>
      </w:r>
      <w:proofErr w:type="spellStart"/>
      <w:r w:rsidRPr="00671EF3">
        <w:t>owned</w:t>
      </w:r>
      <w:proofErr w:type="spellEnd"/>
      <w:r w:rsidRPr="00671EF3">
        <w:t xml:space="preserve"> and </w:t>
      </w:r>
      <w:proofErr w:type="spellStart"/>
      <w:r w:rsidRPr="00671EF3">
        <w:t>operated</w:t>
      </w:r>
      <w:proofErr w:type="spellEnd"/>
      <w:r w:rsidRPr="00671EF3">
        <w:t xml:space="preserve"> by </w:t>
      </w:r>
      <w:proofErr w:type="spellStart"/>
      <w:r w:rsidRPr="00671EF3">
        <w:t>members</w:t>
      </w:r>
      <w:proofErr w:type="spellEnd"/>
      <w:r w:rsidRPr="00671EF3">
        <w:t xml:space="preserve"> of the </w:t>
      </w:r>
      <w:proofErr w:type="spellStart"/>
      <w:r w:rsidRPr="00671EF3">
        <w:t>local</w:t>
      </w:r>
      <w:proofErr w:type="spellEnd"/>
      <w:r w:rsidRPr="00671EF3">
        <w:t xml:space="preserve"> community. […] </w:t>
      </w:r>
      <w:proofErr w:type="spellStart"/>
      <w:r w:rsidRPr="00671EF3">
        <w:t>Namma</w:t>
      </w:r>
      <w:proofErr w:type="spellEnd"/>
      <w:r w:rsidRPr="00671EF3">
        <w:t xml:space="preserve"> </w:t>
      </w:r>
      <w:proofErr w:type="spellStart"/>
      <w:r w:rsidRPr="00671EF3">
        <w:t>Dhwani</w:t>
      </w:r>
      <w:proofErr w:type="spellEnd"/>
      <w:r w:rsidRPr="00671EF3">
        <w:t xml:space="preserve"> </w:t>
      </w:r>
      <w:proofErr w:type="spellStart"/>
      <w:r w:rsidRPr="00671EF3">
        <w:t>uses</w:t>
      </w:r>
      <w:proofErr w:type="spellEnd"/>
      <w:r w:rsidRPr="00671EF3">
        <w:t xml:space="preserve"> a </w:t>
      </w:r>
      <w:proofErr w:type="spellStart"/>
      <w:r w:rsidRPr="00671EF3">
        <w:t>unique</w:t>
      </w:r>
      <w:proofErr w:type="spellEnd"/>
      <w:r w:rsidRPr="00671EF3">
        <w:t xml:space="preserve"> model </w:t>
      </w:r>
      <w:proofErr w:type="spellStart"/>
      <w:r w:rsidRPr="00671EF3">
        <w:t>developed</w:t>
      </w:r>
      <w:proofErr w:type="spellEnd"/>
      <w:r w:rsidRPr="00671EF3">
        <w:t xml:space="preserve"> to </w:t>
      </w:r>
      <w:proofErr w:type="spellStart"/>
      <w:r w:rsidRPr="00671EF3">
        <w:t>suit</w:t>
      </w:r>
      <w:proofErr w:type="spellEnd"/>
      <w:r w:rsidRPr="00671EF3">
        <w:t xml:space="preserve"> </w:t>
      </w:r>
      <w:proofErr w:type="spellStart"/>
      <w:r w:rsidRPr="00671EF3">
        <w:t>local</w:t>
      </w:r>
      <w:proofErr w:type="spellEnd"/>
      <w:r w:rsidRPr="00671EF3">
        <w:t xml:space="preserve"> </w:t>
      </w:r>
      <w:proofErr w:type="spellStart"/>
      <w:r w:rsidRPr="00671EF3">
        <w:t>needs</w:t>
      </w:r>
      <w:proofErr w:type="spellEnd"/>
      <w:r w:rsidRPr="00671EF3">
        <w:t xml:space="preserve"> and </w:t>
      </w:r>
      <w:proofErr w:type="spellStart"/>
      <w:r w:rsidRPr="00671EF3">
        <w:t>circumstances</w:t>
      </w:r>
      <w:proofErr w:type="spellEnd"/>
      <w:r w:rsidRPr="00671EF3">
        <w:t xml:space="preserve">. </w:t>
      </w:r>
      <w:proofErr w:type="spellStart"/>
      <w:r w:rsidRPr="00671EF3">
        <w:t>It</w:t>
      </w:r>
      <w:proofErr w:type="spellEnd"/>
      <w:r w:rsidRPr="00671EF3">
        <w:t xml:space="preserve"> </w:t>
      </w:r>
      <w:proofErr w:type="spellStart"/>
      <w:r w:rsidRPr="00671EF3">
        <w:t>not</w:t>
      </w:r>
      <w:proofErr w:type="spellEnd"/>
      <w:r w:rsidRPr="00671EF3">
        <w:t xml:space="preserve"> </w:t>
      </w:r>
      <w:proofErr w:type="spellStart"/>
      <w:r w:rsidRPr="00671EF3">
        <w:t>only</w:t>
      </w:r>
      <w:proofErr w:type="spellEnd"/>
      <w:r w:rsidRPr="00671EF3">
        <w:t xml:space="preserve"> </w:t>
      </w:r>
      <w:proofErr w:type="spellStart"/>
      <w:r w:rsidRPr="00671EF3">
        <w:t>combines</w:t>
      </w:r>
      <w:proofErr w:type="spellEnd"/>
      <w:r w:rsidRPr="00671EF3">
        <w:t xml:space="preserve"> </w:t>
      </w:r>
      <w:proofErr w:type="spellStart"/>
      <w:r w:rsidRPr="00671EF3">
        <w:t>cable</w:t>
      </w:r>
      <w:proofErr w:type="spellEnd"/>
      <w:r w:rsidRPr="00671EF3">
        <w:t xml:space="preserve"> audio with new </w:t>
      </w:r>
      <w:proofErr w:type="spellStart"/>
      <w:r w:rsidRPr="00671EF3">
        <w:t>digital</w:t>
      </w:r>
      <w:proofErr w:type="spellEnd"/>
      <w:r w:rsidRPr="00671EF3">
        <w:t xml:space="preserve"> media, </w:t>
      </w:r>
      <w:proofErr w:type="spellStart"/>
      <w:r w:rsidRPr="00671EF3">
        <w:t>but</w:t>
      </w:r>
      <w:proofErr w:type="spellEnd"/>
      <w:r w:rsidRPr="00671EF3">
        <w:t xml:space="preserve"> </w:t>
      </w:r>
      <w:proofErr w:type="spellStart"/>
      <w:r w:rsidRPr="00671EF3">
        <w:t>also</w:t>
      </w:r>
      <w:proofErr w:type="spellEnd"/>
      <w:r w:rsidRPr="00671EF3">
        <w:t xml:space="preserve"> </w:t>
      </w:r>
      <w:proofErr w:type="spellStart"/>
      <w:r w:rsidRPr="00671EF3">
        <w:t>combines</w:t>
      </w:r>
      <w:proofErr w:type="spellEnd"/>
      <w:r w:rsidRPr="00671EF3">
        <w:t xml:space="preserve"> </w:t>
      </w:r>
      <w:proofErr w:type="spellStart"/>
      <w:r w:rsidRPr="00671EF3">
        <w:t>these</w:t>
      </w:r>
      <w:proofErr w:type="spellEnd"/>
      <w:r w:rsidRPr="00671EF3">
        <w:t xml:space="preserve"> media </w:t>
      </w:r>
      <w:proofErr w:type="spellStart"/>
      <w:r w:rsidRPr="00671EF3">
        <w:t>tools</w:t>
      </w:r>
      <w:proofErr w:type="spellEnd"/>
      <w:r w:rsidRPr="00671EF3">
        <w:t xml:space="preserve"> with a network of </w:t>
      </w:r>
      <w:proofErr w:type="spellStart"/>
      <w:r w:rsidRPr="00671EF3">
        <w:t>local</w:t>
      </w:r>
      <w:proofErr w:type="spellEnd"/>
      <w:r w:rsidRPr="00671EF3">
        <w:t xml:space="preserve"> community </w:t>
      </w:r>
      <w:proofErr w:type="spellStart"/>
      <w:r w:rsidRPr="00671EF3">
        <w:t>groups</w:t>
      </w:r>
      <w:proofErr w:type="spellEnd"/>
      <w:r w:rsidRPr="00671EF3">
        <w:t xml:space="preserve">, </w:t>
      </w:r>
      <w:proofErr w:type="spellStart"/>
      <w:r w:rsidRPr="00671EF3">
        <w:t>specifically</w:t>
      </w:r>
      <w:proofErr w:type="spellEnd"/>
      <w:r w:rsidRPr="00671EF3">
        <w:t xml:space="preserve"> </w:t>
      </w:r>
      <w:proofErr w:type="spellStart"/>
      <w:r w:rsidRPr="00671EF3">
        <w:t>poor</w:t>
      </w:r>
      <w:proofErr w:type="spellEnd"/>
      <w:r w:rsidRPr="00671EF3">
        <w:t xml:space="preserve"> </w:t>
      </w:r>
      <w:proofErr w:type="spellStart"/>
      <w:r w:rsidRPr="00671EF3">
        <w:t>women’s</w:t>
      </w:r>
      <w:proofErr w:type="spellEnd"/>
      <w:r w:rsidRPr="00671EF3">
        <w:t xml:space="preserve"> self-help </w:t>
      </w:r>
      <w:proofErr w:type="spellStart"/>
      <w:r w:rsidRPr="00671EF3">
        <w:t>groups</w:t>
      </w:r>
      <w:proofErr w:type="spellEnd"/>
      <w:r w:rsidRPr="00671EF3">
        <w:t xml:space="preserve"> (</w:t>
      </w:r>
      <w:proofErr w:type="spellStart"/>
      <w:r w:rsidRPr="00671EF3">
        <w:t>SHGs</w:t>
      </w:r>
      <w:proofErr w:type="spellEnd"/>
      <w:r w:rsidRPr="00671EF3">
        <w:t xml:space="preserve">), </w:t>
      </w:r>
      <w:proofErr w:type="spellStart"/>
      <w:r w:rsidRPr="00671EF3">
        <w:t>watershed</w:t>
      </w:r>
      <w:proofErr w:type="spellEnd"/>
      <w:r w:rsidRPr="00671EF3">
        <w:t xml:space="preserve"> </w:t>
      </w:r>
      <w:proofErr w:type="spellStart"/>
      <w:r w:rsidRPr="00671EF3">
        <w:t>groups</w:t>
      </w:r>
      <w:proofErr w:type="spellEnd"/>
      <w:r w:rsidRPr="00671EF3">
        <w:t xml:space="preserve"> made up of </w:t>
      </w:r>
      <w:proofErr w:type="spellStart"/>
      <w:r w:rsidRPr="00671EF3">
        <w:t>local</w:t>
      </w:r>
      <w:proofErr w:type="spellEnd"/>
      <w:r w:rsidRPr="00671EF3">
        <w:t xml:space="preserve"> </w:t>
      </w:r>
      <w:proofErr w:type="spellStart"/>
      <w:r w:rsidRPr="00671EF3">
        <w:t>farmers</w:t>
      </w:r>
      <w:proofErr w:type="spellEnd"/>
      <w:r w:rsidRPr="00671EF3">
        <w:t xml:space="preserve">, and a </w:t>
      </w:r>
      <w:proofErr w:type="spellStart"/>
      <w:r w:rsidRPr="00671EF3">
        <w:t>local</w:t>
      </w:r>
      <w:proofErr w:type="spellEnd"/>
      <w:r w:rsidRPr="00671EF3">
        <w:t xml:space="preserve"> </w:t>
      </w:r>
      <w:proofErr w:type="spellStart"/>
      <w:r w:rsidRPr="00671EF3">
        <w:t>development</w:t>
      </w:r>
      <w:proofErr w:type="spellEnd"/>
      <w:r w:rsidRPr="00671EF3">
        <w:t xml:space="preserve"> </w:t>
      </w:r>
      <w:proofErr w:type="spellStart"/>
      <w:r w:rsidRPr="00671EF3">
        <w:t>resource</w:t>
      </w:r>
      <w:proofErr w:type="spellEnd"/>
      <w:r w:rsidRPr="00671EF3">
        <w:t xml:space="preserve"> centre. </w:t>
      </w:r>
      <w:proofErr w:type="spellStart"/>
      <w:r w:rsidRPr="00671EF3">
        <w:t>Namma</w:t>
      </w:r>
      <w:proofErr w:type="spellEnd"/>
      <w:r w:rsidRPr="00671EF3">
        <w:t xml:space="preserve"> </w:t>
      </w:r>
      <w:proofErr w:type="spellStart"/>
      <w:r w:rsidRPr="00671EF3">
        <w:t>Dhwani</w:t>
      </w:r>
      <w:proofErr w:type="spellEnd"/>
      <w:r w:rsidRPr="00D81ED5">
        <w:t xml:space="preserve"> </w:t>
      </w:r>
      <w:proofErr w:type="spellStart"/>
      <w:r w:rsidRPr="00D81ED5">
        <w:t>has</w:t>
      </w:r>
      <w:proofErr w:type="spellEnd"/>
      <w:r w:rsidRPr="00D81ED5">
        <w:t xml:space="preserve"> </w:t>
      </w:r>
      <w:proofErr w:type="spellStart"/>
      <w:r w:rsidRPr="00D81ED5">
        <w:t>enabled</w:t>
      </w:r>
      <w:proofErr w:type="spellEnd"/>
      <w:r w:rsidRPr="00D81ED5">
        <w:t xml:space="preserve"> </w:t>
      </w:r>
      <w:proofErr w:type="spellStart"/>
      <w:r w:rsidRPr="00D81ED5">
        <w:t>poor</w:t>
      </w:r>
      <w:proofErr w:type="spellEnd"/>
      <w:r w:rsidRPr="00D81ED5">
        <w:t xml:space="preserve"> semi-</w:t>
      </w:r>
      <w:proofErr w:type="spellStart"/>
      <w:r w:rsidRPr="00D81ED5">
        <w:t>literate</w:t>
      </w:r>
      <w:proofErr w:type="spellEnd"/>
      <w:r w:rsidRPr="00D81ED5">
        <w:t xml:space="preserve">, </w:t>
      </w:r>
      <w:proofErr w:type="spellStart"/>
      <w:r w:rsidRPr="006B21D2">
        <w:t>women</w:t>
      </w:r>
      <w:proofErr w:type="spellEnd"/>
      <w:r w:rsidRPr="006B21D2">
        <w:t xml:space="preserve">, </w:t>
      </w:r>
      <w:proofErr w:type="spellStart"/>
      <w:r w:rsidRPr="006B21D2">
        <w:t>farmers</w:t>
      </w:r>
      <w:proofErr w:type="spellEnd"/>
      <w:r w:rsidRPr="006B21D2">
        <w:t xml:space="preserve">, </w:t>
      </w:r>
      <w:proofErr w:type="spellStart"/>
      <w:r w:rsidRPr="006B21D2">
        <w:t>labourers</w:t>
      </w:r>
      <w:proofErr w:type="spellEnd"/>
      <w:r w:rsidRPr="006B21D2">
        <w:t xml:space="preserve">, </w:t>
      </w:r>
      <w:proofErr w:type="spellStart"/>
      <w:r w:rsidRPr="006B21D2">
        <w:t>school</w:t>
      </w:r>
      <w:proofErr w:type="spellEnd"/>
      <w:r w:rsidRPr="006B21D2">
        <w:t xml:space="preserve"> </w:t>
      </w:r>
      <w:proofErr w:type="spellStart"/>
      <w:r w:rsidRPr="006B21D2">
        <w:t>drop-outs</w:t>
      </w:r>
      <w:proofErr w:type="spellEnd"/>
      <w:r w:rsidRPr="006B21D2">
        <w:t xml:space="preserve"> and </w:t>
      </w:r>
      <w:proofErr w:type="spellStart"/>
      <w:r w:rsidRPr="006B21D2">
        <w:t>other</w:t>
      </w:r>
      <w:proofErr w:type="spellEnd"/>
      <w:r w:rsidRPr="006B21D2">
        <w:t xml:space="preserve"> community </w:t>
      </w:r>
      <w:proofErr w:type="spellStart"/>
      <w:r w:rsidRPr="006B21D2">
        <w:t>members</w:t>
      </w:r>
      <w:proofErr w:type="spellEnd"/>
      <w:r w:rsidRPr="006B21D2">
        <w:t xml:space="preserve"> to use information &amp; </w:t>
      </w:r>
      <w:proofErr w:type="spellStart"/>
      <w:r w:rsidRPr="006B21D2">
        <w:t>communication</w:t>
      </w:r>
      <w:proofErr w:type="spellEnd"/>
      <w:r w:rsidRPr="006B21D2">
        <w:t xml:space="preserve"> media &amp; </w:t>
      </w:r>
      <w:proofErr w:type="spellStart"/>
      <w:r w:rsidRPr="006B21D2">
        <w:t>technologies</w:t>
      </w:r>
      <w:proofErr w:type="spellEnd"/>
      <w:r w:rsidRPr="006B21D2">
        <w:t xml:space="preserve"> to create: 1) </w:t>
      </w:r>
      <w:proofErr w:type="spellStart"/>
      <w:r w:rsidRPr="006B21D2">
        <w:t>Their</w:t>
      </w:r>
      <w:proofErr w:type="spellEnd"/>
      <w:r w:rsidRPr="006B21D2">
        <w:t xml:space="preserve"> </w:t>
      </w:r>
      <w:proofErr w:type="spellStart"/>
      <w:r w:rsidRPr="006B21D2">
        <w:t>own</w:t>
      </w:r>
      <w:proofErr w:type="spellEnd"/>
      <w:r w:rsidRPr="006B21D2">
        <w:t xml:space="preserve"> </w:t>
      </w:r>
      <w:proofErr w:type="spellStart"/>
      <w:r w:rsidRPr="006B21D2">
        <w:t>channels</w:t>
      </w:r>
      <w:proofErr w:type="spellEnd"/>
      <w:r w:rsidRPr="006B21D2">
        <w:t xml:space="preserve"> of information </w:t>
      </w:r>
      <w:proofErr w:type="spellStart"/>
      <w:r w:rsidRPr="006B21D2">
        <w:t>access</w:t>
      </w:r>
      <w:proofErr w:type="spellEnd"/>
      <w:r w:rsidRPr="006B21D2">
        <w:t xml:space="preserve">, </w:t>
      </w:r>
      <w:proofErr w:type="spellStart"/>
      <w:r w:rsidRPr="006B21D2">
        <w:t>storage</w:t>
      </w:r>
      <w:proofErr w:type="spellEnd"/>
      <w:r w:rsidRPr="006B21D2">
        <w:t xml:space="preserve"> and </w:t>
      </w:r>
      <w:proofErr w:type="spellStart"/>
      <w:r w:rsidRPr="006B21D2">
        <w:t>dissemination</w:t>
      </w:r>
      <w:proofErr w:type="spellEnd"/>
      <w:r w:rsidRPr="006B21D2">
        <w:t xml:space="preserve"> 2) </w:t>
      </w:r>
      <w:proofErr w:type="spellStart"/>
      <w:r w:rsidRPr="006B21D2">
        <w:t>Their</w:t>
      </w:r>
      <w:proofErr w:type="spellEnd"/>
      <w:r w:rsidRPr="006B21D2">
        <w:t xml:space="preserve"> </w:t>
      </w:r>
      <w:proofErr w:type="spellStart"/>
      <w:r w:rsidRPr="006B21D2">
        <w:t>own</w:t>
      </w:r>
      <w:proofErr w:type="spellEnd"/>
      <w:r w:rsidRPr="006B21D2">
        <w:t xml:space="preserve"> </w:t>
      </w:r>
      <w:proofErr w:type="spellStart"/>
      <w:r w:rsidRPr="006B21D2">
        <w:t>platforms</w:t>
      </w:r>
      <w:proofErr w:type="spellEnd"/>
      <w:r w:rsidRPr="006B21D2">
        <w:t xml:space="preserve"> for </w:t>
      </w:r>
      <w:proofErr w:type="spellStart"/>
      <w:r w:rsidRPr="006B21D2">
        <w:t>communication</w:t>
      </w:r>
      <w:proofErr w:type="spellEnd"/>
      <w:r w:rsidRPr="006B21D2">
        <w:t xml:space="preserve"> and </w:t>
      </w:r>
      <w:proofErr w:type="spellStart"/>
      <w:r w:rsidRPr="006B21D2">
        <w:t>discussion</w:t>
      </w:r>
      <w:proofErr w:type="spellEnd"/>
      <w:r w:rsidRPr="006B21D2">
        <w:t xml:space="preserve"> […] The network </w:t>
      </w:r>
      <w:proofErr w:type="spellStart"/>
      <w:r w:rsidRPr="006B21D2">
        <w:t>successfully</w:t>
      </w:r>
      <w:proofErr w:type="spellEnd"/>
      <w:r w:rsidRPr="006B21D2">
        <w:t xml:space="preserve"> </w:t>
      </w:r>
      <w:proofErr w:type="spellStart"/>
      <w:r w:rsidRPr="006B21D2">
        <w:t>addresses</w:t>
      </w:r>
      <w:proofErr w:type="spellEnd"/>
      <w:r w:rsidRPr="006B21D2">
        <w:t xml:space="preserve"> </w:t>
      </w:r>
      <w:proofErr w:type="spellStart"/>
      <w:r w:rsidRPr="006B21D2">
        <w:t>local</w:t>
      </w:r>
      <w:proofErr w:type="spellEnd"/>
      <w:r w:rsidRPr="006B21D2">
        <w:t xml:space="preserve"> information </w:t>
      </w:r>
      <w:proofErr w:type="spellStart"/>
      <w:r w:rsidRPr="006B21D2">
        <w:t>needs</w:t>
      </w:r>
      <w:proofErr w:type="spellEnd"/>
      <w:r w:rsidRPr="006B21D2">
        <w:t xml:space="preserve"> and </w:t>
      </w:r>
      <w:proofErr w:type="spellStart"/>
      <w:r w:rsidRPr="006B21D2">
        <w:t>has</w:t>
      </w:r>
      <w:proofErr w:type="spellEnd"/>
      <w:r w:rsidRPr="006B21D2">
        <w:t xml:space="preserve"> </w:t>
      </w:r>
      <w:proofErr w:type="spellStart"/>
      <w:r w:rsidRPr="006B21D2">
        <w:t>had</w:t>
      </w:r>
      <w:proofErr w:type="spellEnd"/>
      <w:r w:rsidRPr="006B21D2">
        <w:t xml:space="preserve"> a </w:t>
      </w:r>
      <w:proofErr w:type="spellStart"/>
      <w:r w:rsidRPr="006B21D2">
        <w:t>visible</w:t>
      </w:r>
      <w:proofErr w:type="spellEnd"/>
      <w:r w:rsidRPr="006B21D2">
        <w:t xml:space="preserve"> impact on </w:t>
      </w:r>
      <w:proofErr w:type="spellStart"/>
      <w:r w:rsidRPr="006B21D2">
        <w:t>local</w:t>
      </w:r>
      <w:proofErr w:type="spellEnd"/>
      <w:r w:rsidRPr="006B21D2">
        <w:t xml:space="preserve"> </w:t>
      </w:r>
      <w:proofErr w:type="spellStart"/>
      <w:r w:rsidRPr="006B21D2">
        <w:t>development</w:t>
      </w:r>
      <w:proofErr w:type="spellEnd"/>
      <w:r w:rsidRPr="006B21D2">
        <w:t xml:space="preserve"> and </w:t>
      </w:r>
      <w:proofErr w:type="spellStart"/>
      <w:r w:rsidRPr="006B21D2">
        <w:t>governance</w:t>
      </w:r>
      <w:proofErr w:type="spellEnd"/>
      <w:r w:rsidRPr="006B21D2">
        <w:t>.</w:t>
      </w:r>
      <w:r w:rsidRPr="006B21D2">
        <w:rPr>
          <w:rStyle w:val="FootnoteReference"/>
        </w:rPr>
        <w:footnoteReference w:id="18"/>
      </w:r>
      <w:r w:rsidRPr="0067335F">
        <w:t xml:space="preserve"> </w:t>
      </w:r>
    </w:p>
    <w:p w14:paraId="2F18F172" w14:textId="77777777" w:rsidR="00796AB8" w:rsidRPr="009230B3" w:rsidRDefault="00796AB8" w:rsidP="00796AB8">
      <w:proofErr w:type="spellStart"/>
      <w:r w:rsidRPr="00811568">
        <w:t>Rural</w:t>
      </w:r>
      <w:proofErr w:type="spellEnd"/>
      <w:r w:rsidRPr="00811568">
        <w:t xml:space="preserve"> </w:t>
      </w:r>
      <w:proofErr w:type="spellStart"/>
      <w:r w:rsidRPr="00811568">
        <w:t>space</w:t>
      </w:r>
      <w:proofErr w:type="spellEnd"/>
      <w:r w:rsidRPr="00811568">
        <w:t xml:space="preserve"> </w:t>
      </w:r>
      <w:proofErr w:type="spellStart"/>
      <w:r w:rsidRPr="00811568">
        <w:t>was</w:t>
      </w:r>
      <w:proofErr w:type="spellEnd"/>
      <w:r w:rsidRPr="00811568">
        <w:t xml:space="preserve"> </w:t>
      </w:r>
      <w:proofErr w:type="spellStart"/>
      <w:r w:rsidRPr="00811568">
        <w:t>however</w:t>
      </w:r>
      <w:proofErr w:type="spellEnd"/>
      <w:r w:rsidRPr="00811568">
        <w:t xml:space="preserve"> </w:t>
      </w:r>
      <w:proofErr w:type="spellStart"/>
      <w:r w:rsidRPr="00811568">
        <w:t>not</w:t>
      </w:r>
      <w:proofErr w:type="spellEnd"/>
      <w:r w:rsidRPr="00811568">
        <w:t xml:space="preserve"> the </w:t>
      </w:r>
      <w:proofErr w:type="spellStart"/>
      <w:r w:rsidRPr="00811568">
        <w:t>only</w:t>
      </w:r>
      <w:proofErr w:type="spellEnd"/>
      <w:r w:rsidRPr="00811568">
        <w:t xml:space="preserve"> model of </w:t>
      </w:r>
      <w:proofErr w:type="spellStart"/>
      <w:r w:rsidRPr="00811568">
        <w:t>territoriality</w:t>
      </w:r>
      <w:proofErr w:type="spellEnd"/>
      <w:r w:rsidRPr="00811568">
        <w:t xml:space="preserve"> </w:t>
      </w:r>
      <w:proofErr w:type="spellStart"/>
      <w:r w:rsidRPr="00811568">
        <w:t>dealt</w:t>
      </w:r>
      <w:proofErr w:type="spellEnd"/>
      <w:r w:rsidRPr="00811568">
        <w:t xml:space="preserve"> with in the data set. A </w:t>
      </w:r>
      <w:proofErr w:type="spellStart"/>
      <w:r w:rsidRPr="00811568">
        <w:t>distinct</w:t>
      </w:r>
      <w:proofErr w:type="spellEnd"/>
      <w:r w:rsidRPr="00811568">
        <w:t xml:space="preserve"> </w:t>
      </w:r>
      <w:proofErr w:type="spellStart"/>
      <w:r w:rsidRPr="00811568">
        <w:t>relationship</w:t>
      </w:r>
      <w:proofErr w:type="spellEnd"/>
      <w:r w:rsidRPr="00811568">
        <w:t xml:space="preserve"> </w:t>
      </w:r>
      <w:proofErr w:type="spellStart"/>
      <w:r w:rsidRPr="00811568">
        <w:t>between</w:t>
      </w:r>
      <w:proofErr w:type="spellEnd"/>
      <w:r w:rsidRPr="00811568">
        <w:t xml:space="preserve"> </w:t>
      </w:r>
      <w:proofErr w:type="spellStart"/>
      <w:r w:rsidRPr="00811568">
        <w:t>territory</w:t>
      </w:r>
      <w:proofErr w:type="spellEnd"/>
      <w:r w:rsidRPr="00811568">
        <w:t xml:space="preserve"> and ICT </w:t>
      </w:r>
      <w:proofErr w:type="spellStart"/>
      <w:r w:rsidRPr="00811568">
        <w:t>involved</w:t>
      </w:r>
      <w:proofErr w:type="spellEnd"/>
      <w:r w:rsidRPr="00811568">
        <w:t xml:space="preserve"> </w:t>
      </w:r>
      <w:proofErr w:type="spellStart"/>
      <w:r w:rsidRPr="00811568">
        <w:t>urban</w:t>
      </w:r>
      <w:proofErr w:type="spellEnd"/>
      <w:r w:rsidRPr="00811568">
        <w:t xml:space="preserve"> </w:t>
      </w:r>
      <w:proofErr w:type="spellStart"/>
      <w:r w:rsidRPr="00811568">
        <w:t>spaces</w:t>
      </w:r>
      <w:proofErr w:type="spellEnd"/>
      <w:r w:rsidRPr="00811568">
        <w:t xml:space="preserve">. </w:t>
      </w:r>
      <w:proofErr w:type="spellStart"/>
      <w:r w:rsidRPr="007F0DAA">
        <w:t>Indeed</w:t>
      </w:r>
      <w:proofErr w:type="spellEnd"/>
      <w:r w:rsidRPr="007F0DAA">
        <w:t>, ‘</w:t>
      </w:r>
      <w:r w:rsidRPr="009945D6">
        <w:t xml:space="preserve">city’ </w:t>
      </w:r>
      <w:proofErr w:type="spellStart"/>
      <w:r w:rsidRPr="009945D6">
        <w:t>showed</w:t>
      </w:r>
      <w:proofErr w:type="spellEnd"/>
      <w:r w:rsidRPr="009945D6">
        <w:t xml:space="preserve"> an </w:t>
      </w:r>
      <w:proofErr w:type="spellStart"/>
      <w:r w:rsidRPr="009945D6">
        <w:t>absolutely</w:t>
      </w:r>
      <w:proofErr w:type="spellEnd"/>
      <w:r w:rsidRPr="009945D6">
        <w:t xml:space="preserve"> </w:t>
      </w:r>
      <w:proofErr w:type="spellStart"/>
      <w:r w:rsidRPr="009945D6">
        <w:t>peculiar</w:t>
      </w:r>
      <w:proofErr w:type="spellEnd"/>
      <w:r w:rsidRPr="009945D6">
        <w:t xml:space="preserve"> </w:t>
      </w:r>
      <w:proofErr w:type="spellStart"/>
      <w:r w:rsidRPr="009945D6">
        <w:t>semantic</w:t>
      </w:r>
      <w:proofErr w:type="spellEnd"/>
      <w:r w:rsidRPr="009945D6">
        <w:t xml:space="preserve"> </w:t>
      </w:r>
      <w:proofErr w:type="spellStart"/>
      <w:r w:rsidRPr="009945D6">
        <w:t>context</w:t>
      </w:r>
      <w:proofErr w:type="spellEnd"/>
      <w:r w:rsidRPr="009945D6">
        <w:t xml:space="preserve"> </w:t>
      </w:r>
      <w:proofErr w:type="spellStart"/>
      <w:r w:rsidRPr="009945D6">
        <w:t>aggregating</w:t>
      </w:r>
      <w:proofErr w:type="spellEnd"/>
      <w:r w:rsidRPr="009945D6">
        <w:t xml:space="preserve"> </w:t>
      </w:r>
      <w:proofErr w:type="spellStart"/>
      <w:r w:rsidRPr="009945D6">
        <w:t>around</w:t>
      </w:r>
      <w:proofErr w:type="spellEnd"/>
      <w:r w:rsidRPr="009945D6">
        <w:t xml:space="preserve"> the </w:t>
      </w:r>
      <w:proofErr w:type="spellStart"/>
      <w:r w:rsidRPr="009945D6">
        <w:t>urban</w:t>
      </w:r>
      <w:proofErr w:type="spellEnd"/>
      <w:r w:rsidRPr="009945D6">
        <w:t xml:space="preserve"> </w:t>
      </w:r>
      <w:proofErr w:type="spellStart"/>
      <w:r w:rsidRPr="009945D6">
        <w:t>territory</w:t>
      </w:r>
      <w:proofErr w:type="spellEnd"/>
      <w:r w:rsidRPr="009945D6">
        <w:t xml:space="preserve">, and a </w:t>
      </w:r>
      <w:proofErr w:type="spellStart"/>
      <w:r w:rsidRPr="009945D6">
        <w:t>specific</w:t>
      </w:r>
      <w:proofErr w:type="spellEnd"/>
      <w:r w:rsidRPr="009945D6">
        <w:t xml:space="preserve"> ‘</w:t>
      </w:r>
      <w:proofErr w:type="spellStart"/>
      <w:r w:rsidRPr="009945D6">
        <w:t>metropolitan</w:t>
      </w:r>
      <w:proofErr w:type="spellEnd"/>
      <w:r w:rsidRPr="009945D6">
        <w:t xml:space="preserve">’ use of information </w:t>
      </w:r>
      <w:proofErr w:type="spellStart"/>
      <w:r w:rsidRPr="009945D6">
        <w:t>technologies</w:t>
      </w:r>
      <w:proofErr w:type="spellEnd"/>
      <w:r w:rsidRPr="009945D6">
        <w:t xml:space="preserve">. </w:t>
      </w:r>
      <w:proofErr w:type="spellStart"/>
      <w:r w:rsidRPr="009945D6">
        <w:t>While</w:t>
      </w:r>
      <w:proofErr w:type="spellEnd"/>
      <w:r w:rsidRPr="009945D6">
        <w:t xml:space="preserve"> ‘city’ </w:t>
      </w:r>
      <w:proofErr w:type="spellStart"/>
      <w:r w:rsidRPr="009945D6">
        <w:t>d</w:t>
      </w:r>
      <w:r w:rsidRPr="00E77477">
        <w:t>id</w:t>
      </w:r>
      <w:proofErr w:type="spellEnd"/>
      <w:r w:rsidRPr="00E77477">
        <w:t xml:space="preserve"> </w:t>
      </w:r>
      <w:proofErr w:type="spellStart"/>
      <w:r w:rsidRPr="00E77477">
        <w:t>never</w:t>
      </w:r>
      <w:proofErr w:type="spellEnd"/>
      <w:r w:rsidRPr="00E77477">
        <w:t xml:space="preserve"> </w:t>
      </w:r>
      <w:proofErr w:type="spellStart"/>
      <w:r w:rsidRPr="00E77477">
        <w:t>occur</w:t>
      </w:r>
      <w:proofErr w:type="spellEnd"/>
      <w:r w:rsidRPr="00E77477">
        <w:t xml:space="preserve"> with </w:t>
      </w:r>
      <w:proofErr w:type="spellStart"/>
      <w:r w:rsidRPr="00E77477">
        <w:t>any</w:t>
      </w:r>
      <w:proofErr w:type="spellEnd"/>
      <w:r w:rsidRPr="00E77477">
        <w:t xml:space="preserve"> of the </w:t>
      </w:r>
      <w:proofErr w:type="spellStart"/>
      <w:r w:rsidRPr="00E77477">
        <w:t>other</w:t>
      </w:r>
      <w:proofErr w:type="spellEnd"/>
      <w:r w:rsidRPr="00E77477">
        <w:t xml:space="preserve"> </w:t>
      </w:r>
      <w:proofErr w:type="spellStart"/>
      <w:r w:rsidRPr="00E77477">
        <w:t>territorial</w:t>
      </w:r>
      <w:proofErr w:type="spellEnd"/>
      <w:r w:rsidRPr="00E77477">
        <w:t xml:space="preserve"> </w:t>
      </w:r>
      <w:proofErr w:type="spellStart"/>
      <w:r w:rsidRPr="00E77477">
        <w:t>concepts</w:t>
      </w:r>
      <w:proofErr w:type="spellEnd"/>
      <w:r w:rsidRPr="00E77477">
        <w:t xml:space="preserve"> (i.e., ‘</w:t>
      </w:r>
      <w:proofErr w:type="spellStart"/>
      <w:r w:rsidRPr="00E77477">
        <w:t>rural</w:t>
      </w:r>
      <w:proofErr w:type="spellEnd"/>
      <w:r w:rsidRPr="00E77477">
        <w:t>’, ‘site’ or ‘</w:t>
      </w:r>
      <w:proofErr w:type="spellStart"/>
      <w:r w:rsidRPr="00E77477">
        <w:t>government</w:t>
      </w:r>
      <w:proofErr w:type="spellEnd"/>
      <w:r w:rsidRPr="00E77477">
        <w:t xml:space="preserve">’, </w:t>
      </w:r>
      <w:proofErr w:type="spellStart"/>
      <w:r w:rsidRPr="00664C76">
        <w:t>except</w:t>
      </w:r>
      <w:proofErr w:type="spellEnd"/>
      <w:r w:rsidRPr="00664C76">
        <w:t xml:space="preserve"> ‘</w:t>
      </w:r>
      <w:proofErr w:type="spellStart"/>
      <w:r w:rsidRPr="00664C76">
        <w:t>local</w:t>
      </w:r>
      <w:proofErr w:type="spellEnd"/>
      <w:r w:rsidRPr="00664C76">
        <w:t xml:space="preserve">’), </w:t>
      </w:r>
      <w:proofErr w:type="spellStart"/>
      <w:r w:rsidRPr="00664C76">
        <w:t>it</w:t>
      </w:r>
      <w:proofErr w:type="spellEnd"/>
      <w:r w:rsidRPr="00664C76">
        <w:t xml:space="preserve"> </w:t>
      </w:r>
      <w:proofErr w:type="spellStart"/>
      <w:r w:rsidRPr="00664C76">
        <w:t>showed</w:t>
      </w:r>
      <w:proofErr w:type="spellEnd"/>
      <w:r w:rsidRPr="00664C76">
        <w:t xml:space="preserve"> a strong co-</w:t>
      </w:r>
      <w:proofErr w:type="spellStart"/>
      <w:r w:rsidRPr="00664C76">
        <w:t>occurrence</w:t>
      </w:r>
      <w:proofErr w:type="spellEnd"/>
      <w:r w:rsidRPr="00664C76">
        <w:t xml:space="preserve"> wit</w:t>
      </w:r>
      <w:r w:rsidRPr="009230B3">
        <w:t>h ‘mobile’ and ‘</w:t>
      </w:r>
      <w:proofErr w:type="spellStart"/>
      <w:r w:rsidRPr="009230B3">
        <w:t>map</w:t>
      </w:r>
      <w:proofErr w:type="spellEnd"/>
      <w:r w:rsidRPr="009230B3">
        <w:t>’.</w:t>
      </w:r>
    </w:p>
    <w:p w14:paraId="6AF37DC0" w14:textId="77777777" w:rsidR="00796AB8" w:rsidRPr="00722233" w:rsidRDefault="00796AB8" w:rsidP="00796AB8"/>
    <w:p w14:paraId="1A2C18B4" w14:textId="62585B1E" w:rsidR="00796AB8" w:rsidRPr="001C0BB2" w:rsidRDefault="001C0BB2" w:rsidP="001C0BB2">
      <w:r w:rsidRPr="001C0BB2">
        <w:t>Figure10</w:t>
      </w:r>
    </w:p>
    <w:p w14:paraId="28BC5EE0" w14:textId="1DDB323B" w:rsidR="00796AB8" w:rsidRDefault="00796AB8" w:rsidP="001C0BB2">
      <w:r w:rsidRPr="001C0BB2">
        <w:t>Figure 10 – Co-</w:t>
      </w:r>
      <w:proofErr w:type="spellStart"/>
      <w:r w:rsidRPr="001C0BB2">
        <w:t>occurrence</w:t>
      </w:r>
      <w:proofErr w:type="spellEnd"/>
      <w:r w:rsidRPr="001C0BB2">
        <w:t xml:space="preserve"> </w:t>
      </w:r>
      <w:proofErr w:type="spellStart"/>
      <w:r w:rsidRPr="001C0BB2">
        <w:t>map</w:t>
      </w:r>
      <w:proofErr w:type="spellEnd"/>
      <w:r w:rsidRPr="001C0BB2">
        <w:t xml:space="preserve"> for ‘city’</w:t>
      </w:r>
    </w:p>
    <w:p w14:paraId="7D22B116" w14:textId="77777777" w:rsidR="00796AB8" w:rsidRPr="00F64383" w:rsidRDefault="00796AB8" w:rsidP="00796AB8"/>
    <w:p w14:paraId="5D9074AA" w14:textId="77777777" w:rsidR="00796AB8" w:rsidRPr="007E7CD0" w:rsidRDefault="00796AB8" w:rsidP="00796AB8">
      <w:proofErr w:type="spellStart"/>
      <w:r w:rsidRPr="00907B78">
        <w:t>Analysing</w:t>
      </w:r>
      <w:proofErr w:type="spellEnd"/>
      <w:r w:rsidRPr="00907B78">
        <w:t xml:space="preserve"> the </w:t>
      </w:r>
      <w:proofErr w:type="spellStart"/>
      <w:r w:rsidRPr="00907B78">
        <w:t>textual</w:t>
      </w:r>
      <w:proofErr w:type="spellEnd"/>
      <w:r w:rsidRPr="00907B78">
        <w:t xml:space="preserve"> </w:t>
      </w:r>
      <w:proofErr w:type="spellStart"/>
      <w:r w:rsidRPr="00907B78">
        <w:t>instances</w:t>
      </w:r>
      <w:proofErr w:type="spellEnd"/>
      <w:r w:rsidRPr="00907B78">
        <w:t xml:space="preserve">, </w:t>
      </w:r>
      <w:proofErr w:type="spellStart"/>
      <w:r w:rsidRPr="00907B78">
        <w:t>they</w:t>
      </w:r>
      <w:proofErr w:type="spellEnd"/>
      <w:r w:rsidRPr="00907B78">
        <w:t xml:space="preserve"> </w:t>
      </w:r>
      <w:proofErr w:type="spellStart"/>
      <w:r w:rsidRPr="00907B78">
        <w:t>all</w:t>
      </w:r>
      <w:proofErr w:type="spellEnd"/>
      <w:r w:rsidRPr="00907B78">
        <w:t xml:space="preserve"> </w:t>
      </w:r>
      <w:proofErr w:type="spellStart"/>
      <w:r w:rsidRPr="00907B78">
        <w:t>deal</w:t>
      </w:r>
      <w:r w:rsidRPr="0003374E">
        <w:t>t</w:t>
      </w:r>
      <w:proofErr w:type="spellEnd"/>
      <w:r w:rsidRPr="00B639C5">
        <w:t xml:space="preserve"> with geo-</w:t>
      </w:r>
      <w:proofErr w:type="spellStart"/>
      <w:r w:rsidRPr="00B639C5">
        <w:t>reference</w:t>
      </w:r>
      <w:r w:rsidRPr="00C733BE">
        <w:t>d</w:t>
      </w:r>
      <w:proofErr w:type="spellEnd"/>
      <w:r w:rsidRPr="00C733BE">
        <w:t xml:space="preserve"> mobile </w:t>
      </w:r>
      <w:proofErr w:type="spellStart"/>
      <w:r w:rsidRPr="00C733BE">
        <w:t>systems</w:t>
      </w:r>
      <w:proofErr w:type="spellEnd"/>
      <w:r w:rsidRPr="00C733BE">
        <w:t xml:space="preserve"> </w:t>
      </w:r>
      <w:proofErr w:type="spellStart"/>
      <w:r w:rsidRPr="00C733BE">
        <w:t>allo</w:t>
      </w:r>
      <w:r w:rsidRPr="00A9359E">
        <w:t>wing</w:t>
      </w:r>
      <w:proofErr w:type="spellEnd"/>
      <w:r w:rsidRPr="00A9359E">
        <w:t xml:space="preserve"> the </w:t>
      </w:r>
      <w:proofErr w:type="spellStart"/>
      <w:r w:rsidRPr="00A9359E">
        <w:t>creation</w:t>
      </w:r>
      <w:proofErr w:type="spellEnd"/>
      <w:r w:rsidRPr="00A9359E">
        <w:t xml:space="preserve"> of </w:t>
      </w:r>
      <w:proofErr w:type="spellStart"/>
      <w:r w:rsidRPr="00A9359E">
        <w:t>unconventional</w:t>
      </w:r>
      <w:proofErr w:type="spellEnd"/>
      <w:r w:rsidRPr="00A9359E">
        <w:t xml:space="preserve"> </w:t>
      </w:r>
      <w:proofErr w:type="spellStart"/>
      <w:r w:rsidRPr="00A9359E">
        <w:t>maps</w:t>
      </w:r>
      <w:proofErr w:type="spellEnd"/>
      <w:r w:rsidRPr="00A9359E">
        <w:t xml:space="preserve"> of the </w:t>
      </w:r>
      <w:proofErr w:type="spellStart"/>
      <w:r w:rsidRPr="00A9359E">
        <w:t>urban</w:t>
      </w:r>
      <w:proofErr w:type="spellEnd"/>
      <w:r w:rsidRPr="00A9359E">
        <w:t xml:space="preserve"> </w:t>
      </w:r>
      <w:proofErr w:type="spellStart"/>
      <w:r w:rsidRPr="00A9359E">
        <w:t>space</w:t>
      </w:r>
      <w:proofErr w:type="spellEnd"/>
      <w:r w:rsidRPr="00C42D9E">
        <w:t>,</w:t>
      </w:r>
      <w:r w:rsidRPr="00045ABA">
        <w:t xml:space="preserve"> and the bottom-up </w:t>
      </w:r>
      <w:proofErr w:type="spellStart"/>
      <w:r w:rsidRPr="00045ABA">
        <w:lastRenderedPageBreak/>
        <w:t>regeneration</w:t>
      </w:r>
      <w:proofErr w:type="spellEnd"/>
      <w:r w:rsidRPr="00045ABA">
        <w:t xml:space="preserve"> of a </w:t>
      </w:r>
      <w:proofErr w:type="spellStart"/>
      <w:r w:rsidRPr="00045ABA">
        <w:t>sense</w:t>
      </w:r>
      <w:proofErr w:type="spellEnd"/>
      <w:r w:rsidRPr="00045ABA">
        <w:t xml:space="preserve"> of </w:t>
      </w:r>
      <w:proofErr w:type="spellStart"/>
      <w:r w:rsidRPr="00045ABA">
        <w:t>place</w:t>
      </w:r>
      <w:proofErr w:type="spellEnd"/>
      <w:r w:rsidRPr="00045ABA">
        <w:t xml:space="preserve">. </w:t>
      </w:r>
      <w:proofErr w:type="spellStart"/>
      <w:r w:rsidRPr="00045ABA">
        <w:t>Similar</w:t>
      </w:r>
      <w:proofErr w:type="spellEnd"/>
      <w:r w:rsidRPr="00045ABA">
        <w:t xml:space="preserve"> </w:t>
      </w:r>
      <w:proofErr w:type="spellStart"/>
      <w:r w:rsidRPr="00045ABA">
        <w:t>projects</w:t>
      </w:r>
      <w:proofErr w:type="spellEnd"/>
      <w:r w:rsidRPr="00045ABA">
        <w:t xml:space="preserve"> </w:t>
      </w:r>
      <w:proofErr w:type="spellStart"/>
      <w:r w:rsidRPr="009175E6">
        <w:t>were</w:t>
      </w:r>
      <w:proofErr w:type="spellEnd"/>
      <w:r w:rsidRPr="007E7CD0">
        <w:t xml:space="preserve"> </w:t>
      </w:r>
      <w:proofErr w:type="spellStart"/>
      <w:r w:rsidRPr="007E7CD0">
        <w:t>usually</w:t>
      </w:r>
      <w:proofErr w:type="spellEnd"/>
      <w:r w:rsidRPr="007E7CD0">
        <w:t xml:space="preserve"> </w:t>
      </w:r>
      <w:proofErr w:type="spellStart"/>
      <w:r w:rsidRPr="007E7CD0">
        <w:t>subsumed</w:t>
      </w:r>
      <w:proofErr w:type="spellEnd"/>
      <w:r w:rsidRPr="007E7CD0">
        <w:t xml:space="preserve"> under the </w:t>
      </w:r>
      <w:proofErr w:type="spellStart"/>
      <w:r w:rsidRPr="007E7CD0">
        <w:t>umbrella</w:t>
      </w:r>
      <w:proofErr w:type="spellEnd"/>
      <w:r w:rsidRPr="007E7CD0">
        <w:t xml:space="preserve"> </w:t>
      </w:r>
      <w:proofErr w:type="spellStart"/>
      <w:r w:rsidRPr="007E7CD0">
        <w:t>term</w:t>
      </w:r>
      <w:proofErr w:type="spellEnd"/>
      <w:r w:rsidRPr="007E7CD0">
        <w:t xml:space="preserve"> ‘locative media’. Here </w:t>
      </w:r>
      <w:proofErr w:type="spellStart"/>
      <w:r w:rsidRPr="007E7CD0">
        <w:t>is</w:t>
      </w:r>
      <w:proofErr w:type="spellEnd"/>
      <w:r w:rsidRPr="007E7CD0">
        <w:t xml:space="preserve"> an </w:t>
      </w:r>
      <w:proofErr w:type="spellStart"/>
      <w:r w:rsidRPr="007E7CD0">
        <w:t>example</w:t>
      </w:r>
      <w:proofErr w:type="spellEnd"/>
      <w:r w:rsidRPr="007E7CD0">
        <w:t>:</w:t>
      </w:r>
    </w:p>
    <w:p w14:paraId="09D88DEE" w14:textId="77777777" w:rsidR="00796AB8" w:rsidRPr="006F79A1" w:rsidRDefault="00796AB8" w:rsidP="00796AB8">
      <w:pPr>
        <w:pStyle w:val="Quote"/>
      </w:pPr>
      <w:proofErr w:type="spellStart"/>
      <w:r w:rsidRPr="008F4EA9">
        <w:t>Citypoems</w:t>
      </w:r>
      <w:proofErr w:type="spellEnd"/>
      <w:r w:rsidRPr="008F4EA9">
        <w:t xml:space="preserve"> turns mobile phones in Leeds into widely distributed creative writing and publishing tools (70% of teenagers and adults in the UK own a mobile phone). Everyone in Leeds can read and write a </w:t>
      </w:r>
      <w:proofErr w:type="spellStart"/>
      <w:r w:rsidRPr="008F4EA9">
        <w:t>Citypoem</w:t>
      </w:r>
      <w:proofErr w:type="spellEnd"/>
      <w:r w:rsidRPr="008F4EA9">
        <w:t>, experiencing and contributing to an enriched sense of their own place from wherever, and</w:t>
      </w:r>
      <w:r w:rsidRPr="00235CA5">
        <w:t xml:space="preserve"> whenever, they are in the city. The </w:t>
      </w:r>
      <w:proofErr w:type="spellStart"/>
      <w:r w:rsidRPr="00235CA5">
        <w:t>Citypoems</w:t>
      </w:r>
      <w:proofErr w:type="spellEnd"/>
      <w:r w:rsidRPr="00235CA5">
        <w:t xml:space="preserve"> biography is made new by every reader, turning the pages in the order of their own daily lives as they move through the city, and transforming mobile phones into books with an infinite number of blank pages waiting to be filled.</w:t>
      </w:r>
      <w:r>
        <w:rPr>
          <w:rStyle w:val="FootnoteReference"/>
        </w:rPr>
        <w:footnoteReference w:id="19"/>
      </w:r>
      <w:r w:rsidRPr="00235CA5">
        <w:t xml:space="preserve"> </w:t>
      </w:r>
    </w:p>
    <w:p w14:paraId="53C993B7" w14:textId="77777777" w:rsidR="00796AB8" w:rsidRPr="00D50C43" w:rsidRDefault="00796AB8" w:rsidP="00796AB8">
      <w:proofErr w:type="spellStart"/>
      <w:r w:rsidRPr="00E9220E">
        <w:t>Summing</w:t>
      </w:r>
      <w:proofErr w:type="spellEnd"/>
      <w:r w:rsidRPr="00E9220E">
        <w:t xml:space="preserve"> up, </w:t>
      </w:r>
      <w:proofErr w:type="spellStart"/>
      <w:r w:rsidRPr="00CA3AE8">
        <w:t>different</w:t>
      </w:r>
      <w:proofErr w:type="spellEnd"/>
      <w:r w:rsidRPr="00CA3AE8">
        <w:t xml:space="preserve"> </w:t>
      </w:r>
      <w:proofErr w:type="spellStart"/>
      <w:r w:rsidRPr="00CA3AE8">
        <w:t>roles</w:t>
      </w:r>
      <w:proofErr w:type="spellEnd"/>
      <w:r w:rsidRPr="00CA3AE8">
        <w:t xml:space="preserve"> for information </w:t>
      </w:r>
      <w:proofErr w:type="spellStart"/>
      <w:r w:rsidRPr="00CA3AE8">
        <w:t>technologies</w:t>
      </w:r>
      <w:proofErr w:type="spellEnd"/>
      <w:r w:rsidRPr="00CA3AE8">
        <w:t xml:space="preserve"> </w:t>
      </w:r>
      <w:proofErr w:type="spellStart"/>
      <w:r w:rsidRPr="00CA3AE8">
        <w:t>were</w:t>
      </w:r>
      <w:proofErr w:type="spellEnd"/>
      <w:r w:rsidRPr="00CA3AE8">
        <w:t xml:space="preserve"> </w:t>
      </w:r>
      <w:proofErr w:type="spellStart"/>
      <w:r w:rsidRPr="00CA3AE8">
        <w:t>associated</w:t>
      </w:r>
      <w:proofErr w:type="spellEnd"/>
      <w:r w:rsidRPr="00CA3AE8">
        <w:t xml:space="preserve"> to </w:t>
      </w:r>
      <w:proofErr w:type="spellStart"/>
      <w:r w:rsidRPr="00CA3AE8">
        <w:t>different</w:t>
      </w:r>
      <w:proofErr w:type="spellEnd"/>
      <w:r w:rsidRPr="00CA3AE8">
        <w:t xml:space="preserve"> </w:t>
      </w:r>
      <w:proofErr w:type="spellStart"/>
      <w:r w:rsidRPr="00CA3AE8">
        <w:t>types</w:t>
      </w:r>
      <w:proofErr w:type="spellEnd"/>
      <w:r w:rsidRPr="00CA3AE8">
        <w:t xml:space="preserve"> of </w:t>
      </w:r>
      <w:proofErr w:type="spellStart"/>
      <w:r w:rsidRPr="00CA3AE8">
        <w:t>local</w:t>
      </w:r>
      <w:proofErr w:type="spellEnd"/>
      <w:r w:rsidRPr="00CA3AE8">
        <w:t xml:space="preserve"> </w:t>
      </w:r>
      <w:proofErr w:type="spellStart"/>
      <w:r w:rsidRPr="00CA3AE8">
        <w:t>territory</w:t>
      </w:r>
      <w:proofErr w:type="spellEnd"/>
      <w:r w:rsidRPr="00CA3AE8">
        <w:t xml:space="preserve">. The qualitative </w:t>
      </w:r>
      <w:proofErr w:type="spellStart"/>
      <w:r w:rsidRPr="00CA3AE8">
        <w:t>analysis</w:t>
      </w:r>
      <w:proofErr w:type="spellEnd"/>
      <w:r w:rsidRPr="00CA3AE8">
        <w:t xml:space="preserve"> </w:t>
      </w:r>
      <w:proofErr w:type="spellStart"/>
      <w:r w:rsidRPr="00CA3AE8">
        <w:t>uncovered</w:t>
      </w:r>
      <w:proofErr w:type="spellEnd"/>
      <w:r w:rsidRPr="00CA3AE8">
        <w:t xml:space="preserve"> a first </w:t>
      </w:r>
      <w:proofErr w:type="spellStart"/>
      <w:r w:rsidRPr="00CA3AE8">
        <w:t>discourse</w:t>
      </w:r>
      <w:proofErr w:type="spellEnd"/>
      <w:r w:rsidRPr="00CA3AE8">
        <w:t xml:space="preserve"> in </w:t>
      </w:r>
      <w:proofErr w:type="spellStart"/>
      <w:r w:rsidRPr="00CA3AE8">
        <w:t>which</w:t>
      </w:r>
      <w:proofErr w:type="spellEnd"/>
      <w:r w:rsidRPr="00CA3AE8">
        <w:t xml:space="preserve"> ICT </w:t>
      </w:r>
      <w:proofErr w:type="spellStart"/>
      <w:r w:rsidRPr="00CA3AE8">
        <w:t>were</w:t>
      </w:r>
      <w:proofErr w:type="spellEnd"/>
      <w:r w:rsidRPr="00CA3AE8">
        <w:t xml:space="preserve"> </w:t>
      </w:r>
      <w:proofErr w:type="spellStart"/>
      <w:r w:rsidRPr="00CA3AE8">
        <w:t>depicted</w:t>
      </w:r>
      <w:proofErr w:type="spellEnd"/>
      <w:r w:rsidRPr="00CA3AE8">
        <w:t xml:space="preserve"> </w:t>
      </w:r>
      <w:proofErr w:type="spellStart"/>
      <w:r w:rsidRPr="00CA3AE8">
        <w:t>as</w:t>
      </w:r>
      <w:proofErr w:type="spellEnd"/>
      <w:r w:rsidRPr="00CA3AE8">
        <w:t xml:space="preserve"> </w:t>
      </w:r>
      <w:proofErr w:type="spellStart"/>
      <w:r w:rsidRPr="00CA3AE8">
        <w:t>empowering</w:t>
      </w:r>
      <w:proofErr w:type="spellEnd"/>
      <w:r w:rsidRPr="00CA3AE8">
        <w:t xml:space="preserve"> </w:t>
      </w:r>
      <w:proofErr w:type="spellStart"/>
      <w:r w:rsidRPr="00CA3AE8">
        <w:t>tools</w:t>
      </w:r>
      <w:proofErr w:type="spellEnd"/>
      <w:r w:rsidRPr="00CA3AE8">
        <w:t xml:space="preserve"> (i.e., </w:t>
      </w:r>
      <w:proofErr w:type="spellStart"/>
      <w:r w:rsidRPr="00CA3AE8">
        <w:t>intermediaries</w:t>
      </w:r>
      <w:proofErr w:type="spellEnd"/>
      <w:r w:rsidRPr="00CA3AE8">
        <w:t xml:space="preserve">) </w:t>
      </w:r>
      <w:proofErr w:type="spellStart"/>
      <w:r w:rsidRPr="00CA3AE8">
        <w:t>fostering</w:t>
      </w:r>
      <w:proofErr w:type="spellEnd"/>
      <w:r w:rsidRPr="00CA3AE8">
        <w:t xml:space="preserve"> the </w:t>
      </w:r>
      <w:proofErr w:type="spellStart"/>
      <w:r w:rsidRPr="00CA3AE8">
        <w:t>development</w:t>
      </w:r>
      <w:proofErr w:type="spellEnd"/>
      <w:r w:rsidRPr="00CA3AE8">
        <w:t xml:space="preserve"> of </w:t>
      </w:r>
      <w:proofErr w:type="spellStart"/>
      <w:r w:rsidRPr="00CA3AE8">
        <w:t>disadvantaged</w:t>
      </w:r>
      <w:proofErr w:type="spellEnd"/>
      <w:r w:rsidRPr="00CA3AE8">
        <w:t xml:space="preserve">, </w:t>
      </w:r>
      <w:proofErr w:type="spellStart"/>
      <w:r w:rsidRPr="00CA3AE8">
        <w:t>rural</w:t>
      </w:r>
      <w:proofErr w:type="spellEnd"/>
      <w:r w:rsidRPr="00CA3AE8">
        <w:t xml:space="preserve"> </w:t>
      </w:r>
      <w:proofErr w:type="spellStart"/>
      <w:r w:rsidRPr="00CA3AE8">
        <w:t>areas</w:t>
      </w:r>
      <w:proofErr w:type="spellEnd"/>
      <w:r w:rsidRPr="00CA3AE8">
        <w:t xml:space="preserve">, in partnership with </w:t>
      </w:r>
      <w:proofErr w:type="spellStart"/>
      <w:r w:rsidRPr="00CA3AE8">
        <w:t>local</w:t>
      </w:r>
      <w:proofErr w:type="spellEnd"/>
      <w:r w:rsidRPr="00CA3AE8">
        <w:t xml:space="preserve"> </w:t>
      </w:r>
      <w:proofErr w:type="spellStart"/>
      <w:r w:rsidRPr="00CA3AE8">
        <w:t>governments</w:t>
      </w:r>
      <w:proofErr w:type="spellEnd"/>
      <w:r w:rsidRPr="00CA3AE8">
        <w:t xml:space="preserve">, by </w:t>
      </w:r>
      <w:proofErr w:type="spellStart"/>
      <w:r w:rsidRPr="00CA3AE8">
        <w:t>sharing</w:t>
      </w:r>
      <w:proofErr w:type="spellEnd"/>
      <w:r w:rsidRPr="00CA3AE8">
        <w:t xml:space="preserve"> information </w:t>
      </w:r>
      <w:proofErr w:type="spellStart"/>
      <w:r w:rsidRPr="00CA3AE8">
        <w:t>accessible</w:t>
      </w:r>
      <w:proofErr w:type="spellEnd"/>
      <w:r w:rsidRPr="00CA3AE8">
        <w:t xml:space="preserve"> </w:t>
      </w:r>
      <w:proofErr w:type="spellStart"/>
      <w:r w:rsidRPr="00CA3AE8">
        <w:t>through</w:t>
      </w:r>
      <w:proofErr w:type="spellEnd"/>
      <w:r w:rsidRPr="00CA3AE8">
        <w:t xml:space="preserve"> </w:t>
      </w:r>
      <w:proofErr w:type="spellStart"/>
      <w:r w:rsidRPr="00CA3AE8">
        <w:t>websites</w:t>
      </w:r>
      <w:proofErr w:type="spellEnd"/>
      <w:r w:rsidRPr="00CA3AE8">
        <w:t xml:space="preserve">. The </w:t>
      </w:r>
      <w:proofErr w:type="spellStart"/>
      <w:r w:rsidRPr="00CA3AE8">
        <w:t>second</w:t>
      </w:r>
      <w:proofErr w:type="spellEnd"/>
      <w:r w:rsidRPr="00CA3AE8">
        <w:t xml:space="preserve"> narrative </w:t>
      </w:r>
      <w:proofErr w:type="spellStart"/>
      <w:r w:rsidRPr="00CA3AE8">
        <w:t>conceives</w:t>
      </w:r>
      <w:proofErr w:type="spellEnd"/>
      <w:r w:rsidRPr="00CA3AE8">
        <w:t xml:space="preserve"> of information </w:t>
      </w:r>
      <w:proofErr w:type="spellStart"/>
      <w:r w:rsidRPr="00CA3AE8">
        <w:t>technologies</w:t>
      </w:r>
      <w:proofErr w:type="spellEnd"/>
      <w:r w:rsidRPr="00CA3AE8">
        <w:t xml:space="preserve"> </w:t>
      </w:r>
      <w:proofErr w:type="spellStart"/>
      <w:r w:rsidRPr="00CA3AE8">
        <w:t>as</w:t>
      </w:r>
      <w:proofErr w:type="spellEnd"/>
      <w:r w:rsidRPr="00CA3AE8">
        <w:t xml:space="preserve"> mobile and </w:t>
      </w:r>
      <w:proofErr w:type="spellStart"/>
      <w:r w:rsidRPr="00CA3AE8">
        <w:t>urban</w:t>
      </w:r>
      <w:proofErr w:type="spellEnd"/>
      <w:r w:rsidRPr="00CA3AE8">
        <w:t xml:space="preserve">. </w:t>
      </w:r>
      <w:proofErr w:type="spellStart"/>
      <w:r w:rsidRPr="00CA3AE8">
        <w:t>They</w:t>
      </w:r>
      <w:proofErr w:type="spellEnd"/>
      <w:r w:rsidRPr="00CA3AE8">
        <w:t xml:space="preserve"> are </w:t>
      </w:r>
      <w:proofErr w:type="spellStart"/>
      <w:r w:rsidRPr="00CA3AE8">
        <w:t>seen</w:t>
      </w:r>
      <w:proofErr w:type="spellEnd"/>
      <w:r w:rsidRPr="00CA3AE8">
        <w:t xml:space="preserve"> </w:t>
      </w:r>
      <w:proofErr w:type="spellStart"/>
      <w:r w:rsidRPr="00CA3AE8">
        <w:t>as</w:t>
      </w:r>
      <w:proofErr w:type="spellEnd"/>
      <w:r w:rsidRPr="00CA3AE8">
        <w:t xml:space="preserve"> </w:t>
      </w:r>
      <w:proofErr w:type="spellStart"/>
      <w:r w:rsidRPr="00CA3AE8">
        <w:t>representational</w:t>
      </w:r>
      <w:proofErr w:type="spellEnd"/>
      <w:r w:rsidRPr="00CA3AE8">
        <w:t xml:space="preserve"> </w:t>
      </w:r>
      <w:proofErr w:type="spellStart"/>
      <w:r w:rsidRPr="00CA3AE8">
        <w:t>means</w:t>
      </w:r>
      <w:proofErr w:type="spellEnd"/>
      <w:r w:rsidRPr="00CA3AE8">
        <w:t xml:space="preserve"> </w:t>
      </w:r>
      <w:proofErr w:type="spellStart"/>
      <w:r w:rsidRPr="00CA3AE8">
        <w:t>that</w:t>
      </w:r>
      <w:proofErr w:type="spellEnd"/>
      <w:r w:rsidRPr="00CA3AE8">
        <w:t xml:space="preserve"> </w:t>
      </w:r>
      <w:proofErr w:type="spellStart"/>
      <w:r w:rsidRPr="00CA3AE8">
        <w:t>allow</w:t>
      </w:r>
      <w:proofErr w:type="spellEnd"/>
      <w:r w:rsidRPr="00CA3AE8">
        <w:t xml:space="preserve"> the </w:t>
      </w:r>
      <w:proofErr w:type="spellStart"/>
      <w:r w:rsidRPr="00CA3AE8">
        <w:t>creation</w:t>
      </w:r>
      <w:proofErr w:type="spellEnd"/>
      <w:r w:rsidRPr="00CA3AE8">
        <w:t xml:space="preserve"> of </w:t>
      </w:r>
      <w:proofErr w:type="spellStart"/>
      <w:r w:rsidRPr="00CA3AE8">
        <w:t>subjective</w:t>
      </w:r>
      <w:proofErr w:type="spellEnd"/>
      <w:r w:rsidRPr="00CA3AE8">
        <w:t xml:space="preserve"> </w:t>
      </w:r>
      <w:proofErr w:type="spellStart"/>
      <w:r w:rsidRPr="00CA3AE8">
        <w:t>maps</w:t>
      </w:r>
      <w:proofErr w:type="spellEnd"/>
      <w:r w:rsidRPr="00CA3AE8">
        <w:t xml:space="preserve"> of the </w:t>
      </w:r>
      <w:proofErr w:type="spellStart"/>
      <w:r w:rsidRPr="00CA3AE8">
        <w:t>urban</w:t>
      </w:r>
      <w:proofErr w:type="spellEnd"/>
      <w:r w:rsidRPr="00CA3AE8">
        <w:t xml:space="preserve"> </w:t>
      </w:r>
      <w:proofErr w:type="spellStart"/>
      <w:r w:rsidRPr="00CA3AE8">
        <w:t>space</w:t>
      </w:r>
      <w:proofErr w:type="spellEnd"/>
      <w:r w:rsidRPr="00CA3AE8">
        <w:t xml:space="preserve">, of </w:t>
      </w:r>
      <w:proofErr w:type="spellStart"/>
      <w:r w:rsidRPr="00CA3AE8">
        <w:t>collectively</w:t>
      </w:r>
      <w:proofErr w:type="spellEnd"/>
      <w:r w:rsidRPr="00CA3AE8">
        <w:t xml:space="preserve"> </w:t>
      </w:r>
      <w:proofErr w:type="spellStart"/>
      <w:r w:rsidRPr="00CA3AE8">
        <w:t>generated</w:t>
      </w:r>
      <w:proofErr w:type="spellEnd"/>
      <w:r w:rsidRPr="00CA3AE8">
        <w:t xml:space="preserve"> </w:t>
      </w:r>
      <w:proofErr w:type="spellStart"/>
      <w:r w:rsidRPr="00CA3AE8">
        <w:t>psycho-geographies</w:t>
      </w:r>
      <w:proofErr w:type="spellEnd"/>
      <w:r w:rsidRPr="00CA3AE8">
        <w:t xml:space="preserve">. With </w:t>
      </w:r>
      <w:proofErr w:type="spellStart"/>
      <w:r w:rsidRPr="00CA3AE8">
        <w:t>these</w:t>
      </w:r>
      <w:proofErr w:type="spellEnd"/>
      <w:r w:rsidRPr="00CA3AE8">
        <w:t xml:space="preserve"> </w:t>
      </w:r>
      <w:proofErr w:type="spellStart"/>
      <w:r w:rsidRPr="00CA3AE8">
        <w:t>different</w:t>
      </w:r>
      <w:proofErr w:type="spellEnd"/>
      <w:r w:rsidRPr="00CA3AE8">
        <w:t xml:space="preserve"> </w:t>
      </w:r>
      <w:proofErr w:type="spellStart"/>
      <w:r w:rsidRPr="00CA3AE8">
        <w:t>narratives</w:t>
      </w:r>
      <w:proofErr w:type="spellEnd"/>
      <w:r w:rsidRPr="00CA3AE8">
        <w:t xml:space="preserve">, in </w:t>
      </w:r>
      <w:proofErr w:type="spellStart"/>
      <w:r w:rsidRPr="00CA3AE8">
        <w:t>our</w:t>
      </w:r>
      <w:proofErr w:type="spellEnd"/>
      <w:r w:rsidRPr="00CA3AE8">
        <w:t xml:space="preserve"> data set the </w:t>
      </w:r>
      <w:proofErr w:type="spellStart"/>
      <w:r w:rsidRPr="00CA3AE8">
        <w:t>mythological</w:t>
      </w:r>
      <w:proofErr w:type="spellEnd"/>
      <w:r w:rsidRPr="00CA3AE8">
        <w:t xml:space="preserve"> </w:t>
      </w:r>
      <w:proofErr w:type="spellStart"/>
      <w:r w:rsidRPr="00CA3AE8">
        <w:t>local</w:t>
      </w:r>
      <w:proofErr w:type="spellEnd"/>
      <w:r w:rsidRPr="00CA3AE8">
        <w:t xml:space="preserve"> community </w:t>
      </w:r>
      <w:proofErr w:type="spellStart"/>
      <w:r w:rsidRPr="00CA3AE8">
        <w:t>we</w:t>
      </w:r>
      <w:proofErr w:type="spellEnd"/>
      <w:r w:rsidRPr="00CA3AE8">
        <w:t xml:space="preserve"> </w:t>
      </w:r>
      <w:proofErr w:type="spellStart"/>
      <w:r w:rsidRPr="00CA3AE8">
        <w:t>discussed</w:t>
      </w:r>
      <w:proofErr w:type="spellEnd"/>
      <w:r w:rsidRPr="00CA3AE8">
        <w:t xml:space="preserve"> in </w:t>
      </w:r>
      <w:proofErr w:type="spellStart"/>
      <w:r w:rsidRPr="00CA3AE8">
        <w:t>chapter</w:t>
      </w:r>
      <w:proofErr w:type="spellEnd"/>
      <w:r w:rsidRPr="00CA3AE8">
        <w:t xml:space="preserve"> 1 </w:t>
      </w:r>
      <w:proofErr w:type="spellStart"/>
      <w:r w:rsidRPr="00CA3AE8">
        <w:t>hits</w:t>
      </w:r>
      <w:proofErr w:type="spellEnd"/>
      <w:r w:rsidRPr="00CA3AE8">
        <w:t xml:space="preserve"> the </w:t>
      </w:r>
      <w:proofErr w:type="spellStart"/>
      <w:r w:rsidRPr="00CA3AE8">
        <w:t>ground</w:t>
      </w:r>
      <w:proofErr w:type="spellEnd"/>
      <w:r w:rsidRPr="00CA3AE8">
        <w:t xml:space="preserve"> in </w:t>
      </w:r>
      <w:proofErr w:type="spellStart"/>
      <w:r w:rsidRPr="00CA3AE8">
        <w:t>two</w:t>
      </w:r>
      <w:proofErr w:type="spellEnd"/>
      <w:r w:rsidRPr="00CA3AE8">
        <w:t xml:space="preserve"> </w:t>
      </w:r>
      <w:proofErr w:type="spellStart"/>
      <w:r w:rsidRPr="00CA3AE8">
        <w:t>rather</w:t>
      </w:r>
      <w:proofErr w:type="spellEnd"/>
      <w:r w:rsidRPr="00CA3AE8">
        <w:t xml:space="preserve"> </w:t>
      </w:r>
      <w:proofErr w:type="spellStart"/>
      <w:r w:rsidRPr="00CA3AE8">
        <w:t>different</w:t>
      </w:r>
      <w:proofErr w:type="spellEnd"/>
      <w:r w:rsidRPr="00CA3AE8">
        <w:t xml:space="preserve"> </w:t>
      </w:r>
      <w:proofErr w:type="spellStart"/>
      <w:r w:rsidRPr="00CA3AE8">
        <w:t>forms</w:t>
      </w:r>
      <w:proofErr w:type="spellEnd"/>
      <w:r w:rsidRPr="00CA3AE8">
        <w:t xml:space="preserve">, </w:t>
      </w:r>
      <w:proofErr w:type="spellStart"/>
      <w:r w:rsidRPr="00CA3AE8">
        <w:t>each</w:t>
      </w:r>
      <w:proofErr w:type="spellEnd"/>
      <w:r w:rsidRPr="00CA3AE8">
        <w:t xml:space="preserve"> of </w:t>
      </w:r>
      <w:proofErr w:type="spellStart"/>
      <w:r w:rsidRPr="00CA3AE8">
        <w:t>which</w:t>
      </w:r>
      <w:proofErr w:type="spellEnd"/>
      <w:r w:rsidRPr="00CA3AE8">
        <w:t xml:space="preserve"> </w:t>
      </w:r>
      <w:proofErr w:type="spellStart"/>
      <w:r w:rsidRPr="00CA3AE8">
        <w:t>attributes</w:t>
      </w:r>
      <w:proofErr w:type="spellEnd"/>
      <w:r w:rsidRPr="00CA3AE8">
        <w:t xml:space="preserve"> a </w:t>
      </w:r>
      <w:proofErr w:type="spellStart"/>
      <w:r w:rsidRPr="00CA3AE8">
        <w:t>different</w:t>
      </w:r>
      <w:proofErr w:type="spellEnd"/>
      <w:r w:rsidRPr="00CA3AE8">
        <w:t xml:space="preserve"> </w:t>
      </w:r>
      <w:proofErr w:type="spellStart"/>
      <w:r w:rsidRPr="00CA3AE8">
        <w:t>role</w:t>
      </w:r>
      <w:proofErr w:type="spellEnd"/>
      <w:r w:rsidRPr="00CA3AE8">
        <w:t xml:space="preserve"> to </w:t>
      </w:r>
      <w:proofErr w:type="spellStart"/>
      <w:r w:rsidRPr="00CA3AE8">
        <w:t>digital</w:t>
      </w:r>
      <w:proofErr w:type="spellEnd"/>
      <w:r w:rsidRPr="00CA3AE8">
        <w:t xml:space="preserve"> information </w:t>
      </w:r>
      <w:proofErr w:type="spellStart"/>
      <w:r w:rsidRPr="00CA3AE8">
        <w:t>technologies</w:t>
      </w:r>
      <w:proofErr w:type="spellEnd"/>
      <w:r w:rsidRPr="00CA3AE8">
        <w:t>.</w:t>
      </w:r>
    </w:p>
    <w:p w14:paraId="7734AC6B" w14:textId="77777777" w:rsidR="00796AB8" w:rsidRPr="00843EA7" w:rsidRDefault="00796AB8" w:rsidP="00796AB8">
      <w:pPr>
        <w:pStyle w:val="Heading2"/>
      </w:pPr>
      <w:bookmarkStart w:id="4" w:name="_Toc524106419"/>
      <w:r w:rsidRPr="00A934D5">
        <w:t xml:space="preserve">5.4 Knowledge </w:t>
      </w:r>
      <w:r w:rsidRPr="00CC53B1">
        <w:t xml:space="preserve">Labour </w:t>
      </w:r>
      <w:r w:rsidRPr="0020461A">
        <w:t xml:space="preserve">Between Sustainability </w:t>
      </w:r>
      <w:r w:rsidRPr="00F91432">
        <w:t xml:space="preserve">and </w:t>
      </w:r>
      <w:r w:rsidRPr="00F6720E">
        <w:t xml:space="preserve">Gift </w:t>
      </w:r>
      <w:bookmarkEnd w:id="4"/>
      <w:r w:rsidRPr="00AD37E2">
        <w:t>Economy</w:t>
      </w:r>
    </w:p>
    <w:p w14:paraId="3AC77603" w14:textId="77777777" w:rsidR="00796AB8" w:rsidRPr="005D1F71" w:rsidRDefault="00796AB8" w:rsidP="00796AB8">
      <w:r w:rsidRPr="00D50C43">
        <w:t xml:space="preserve">‘Work’ is </w:t>
      </w:r>
      <w:r w:rsidRPr="00442E07">
        <w:t xml:space="preserve">the third most frequent concept </w:t>
      </w:r>
      <w:r w:rsidRPr="00D40CF0">
        <w:t>in</w:t>
      </w:r>
      <w:r w:rsidRPr="0041636B">
        <w:t xml:space="preserve"> the</w:t>
      </w:r>
      <w:r w:rsidRPr="00032C17">
        <w:t xml:space="preserve"> whole data set</w:t>
      </w:r>
      <w:r w:rsidRPr="00542C1B">
        <w:t>. It is also the second most central concept after</w:t>
      </w:r>
      <w:r w:rsidRPr="002F0E20">
        <w:t xml:space="preserve"> ‘art’, meaning that – besides being frequent – it also often appears in contexts where other relevant concepts</w:t>
      </w:r>
      <w:r w:rsidRPr="005D1F71">
        <w:t xml:space="preserve"> are present. Furthermore, despite a decrease in 2005, the concept ‘work’ remained frequent over the four years of the Digital Communities competition (Figure 11).</w:t>
      </w:r>
    </w:p>
    <w:p w14:paraId="110735B9" w14:textId="72AC846F" w:rsidR="00796AB8" w:rsidRPr="00D50C43" w:rsidRDefault="00796AB8" w:rsidP="00796AB8">
      <w:pPr>
        <w:pStyle w:val="DidascalietesiNisa"/>
      </w:pPr>
    </w:p>
    <w:p w14:paraId="5CA4AB82" w14:textId="77777777" w:rsidR="00796AB8" w:rsidRPr="0041636B" w:rsidRDefault="00796AB8" w:rsidP="00796AB8">
      <w:pPr>
        <w:pStyle w:val="DidascalietesiNisa"/>
      </w:pPr>
      <w:r w:rsidRPr="00442E07">
        <w:t>Figure 1</w:t>
      </w:r>
      <w:r w:rsidRPr="00D40CF0">
        <w:t>1</w:t>
      </w:r>
      <w:r w:rsidRPr="0041636B">
        <w:t xml:space="preserve"> – Temporal trend for ‘work’</w:t>
      </w:r>
    </w:p>
    <w:p w14:paraId="345487FF" w14:textId="77777777" w:rsidR="00796AB8" w:rsidRPr="00032C17" w:rsidRDefault="00796AB8" w:rsidP="00796AB8"/>
    <w:p w14:paraId="29F21F73" w14:textId="77777777" w:rsidR="00796AB8" w:rsidRPr="00CA3AE8" w:rsidRDefault="00796AB8" w:rsidP="00796AB8">
      <w:r w:rsidRPr="00542C1B">
        <w:t xml:space="preserve">The thematic circle </w:t>
      </w:r>
      <w:r w:rsidRPr="002F0E20">
        <w:rPr>
          <w:i/>
        </w:rPr>
        <w:t>Work</w:t>
      </w:r>
      <w:r w:rsidRPr="002F0E20">
        <w:t xml:space="preserve"> includes the concepts ‘work’, ‘cultural’, ‘international’, ‘network’, ‘text’ (Figure 12). ‘Work’ more often occurs with ‘art’, ‘media’, ‘software’, ‘open’, ‘online’, ‘vide</w:t>
      </w:r>
      <w:r w:rsidRPr="005D1F71">
        <w:t xml:space="preserve">o’. Notably, there is a strong co-occurrence between ‘work’ and ‘cultural’. ‘Cultural’ and ‘work’ are also very close in the map, meaning that they appear in similar conceptual contexts. All in all, </w:t>
      </w:r>
      <w:r w:rsidRPr="00337EEB">
        <w:t>t</w:t>
      </w:r>
      <w:r w:rsidRPr="00CA3AE8">
        <w:t>hese co-occurrence paths show a dominant narrative about knowledge labour, testifying the reproduction of the creative class narrative well after the dotcom burst (see section 2.1).</w:t>
      </w:r>
    </w:p>
    <w:p w14:paraId="48AD4223" w14:textId="77777777" w:rsidR="00796AB8" w:rsidRPr="00CA3AE8" w:rsidRDefault="00796AB8" w:rsidP="00796AB8"/>
    <w:p w14:paraId="39CF1DDE" w14:textId="00859DB7" w:rsidR="00796AB8" w:rsidRPr="001C0BB2" w:rsidRDefault="001C0BB2" w:rsidP="00796AB8">
      <w:r w:rsidRPr="001C0BB2">
        <w:t>Figure</w:t>
      </w:r>
      <w:r w:rsidR="00796AB8" w:rsidRPr="001C0BB2">
        <w:t>12</w:t>
      </w:r>
    </w:p>
    <w:p w14:paraId="59B9AFBA" w14:textId="36F086EA" w:rsidR="00796AB8" w:rsidRDefault="00796AB8" w:rsidP="00796AB8">
      <w:r w:rsidRPr="001C0BB2">
        <w:t>Figure 12 – Co-</w:t>
      </w:r>
      <w:proofErr w:type="spellStart"/>
      <w:r w:rsidRPr="001C0BB2">
        <w:t>occurrence</w:t>
      </w:r>
      <w:proofErr w:type="spellEnd"/>
      <w:r w:rsidRPr="001C0BB2">
        <w:t xml:space="preserve"> </w:t>
      </w:r>
      <w:proofErr w:type="spellStart"/>
      <w:r w:rsidRPr="001C0BB2">
        <w:t>map</w:t>
      </w:r>
      <w:proofErr w:type="spellEnd"/>
      <w:r w:rsidRPr="001C0BB2">
        <w:t xml:space="preserve"> for ‘work’</w:t>
      </w:r>
    </w:p>
    <w:p w14:paraId="44748477" w14:textId="77777777" w:rsidR="00796AB8" w:rsidRPr="0041636B" w:rsidRDefault="00796AB8" w:rsidP="00796AB8"/>
    <w:p w14:paraId="439769DB" w14:textId="77777777" w:rsidR="00796AB8" w:rsidRPr="00D50C43" w:rsidRDefault="00796AB8" w:rsidP="00796AB8">
      <w:r w:rsidRPr="00CA3AE8">
        <w:lastRenderedPageBreak/>
        <w:t>However, that narrative survives in more articulated ways. When it comes to the models of remuneration of cognitive labour, two different meanings of ‘work’ emerge. The first deals with work as an economic activity, while the second one conceives of work as a voluntary act oriented to the production of common goods.</w:t>
      </w:r>
      <w:r w:rsidRPr="00D50C43">
        <w:t xml:space="preserve"> </w:t>
      </w:r>
    </w:p>
    <w:p w14:paraId="22C4D6FE" w14:textId="77777777" w:rsidR="00796AB8" w:rsidRPr="00442E07" w:rsidRDefault="00796AB8" w:rsidP="00796AB8"/>
    <w:p w14:paraId="74789F58" w14:textId="77777777" w:rsidR="00796AB8" w:rsidRPr="005D1F71" w:rsidRDefault="00796AB8" w:rsidP="00796AB8">
      <w:r w:rsidRPr="00D40CF0">
        <w:t>On one</w:t>
      </w:r>
      <w:r w:rsidRPr="0041636B">
        <w:t xml:space="preserve"> hand, ‘work’ appears quite frequently in the section dedicated to the planned use of the possible prize money (indicated by the recurring word ‘money’). This testifies the intention to allocate some resources towards the sustainability of cognitive work a</w:t>
      </w:r>
      <w:r w:rsidRPr="00032C17">
        <w:t>nd to go beyond the equation ‘immaterial work’ = ‘amateur, unpaid labour’ fostered by the Web 2.0 hype</w:t>
      </w:r>
      <w:r w:rsidRPr="00542C1B">
        <w:t xml:space="preserve"> (see section 2.3)</w:t>
      </w:r>
      <w:r w:rsidRPr="002F0E20">
        <w:t xml:space="preserve">. A proposal that addresses sustainability without abdicating to free knowledge is, for example, </w:t>
      </w:r>
      <w:proofErr w:type="spellStart"/>
      <w:r w:rsidRPr="002F0E20">
        <w:t>advanced</w:t>
      </w:r>
      <w:proofErr w:type="spellEnd"/>
      <w:r w:rsidRPr="002F0E20">
        <w:t xml:space="preserve"> by the </w:t>
      </w:r>
      <w:proofErr w:type="spellStart"/>
      <w:r w:rsidRPr="005D1F71">
        <w:rPr>
          <w:i/>
        </w:rPr>
        <w:t>SerendiPd</w:t>
      </w:r>
      <w:proofErr w:type="spellEnd"/>
      <w:r w:rsidRPr="005D1F71">
        <w:t xml:space="preserve"> </w:t>
      </w:r>
      <w:proofErr w:type="spellStart"/>
      <w:r w:rsidRPr="005D1F71">
        <w:t>project</w:t>
      </w:r>
      <w:proofErr w:type="spellEnd"/>
      <w:r w:rsidRPr="005D1F71">
        <w:t>:</w:t>
      </w:r>
    </w:p>
    <w:p w14:paraId="5285E156" w14:textId="77777777" w:rsidR="00796AB8" w:rsidRPr="00337EEB" w:rsidRDefault="00796AB8" w:rsidP="00796AB8">
      <w:pPr>
        <w:pStyle w:val="Quote"/>
      </w:pPr>
      <w:r w:rsidRPr="005D1F71">
        <w:t xml:space="preserve">There are many people who dedicate substantial time and resources to making </w:t>
      </w:r>
      <w:proofErr w:type="spellStart"/>
      <w:r w:rsidRPr="005D1F71">
        <w:t>Pd</w:t>
      </w:r>
      <w:proofErr w:type="spellEnd"/>
      <w:r w:rsidRPr="005D1F71">
        <w:t xml:space="preserve"> better. We would like to enable such people to earn a living while working on </w:t>
      </w:r>
      <w:proofErr w:type="spellStart"/>
      <w:r w:rsidRPr="005D1F71">
        <w:t>Pd</w:t>
      </w:r>
      <w:proofErr w:type="spellEnd"/>
      <w:r w:rsidRPr="005D1F71">
        <w:t xml:space="preserve">, while keeping it free. There are a number of methods of raising money for free software projects, including: project donations, selling support like RedHat does, and bounty systems like those used by GNOME. […] the GNOME bounty system (http://www.gnome.org/bounties/) makes the most sense for the </w:t>
      </w:r>
      <w:proofErr w:type="spellStart"/>
      <w:r w:rsidRPr="005D1F71">
        <w:t>Pd</w:t>
      </w:r>
      <w:proofErr w:type="spellEnd"/>
      <w:r w:rsidRPr="005D1F71">
        <w:t xml:space="preserve"> community. One project that we would like to take on with the prize money would be to build a bounty board for </w:t>
      </w:r>
      <w:proofErr w:type="spellStart"/>
      <w:r w:rsidRPr="005D1F71">
        <w:t>Pd</w:t>
      </w:r>
      <w:proofErr w:type="spellEnd"/>
      <w:r w:rsidRPr="005D1F71">
        <w:t xml:space="preserve">, where both user- and developed-initiated tasks could be posted. For user-initiated tasks, money collection via donations would continue until someone proved that the task had been completed; this individual would then receive the total collected sum for the work completed. For developer-initiated tasks, developers would include their minimum fee for execution. </w:t>
      </w:r>
      <w:proofErr w:type="spellStart"/>
      <w:r w:rsidRPr="005D1F71">
        <w:t>Pd</w:t>
      </w:r>
      <w:proofErr w:type="spellEnd"/>
      <w:r w:rsidRPr="005D1F71">
        <w:t xml:space="preserve"> users would give money to whichever tasks they deemed worthy; when a bounty is reached</w:t>
      </w:r>
      <w:r w:rsidRPr="00337EEB">
        <w:t xml:space="preserve"> the developer would then work to complete the task, receiving payment upon completion.</w:t>
      </w:r>
      <w:r>
        <w:rPr>
          <w:rStyle w:val="FootnoteReference"/>
        </w:rPr>
        <w:footnoteReference w:id="20"/>
      </w:r>
    </w:p>
    <w:p w14:paraId="75228F82" w14:textId="77777777" w:rsidR="00796AB8" w:rsidRPr="0021572C" w:rsidRDefault="00796AB8" w:rsidP="00796AB8">
      <w:r w:rsidRPr="00337EEB">
        <w:t xml:space="preserve">On the other hand, ‘work’ co-occurs very frequently with ‘open’ (see Figure </w:t>
      </w:r>
      <w:r w:rsidRPr="004B42EE">
        <w:t>13). When browsing through the textual instances, it appears clear that ‘open’ is used in al</w:t>
      </w:r>
      <w:r w:rsidRPr="0021572C">
        <w:t>l the contexts wherein it co-occurs with ‘work’ as synonymous with ‘free’. All these instances deal with the exaltation of volunteer cognitive work whose efforts allow the creation and distribution of immaterial commons. Volunteer workers are conceived of as community-engaged individuals contributing to the free/open knowledge:</w:t>
      </w:r>
    </w:p>
    <w:p w14:paraId="49E86450" w14:textId="77777777" w:rsidR="00796AB8" w:rsidRPr="00671EF3" w:rsidRDefault="00796AB8" w:rsidP="00796AB8">
      <w:pPr>
        <w:pStyle w:val="Quote"/>
      </w:pPr>
      <w:r w:rsidRPr="0021572C">
        <w:t xml:space="preserve">Ubuntu is a community developed, commercially supported Linux distribution with an emphasis on software freedom and making computers as easy and accessible for everyone. […] Ubuntu has access to thousands of additional tools and applications, and a huge community who provide support and assistance to Ubuntu users. Ubuntu is commercially supported by Canonical Ltd, but a worldwide network of enthusiastic volunteers </w:t>
      </w:r>
      <w:proofErr w:type="gramStart"/>
      <w:r w:rsidRPr="0021572C">
        <w:t>work</w:t>
      </w:r>
      <w:proofErr w:type="gramEnd"/>
      <w:r w:rsidRPr="0021572C">
        <w:t xml:space="preserve"> together on all aspects of the system, providing a solid community orientated distribution.</w:t>
      </w:r>
      <w:r w:rsidRPr="00671EF3">
        <w:rPr>
          <w:rStyle w:val="FootnoteReference"/>
        </w:rPr>
        <w:footnoteReference w:id="21"/>
      </w:r>
      <w:r w:rsidRPr="00671EF3">
        <w:t xml:space="preserve"> </w:t>
      </w:r>
    </w:p>
    <w:p w14:paraId="735D3517" w14:textId="69839230" w:rsidR="00796AB8" w:rsidRPr="00D50C43" w:rsidRDefault="001C0BB2" w:rsidP="001C0BB2">
      <w:r>
        <w:rPr>
          <w:noProof/>
          <w:lang w:eastAsia="nl-NL"/>
        </w:rPr>
        <w:t>Figure13</w:t>
      </w:r>
    </w:p>
    <w:p w14:paraId="59CAA000" w14:textId="77777777" w:rsidR="00796AB8" w:rsidRPr="0041636B" w:rsidRDefault="00796AB8" w:rsidP="00796AB8">
      <w:r w:rsidRPr="00442E07">
        <w:t xml:space="preserve">Figure </w:t>
      </w:r>
      <w:r w:rsidRPr="00D40CF0">
        <w:t>13</w:t>
      </w:r>
      <w:r w:rsidRPr="0041636B">
        <w:t xml:space="preserve"> – Co-occurrence list for ‘work’</w:t>
      </w:r>
    </w:p>
    <w:p w14:paraId="4D690886" w14:textId="77777777" w:rsidR="00796AB8" w:rsidRPr="00032C17" w:rsidRDefault="00796AB8" w:rsidP="00796AB8">
      <w:pPr>
        <w:pStyle w:val="CorpodeltestotesiNisa"/>
      </w:pPr>
    </w:p>
    <w:p w14:paraId="5178E56E" w14:textId="77777777" w:rsidR="00796AB8" w:rsidRPr="00D50C43" w:rsidRDefault="00796AB8" w:rsidP="00796AB8">
      <w:bookmarkStart w:id="5" w:name="OLE_LINK1"/>
      <w:r w:rsidRPr="00542C1B">
        <w:t>All in all</w:t>
      </w:r>
      <w:r w:rsidRPr="002F0E20">
        <w:t xml:space="preserve">, in the data set the topic of labour is still wavering between the need for economic models that can assure an adequate remuneration to cognitive work and </w:t>
      </w:r>
      <w:r w:rsidRPr="002F0E20">
        <w:lastRenderedPageBreak/>
        <w:t>the push towards the creation and distribution of open and free commons. However, even when acknowledging these contrasting narratives about ‘work’, a significant trend must be noticed. The entries where ‘work’ and ‘open’ co-occur were submitted mainly in 2004 (76% of cases), while the entries where ‘work’ and ‘money’ co-occur were submitted largely between 2006 and 2007 (60% of cases).</w:t>
      </w:r>
      <w:bookmarkEnd w:id="5"/>
      <w:r w:rsidRPr="002F0E20">
        <w:t xml:space="preserve"> </w:t>
      </w:r>
      <w:r w:rsidRPr="00CA3AE8">
        <w:t xml:space="preserve">This is sufficient evidence of a </w:t>
      </w:r>
      <w:proofErr w:type="spellStart"/>
      <w:r w:rsidRPr="00CA3AE8">
        <w:t>change</w:t>
      </w:r>
      <w:proofErr w:type="spellEnd"/>
      <w:r w:rsidRPr="00CA3AE8">
        <w:t xml:space="preserve"> in the </w:t>
      </w:r>
      <w:proofErr w:type="spellStart"/>
      <w:r>
        <w:t>r</w:t>
      </w:r>
      <w:r w:rsidRPr="00CA3AE8">
        <w:t>understanding</w:t>
      </w:r>
      <w:proofErr w:type="spellEnd"/>
      <w:r w:rsidRPr="00CA3AE8">
        <w:t xml:space="preserve"> of work, from volunteer to paid activity, and a detachment from the rhetoric of user-based unpaid work that we have discussed in chapter 2.</w:t>
      </w:r>
    </w:p>
    <w:p w14:paraId="26068441" w14:textId="77777777" w:rsidR="00796AB8" w:rsidRPr="003048DD" w:rsidRDefault="00796AB8" w:rsidP="00796AB8">
      <w:pPr>
        <w:pStyle w:val="Heading2"/>
      </w:pPr>
      <w:bookmarkStart w:id="6" w:name="_Toc524106420"/>
      <w:r w:rsidRPr="00A934D5">
        <w:t>5.</w:t>
      </w:r>
      <w:r w:rsidRPr="00CC53B1">
        <w:t xml:space="preserve">5 ‘Public </w:t>
      </w:r>
      <w:r w:rsidRPr="0020461A">
        <w:t xml:space="preserve">Media Art’ </w:t>
      </w:r>
      <w:r w:rsidRPr="00F91432">
        <w:t xml:space="preserve">as </w:t>
      </w:r>
      <w:bookmarkEnd w:id="6"/>
      <w:r w:rsidRPr="00F6720E">
        <w:t>Politics</w:t>
      </w:r>
    </w:p>
    <w:p w14:paraId="630C7C8A" w14:textId="77777777" w:rsidR="00796AB8" w:rsidRPr="00D50C43" w:rsidRDefault="00796AB8" w:rsidP="00796AB8">
      <w:r w:rsidRPr="00D50C43">
        <w:t xml:space="preserve">The last </w:t>
      </w:r>
      <w:r w:rsidRPr="00442E07">
        <w:t>relevant</w:t>
      </w:r>
      <w:r w:rsidRPr="00D40CF0">
        <w:t xml:space="preserve"> topic emerging from the data set could be defi</w:t>
      </w:r>
      <w:r w:rsidRPr="0041636B">
        <w:t xml:space="preserve">ned as ‘public media art’. </w:t>
      </w:r>
      <w:r w:rsidRPr="00032C17">
        <w:t>T</w:t>
      </w:r>
      <w:r w:rsidRPr="00542C1B">
        <w:t xml:space="preserve">he theme </w:t>
      </w:r>
      <w:r w:rsidRPr="002F0E20">
        <w:rPr>
          <w:i/>
        </w:rPr>
        <w:t>Art</w:t>
      </w:r>
      <w:r w:rsidRPr="002F0E20">
        <w:t xml:space="preserve"> aggregated the concepts ‘art’, ‘media’, ‘music’, </w:t>
      </w:r>
      <w:proofErr w:type="spellStart"/>
      <w:r w:rsidRPr="002F0E20">
        <w:t>that</w:t>
      </w:r>
      <w:proofErr w:type="spellEnd"/>
      <w:r w:rsidRPr="002F0E20">
        <w:t xml:space="preserve"> </w:t>
      </w:r>
      <w:proofErr w:type="spellStart"/>
      <w:r w:rsidRPr="002F0E20">
        <w:t>is</w:t>
      </w:r>
      <w:proofErr w:type="spellEnd"/>
      <w:r w:rsidRPr="002F0E20">
        <w:t xml:space="preserve">, </w:t>
      </w:r>
      <w:proofErr w:type="spellStart"/>
      <w:r w:rsidRPr="002F0E20">
        <w:t>they</w:t>
      </w:r>
      <w:proofErr w:type="spellEnd"/>
      <w:r w:rsidRPr="002F0E20">
        <w:t xml:space="preserve"> co-</w:t>
      </w:r>
      <w:proofErr w:type="spellStart"/>
      <w:r w:rsidRPr="002F0E20">
        <w:t>occur</w:t>
      </w:r>
      <w:r w:rsidRPr="005D1F71">
        <w:t>ed</w:t>
      </w:r>
      <w:proofErr w:type="spellEnd"/>
      <w:r w:rsidRPr="005D1F71">
        <w:t xml:space="preserve"> in </w:t>
      </w:r>
      <w:proofErr w:type="spellStart"/>
      <w:r w:rsidRPr="005D1F71">
        <w:t>similar</w:t>
      </w:r>
      <w:proofErr w:type="spellEnd"/>
      <w:r w:rsidRPr="005D1F71">
        <w:t xml:space="preserve"> </w:t>
      </w:r>
      <w:proofErr w:type="spellStart"/>
      <w:r w:rsidRPr="005D1F71">
        <w:t>contexts</w:t>
      </w:r>
      <w:proofErr w:type="spellEnd"/>
      <w:r w:rsidRPr="005D1F71">
        <w:t>. ‘Media’ and ‘art’ co-</w:t>
      </w:r>
      <w:proofErr w:type="spellStart"/>
      <w:r w:rsidRPr="005D1F71">
        <w:t>occured</w:t>
      </w:r>
      <w:proofErr w:type="spellEnd"/>
      <w:r w:rsidRPr="005D1F71">
        <w:t xml:space="preserve"> </w:t>
      </w:r>
      <w:proofErr w:type="spellStart"/>
      <w:r w:rsidRPr="005D1F71">
        <w:t>often</w:t>
      </w:r>
      <w:proofErr w:type="spellEnd"/>
      <w:r w:rsidRPr="005D1F71">
        <w:t xml:space="preserve"> </w:t>
      </w:r>
      <w:proofErr w:type="spellStart"/>
      <w:r w:rsidRPr="005D1F71">
        <w:t>together</w:t>
      </w:r>
      <w:proofErr w:type="spellEnd"/>
      <w:r w:rsidRPr="005D1F71">
        <w:t xml:space="preserve">, </w:t>
      </w:r>
      <w:proofErr w:type="spellStart"/>
      <w:r w:rsidRPr="005D1F71">
        <w:t>especially</w:t>
      </w:r>
      <w:proofErr w:type="spellEnd"/>
      <w:r w:rsidRPr="005D1F71">
        <w:t xml:space="preserve"> in the expression ‘media art’. ‘</w:t>
      </w:r>
      <w:r w:rsidRPr="00337EEB">
        <w:t>Art’ and ‘music’ showed</w:t>
      </w:r>
      <w:r w:rsidRPr="004B42EE">
        <w:t xml:space="preserve"> a lower co-occurrence index. </w:t>
      </w:r>
      <w:r w:rsidRPr="0021572C">
        <w:t xml:space="preserve">‘Media’ and ‘music’ </w:t>
      </w:r>
      <w:proofErr w:type="spellStart"/>
      <w:r w:rsidRPr="0021572C">
        <w:t>never</w:t>
      </w:r>
      <w:proofErr w:type="spellEnd"/>
      <w:r w:rsidRPr="0021572C">
        <w:t xml:space="preserve"> </w:t>
      </w:r>
      <w:proofErr w:type="spellStart"/>
      <w:r w:rsidRPr="0021572C">
        <w:t>occured</w:t>
      </w:r>
      <w:proofErr w:type="spellEnd"/>
      <w:r w:rsidRPr="0021572C">
        <w:t xml:space="preserve"> </w:t>
      </w:r>
      <w:proofErr w:type="spellStart"/>
      <w:r w:rsidRPr="0021572C">
        <w:t>together</w:t>
      </w:r>
      <w:proofErr w:type="spellEnd"/>
      <w:r w:rsidRPr="0021572C">
        <w:t xml:space="preserve">. Looking at the temporal trend for the concept ‘art’, we can see that in 2005 and 2006 the </w:t>
      </w:r>
      <w:r w:rsidRPr="00671EF3">
        <w:t>applications dealt less with ‘art’ than in 2004 and 2007, relatively to the total amount of submissions from each year (Figure 14).</w:t>
      </w:r>
      <w:r w:rsidRPr="00D50C43">
        <w:rPr>
          <w:rStyle w:val="FootnoteReference"/>
        </w:rPr>
        <w:footnoteReference w:id="22"/>
      </w:r>
    </w:p>
    <w:p w14:paraId="0B3F86EB" w14:textId="77777777" w:rsidR="001C0BB2" w:rsidRDefault="001C0BB2" w:rsidP="00796AB8"/>
    <w:p w14:paraId="7112AC8C" w14:textId="1F279FE4" w:rsidR="00796AB8" w:rsidRPr="00D50C43" w:rsidRDefault="001C0BB2" w:rsidP="00796AB8">
      <w:r>
        <w:t>Figure14</w:t>
      </w:r>
    </w:p>
    <w:p w14:paraId="74725EB5" w14:textId="77777777" w:rsidR="00796AB8" w:rsidRPr="0041636B" w:rsidRDefault="00796AB8" w:rsidP="00796AB8">
      <w:r w:rsidRPr="00442E07">
        <w:t>Figure 1</w:t>
      </w:r>
      <w:r w:rsidRPr="00D40CF0">
        <w:t>4</w:t>
      </w:r>
      <w:r w:rsidRPr="0041636B">
        <w:t xml:space="preserve"> – Temporal trend for ‘art’</w:t>
      </w:r>
    </w:p>
    <w:p w14:paraId="62A83CAA" w14:textId="77777777" w:rsidR="00796AB8" w:rsidRPr="00032C17" w:rsidRDefault="00796AB8" w:rsidP="00796AB8"/>
    <w:p w14:paraId="6B2C29C9" w14:textId="77777777" w:rsidR="00796AB8" w:rsidRPr="00CA3AE8" w:rsidRDefault="00796AB8" w:rsidP="00796AB8">
      <w:r w:rsidRPr="00542C1B">
        <w:t>A similar trend wa</w:t>
      </w:r>
      <w:r w:rsidRPr="002F0E20">
        <w:t>s shown by the concept ‘media’: after a strong frequency in 2004, it decreased until 2007, when it re-gained importance (Figure 15)</w:t>
      </w:r>
      <w:r w:rsidRPr="005D1F71">
        <w:t>.</w:t>
      </w:r>
    </w:p>
    <w:p w14:paraId="0AE262B1" w14:textId="77777777" w:rsidR="001C0BB2" w:rsidRDefault="001C0BB2" w:rsidP="00796AB8"/>
    <w:p w14:paraId="184BF0AB" w14:textId="4D3BD189" w:rsidR="00796AB8" w:rsidRPr="00D50C43" w:rsidRDefault="001C0BB2" w:rsidP="00796AB8">
      <w:r>
        <w:t>Figure15</w:t>
      </w:r>
    </w:p>
    <w:p w14:paraId="345C9249" w14:textId="450AB1AE" w:rsidR="00796AB8" w:rsidRPr="00D40CF0" w:rsidRDefault="00796AB8" w:rsidP="00796AB8">
      <w:r w:rsidRPr="00442E07">
        <w:t>Figure 15</w:t>
      </w:r>
      <w:r>
        <w:t xml:space="preserve"> </w:t>
      </w:r>
      <w:r w:rsidRPr="00442E07">
        <w:t xml:space="preserve">– </w:t>
      </w:r>
      <w:proofErr w:type="spellStart"/>
      <w:r w:rsidRPr="00442E07">
        <w:t>Temporal</w:t>
      </w:r>
      <w:proofErr w:type="spellEnd"/>
      <w:r w:rsidRPr="00442E07">
        <w:t xml:space="preserve"> trend for ‘</w:t>
      </w:r>
      <w:r w:rsidRPr="00D40CF0">
        <w:t>media’</w:t>
      </w:r>
    </w:p>
    <w:p w14:paraId="5E64BCE8" w14:textId="77777777" w:rsidR="00796AB8" w:rsidRPr="0041636B" w:rsidRDefault="00796AB8" w:rsidP="00796AB8"/>
    <w:p w14:paraId="59AFE792" w14:textId="77777777" w:rsidR="00796AB8" w:rsidRPr="005D1F71" w:rsidRDefault="00796AB8" w:rsidP="00796AB8">
      <w:r w:rsidRPr="00032C17">
        <w:t>A</w:t>
      </w:r>
      <w:r w:rsidRPr="00542C1B">
        <w:t xml:space="preserve">mong the ten concepts most-frequently occurring with ‘art’, three </w:t>
      </w:r>
      <w:r w:rsidRPr="002F0E20">
        <w:t>were related to the type of medium (‘media’ in general, ‘online’, ‘digital’), three were attributes of art itself (‘international’, ‘open’, ‘public’), other three were</w:t>
      </w:r>
      <w:r w:rsidRPr="005D1F71">
        <w:t xml:space="preserve"> part of frequent expressions (‘cultural’, art-‘work’, art-‘world’) (Figure 16). The last one, ‘space’, was alternatively included into expressions like ‘public space’, ‘open space’, and ‘space of art’.</w:t>
      </w:r>
    </w:p>
    <w:p w14:paraId="4C53BD55" w14:textId="77777777" w:rsidR="00796AB8" w:rsidRPr="005D1F71" w:rsidRDefault="00796AB8" w:rsidP="00796AB8"/>
    <w:p w14:paraId="439331EE" w14:textId="675FD025" w:rsidR="00796AB8" w:rsidRPr="00D50C43" w:rsidRDefault="001C0BB2" w:rsidP="00796AB8">
      <w:r>
        <w:rPr>
          <w:noProof/>
          <w:lang w:eastAsia="nl-NL"/>
        </w:rPr>
        <w:t>Figure16</w:t>
      </w:r>
      <w:bookmarkStart w:id="7" w:name="_GoBack"/>
      <w:bookmarkEnd w:id="7"/>
    </w:p>
    <w:p w14:paraId="00EF5F51" w14:textId="77777777" w:rsidR="00796AB8" w:rsidRPr="0041636B" w:rsidRDefault="00796AB8" w:rsidP="00796AB8">
      <w:r w:rsidRPr="00442E07">
        <w:t xml:space="preserve">Figure </w:t>
      </w:r>
      <w:r w:rsidRPr="00D40CF0">
        <w:t>16</w:t>
      </w:r>
      <w:r w:rsidRPr="0041636B">
        <w:t xml:space="preserve"> – Co-occurrence map and concept list for ‘art’</w:t>
      </w:r>
    </w:p>
    <w:p w14:paraId="7A285075" w14:textId="77777777" w:rsidR="00796AB8" w:rsidRPr="00032C17" w:rsidRDefault="00796AB8" w:rsidP="00796AB8"/>
    <w:p w14:paraId="77A394E2" w14:textId="77777777" w:rsidR="00796AB8" w:rsidRPr="002F0E20" w:rsidRDefault="00796AB8" w:rsidP="00796AB8">
      <w:r w:rsidRPr="00032C17">
        <w:t>Browsi</w:t>
      </w:r>
      <w:r w:rsidRPr="00542C1B">
        <w:t>ng through textual excerpts</w:t>
      </w:r>
      <w:r w:rsidRPr="002F0E20">
        <w:t xml:space="preserve"> in more depth, three coherent narratives </w:t>
      </w:r>
      <w:proofErr w:type="spellStart"/>
      <w:r w:rsidRPr="002F0E20">
        <w:t>emerge</w:t>
      </w:r>
      <w:r w:rsidRPr="005D1F71">
        <w:t>d</w:t>
      </w:r>
      <w:proofErr w:type="spellEnd"/>
      <w:r w:rsidRPr="005D1F71">
        <w:t xml:space="preserve"> </w:t>
      </w:r>
      <w:proofErr w:type="spellStart"/>
      <w:r w:rsidRPr="005D1F71">
        <w:t>when</w:t>
      </w:r>
      <w:proofErr w:type="spellEnd"/>
      <w:r w:rsidRPr="005D1F71">
        <w:t xml:space="preserve"> ‘art’ co-</w:t>
      </w:r>
      <w:proofErr w:type="spellStart"/>
      <w:r w:rsidRPr="005D1F71">
        <w:t>occured</w:t>
      </w:r>
      <w:proofErr w:type="spellEnd"/>
      <w:r w:rsidRPr="005D1F71">
        <w:t xml:space="preserve"> with ‘public’ and ‘open’. T</w:t>
      </w:r>
      <w:r w:rsidRPr="00CA3AE8">
        <w:t>he first conceived of art as public because it uses public space as a creative medium, as the space of exhibition.</w:t>
      </w:r>
      <w:r w:rsidRPr="00D50C43">
        <w:t xml:space="preserve"> This wa</w:t>
      </w:r>
      <w:r w:rsidRPr="00442E07">
        <w:t>s the ca</w:t>
      </w:r>
      <w:r w:rsidRPr="00D40CF0">
        <w:t xml:space="preserve">se of </w:t>
      </w:r>
      <w:proofErr w:type="spellStart"/>
      <w:r w:rsidRPr="00D40CF0">
        <w:t>projects</w:t>
      </w:r>
      <w:proofErr w:type="spellEnd"/>
      <w:r w:rsidRPr="00D40CF0">
        <w:t xml:space="preserve"> </w:t>
      </w:r>
      <w:proofErr w:type="spellStart"/>
      <w:r w:rsidRPr="00D40CF0">
        <w:t>like</w:t>
      </w:r>
      <w:proofErr w:type="spellEnd"/>
      <w:r w:rsidRPr="00D40CF0">
        <w:t xml:space="preserve"> </w:t>
      </w:r>
      <w:proofErr w:type="spellStart"/>
      <w:r w:rsidRPr="0041636B">
        <w:rPr>
          <w:i/>
        </w:rPr>
        <w:t>Glowlab</w:t>
      </w:r>
      <w:proofErr w:type="spellEnd"/>
      <w:r w:rsidRPr="0041636B">
        <w:rPr>
          <w:i/>
        </w:rPr>
        <w:t xml:space="preserve"> </w:t>
      </w:r>
      <w:r w:rsidRPr="00032C17">
        <w:t xml:space="preserve">– </w:t>
      </w:r>
      <w:proofErr w:type="spellStart"/>
      <w:r w:rsidRPr="00032C17">
        <w:t>whose</w:t>
      </w:r>
      <w:proofErr w:type="spellEnd"/>
      <w:r w:rsidRPr="00032C17">
        <w:t xml:space="preserve"> work on psycho-geography deal</w:t>
      </w:r>
      <w:r w:rsidRPr="00542C1B">
        <w:t>t</w:t>
      </w:r>
      <w:r w:rsidRPr="002F0E20">
        <w:t xml:space="preserve"> specifically with urban spaces, and </w:t>
      </w:r>
      <w:r w:rsidRPr="002F0E20">
        <w:rPr>
          <w:i/>
        </w:rPr>
        <w:t>52weeks52works</w:t>
      </w:r>
      <w:r w:rsidRPr="002F0E20">
        <w:t xml:space="preserve"> – whose artworks were deployed in public spaces worldwide.</w:t>
      </w:r>
    </w:p>
    <w:p w14:paraId="59939B8F" w14:textId="77777777" w:rsidR="00796AB8" w:rsidRPr="002F0E20" w:rsidRDefault="00796AB8" w:rsidP="00796AB8"/>
    <w:p w14:paraId="0EC3A7BA" w14:textId="77777777" w:rsidR="00796AB8" w:rsidRPr="00032C17" w:rsidRDefault="00796AB8" w:rsidP="00796AB8">
      <w:r w:rsidRPr="005D1F71">
        <w:t>The second narrative stressed the r</w:t>
      </w:r>
      <w:r w:rsidRPr="00CA3AE8">
        <w:t>elationship between art and political engagement in social movements.</w:t>
      </w:r>
      <w:r w:rsidRPr="00D50C43">
        <w:t xml:space="preserve"> In the </w:t>
      </w:r>
      <w:proofErr w:type="spellStart"/>
      <w:r w:rsidRPr="00442E07">
        <w:rPr>
          <w:i/>
        </w:rPr>
        <w:t>REPUBLICart</w:t>
      </w:r>
      <w:proofErr w:type="spellEnd"/>
      <w:r w:rsidRPr="00442E07">
        <w:rPr>
          <w:i/>
        </w:rPr>
        <w:t xml:space="preserve"> </w:t>
      </w:r>
      <w:proofErr w:type="spellStart"/>
      <w:r w:rsidRPr="00D40CF0">
        <w:t>proje</w:t>
      </w:r>
      <w:r w:rsidRPr="0041636B">
        <w:t>ct</w:t>
      </w:r>
      <w:proofErr w:type="spellEnd"/>
      <w:r w:rsidRPr="0041636B">
        <w:t xml:space="preserve">, for </w:t>
      </w:r>
      <w:proofErr w:type="spellStart"/>
      <w:r w:rsidRPr="0041636B">
        <w:t>instance</w:t>
      </w:r>
      <w:proofErr w:type="spellEnd"/>
      <w:r w:rsidRPr="0041636B">
        <w:t>, ‘public art’ wa</w:t>
      </w:r>
      <w:r w:rsidRPr="00032C17">
        <w:t>s seen as retaining an organizational, theoretical and political role:</w:t>
      </w:r>
    </w:p>
    <w:p w14:paraId="030637D5" w14:textId="77777777" w:rsidR="00796AB8" w:rsidRPr="005D1F71" w:rsidRDefault="00796AB8" w:rsidP="00796AB8">
      <w:pPr>
        <w:pStyle w:val="Quote"/>
      </w:pPr>
      <w:r w:rsidRPr="00542C1B">
        <w:lastRenderedPageBreak/>
        <w:t xml:space="preserve">the art of res </w:t>
      </w:r>
      <w:proofErr w:type="spellStart"/>
      <w:r w:rsidRPr="00542C1B">
        <w:t>publica</w:t>
      </w:r>
      <w:proofErr w:type="spellEnd"/>
      <w:r w:rsidRPr="00542C1B">
        <w:t xml:space="preserve"> is about experimental forms of organizing, which develop in precarious micro-s</w:t>
      </w:r>
      <w:r w:rsidRPr="002F0E20">
        <w:t xml:space="preserve">ituations for a limited period of time, testing new modes of </w:t>
      </w:r>
      <w:proofErr w:type="spellStart"/>
      <w:r w:rsidRPr="002F0E20">
        <w:t>selforganization</w:t>
      </w:r>
      <w:proofErr w:type="spellEnd"/>
      <w:r w:rsidRPr="002F0E20">
        <w:t xml:space="preserve"> and interplays with other experiments. The "organizing function" of art (Walter Benjamin) creates new spaces in the overlapping zones of art practices, political activism and theory production. […] Joining the heterogeneous activities against economic globalization, the old forms of intervention art are being transformed and new ones are emerging. In the context of current political movements, art is becoming public again.</w:t>
      </w:r>
      <w:r w:rsidRPr="005D1F71">
        <w:rPr>
          <w:rStyle w:val="FootnoteReference"/>
        </w:rPr>
        <w:footnoteReference w:id="23"/>
      </w:r>
    </w:p>
    <w:p w14:paraId="20988EC4" w14:textId="77777777" w:rsidR="00796AB8" w:rsidRPr="00D50C43" w:rsidRDefault="00796AB8" w:rsidP="00796AB8">
      <w:r w:rsidRPr="00CA3AE8">
        <w:t>The third narrative related to open/public art focused on a process-oriented aesthetic. Here, ‘open art’ is about collaborative creation eluding copyright regimes:</w:t>
      </w:r>
    </w:p>
    <w:p w14:paraId="17A9CB60" w14:textId="77777777" w:rsidR="00796AB8" w:rsidRPr="002F0E20" w:rsidRDefault="00796AB8" w:rsidP="00796AB8">
      <w:pPr>
        <w:pStyle w:val="Quote"/>
      </w:pPr>
      <w:r w:rsidRPr="00442E07">
        <w:t xml:space="preserve">The whole basis for the experience is ‘intellectual generosity’, </w:t>
      </w:r>
      <w:r w:rsidRPr="00D40CF0">
        <w:t xml:space="preserve">the creation and supporting of an open environment for people to work on a project without being tied to any kind of restrictions of production created by the copyright. […] Our goal is </w:t>
      </w:r>
      <w:proofErr w:type="gramStart"/>
      <w:r w:rsidRPr="00D40CF0">
        <w:t>develop</w:t>
      </w:r>
      <w:proofErr w:type="gramEnd"/>
      <w:r w:rsidRPr="00D40CF0">
        <w:t xml:space="preserve"> open art, produced in a collaborative way, within workgroups s</w:t>
      </w:r>
      <w:r w:rsidRPr="0041636B">
        <w:t xml:space="preserve">pread all over the world. </w:t>
      </w:r>
      <w:r w:rsidRPr="002F0E20">
        <w:rPr>
          <w:rStyle w:val="FootnoteReference"/>
        </w:rPr>
        <w:footnoteReference w:id="24"/>
      </w:r>
    </w:p>
    <w:p w14:paraId="67EBE801" w14:textId="77777777" w:rsidR="00796AB8" w:rsidRPr="005D1F71" w:rsidRDefault="00796AB8" w:rsidP="00796AB8">
      <w:r w:rsidRPr="002F0E20">
        <w:t xml:space="preserve">Open art </w:t>
      </w:r>
      <w:r w:rsidRPr="005D1F71">
        <w:t>requires distributed learning and authorship. It is the response to the privatization of the Web and to the closure of the source code adopted by digital artists which followed the commodification of net-art:</w:t>
      </w:r>
    </w:p>
    <w:p w14:paraId="60306F2A" w14:textId="77777777" w:rsidR="00796AB8" w:rsidRPr="00032C17" w:rsidRDefault="00796AB8" w:rsidP="00A97EB3">
      <w:pPr>
        <w:pStyle w:val="Quote"/>
      </w:pPr>
      <w:r w:rsidRPr="005D1F71">
        <w:t>a number of prominent artists have been experimenting with models for selling digital art, and dealers who smell money are scrambling to help artists package work into closed, exclusive forms. While there's nothing wrong in principle with making money off art, in practice this pressure has led some artists to move toward formats where code is hidden from view and where access is controlled by private collectors or gated communities.</w:t>
      </w:r>
      <w:r w:rsidRPr="00D50C43">
        <w:rPr>
          <w:rStyle w:val="FootnoteReference"/>
        </w:rPr>
        <w:footnoteReference w:id="25"/>
      </w:r>
      <w:r w:rsidRPr="00D50C43">
        <w:t xml:space="preserve"> </w:t>
      </w:r>
    </w:p>
    <w:p w14:paraId="3D258150" w14:textId="77777777" w:rsidR="00796AB8" w:rsidRPr="005D1F71" w:rsidRDefault="00796AB8" w:rsidP="00A97EB3">
      <w:proofErr w:type="spellStart"/>
      <w:r w:rsidRPr="00542C1B">
        <w:t>According</w:t>
      </w:r>
      <w:proofErr w:type="spellEnd"/>
      <w:r w:rsidRPr="00542C1B">
        <w:t xml:space="preserve"> to </w:t>
      </w:r>
      <w:proofErr w:type="spellStart"/>
      <w:r w:rsidRPr="00542C1B">
        <w:t>this</w:t>
      </w:r>
      <w:proofErr w:type="spellEnd"/>
      <w:r w:rsidRPr="00542C1B">
        <w:t xml:space="preserve"> nar</w:t>
      </w:r>
      <w:r w:rsidRPr="002F0E20">
        <w:t xml:space="preserve">rative, </w:t>
      </w:r>
      <w:proofErr w:type="spellStart"/>
      <w:r w:rsidRPr="002F0E20">
        <w:t>while</w:t>
      </w:r>
      <w:proofErr w:type="spellEnd"/>
      <w:r w:rsidRPr="002F0E20">
        <w:t xml:space="preserve"> the </w:t>
      </w:r>
      <w:proofErr w:type="spellStart"/>
      <w:r w:rsidRPr="002F0E20">
        <w:t>blackboxing</w:t>
      </w:r>
      <w:proofErr w:type="spellEnd"/>
      <w:r w:rsidRPr="002F0E20">
        <w:t xml:space="preserve"> of code </w:t>
      </w:r>
      <w:proofErr w:type="spellStart"/>
      <w:r w:rsidRPr="002F0E20">
        <w:t>was</w:t>
      </w:r>
      <w:proofErr w:type="spellEnd"/>
      <w:r w:rsidRPr="002F0E20">
        <w:t xml:space="preserve"> to </w:t>
      </w:r>
      <w:proofErr w:type="spellStart"/>
      <w:r w:rsidRPr="002F0E20">
        <w:t>lead</w:t>
      </w:r>
      <w:proofErr w:type="spellEnd"/>
      <w:r w:rsidRPr="002F0E20">
        <w:t xml:space="preserve"> to the ‘</w:t>
      </w:r>
      <w:proofErr w:type="spellStart"/>
      <w:r w:rsidRPr="002F0E20">
        <w:t>elitarization</w:t>
      </w:r>
      <w:proofErr w:type="spellEnd"/>
      <w:r w:rsidRPr="002F0E20">
        <w:t xml:space="preserve">’ of </w:t>
      </w:r>
      <w:proofErr w:type="spellStart"/>
      <w:r w:rsidRPr="002F0E20">
        <w:t>digital</w:t>
      </w:r>
      <w:proofErr w:type="spellEnd"/>
      <w:r w:rsidRPr="002F0E20">
        <w:t xml:space="preserve"> media and the </w:t>
      </w:r>
      <w:proofErr w:type="spellStart"/>
      <w:r w:rsidRPr="002F0E20">
        <w:t>exclusion</w:t>
      </w:r>
      <w:proofErr w:type="spellEnd"/>
      <w:r w:rsidRPr="002F0E20">
        <w:t xml:space="preserve"> of the </w:t>
      </w:r>
      <w:proofErr w:type="spellStart"/>
      <w:r w:rsidRPr="002F0E20">
        <w:t>many</w:t>
      </w:r>
      <w:proofErr w:type="spellEnd"/>
      <w:r w:rsidRPr="002F0E20">
        <w:t xml:space="preserve"> from </w:t>
      </w:r>
      <w:proofErr w:type="spellStart"/>
      <w:r w:rsidRPr="002F0E20">
        <w:t>such</w:t>
      </w:r>
      <w:proofErr w:type="spellEnd"/>
      <w:r w:rsidRPr="002F0E20">
        <w:t xml:space="preserve"> </w:t>
      </w:r>
      <w:proofErr w:type="spellStart"/>
      <w:r w:rsidRPr="002F0E20">
        <w:t>practices</w:t>
      </w:r>
      <w:proofErr w:type="spellEnd"/>
      <w:r w:rsidRPr="002F0E20">
        <w:t xml:space="preserve">, the establishment of </w:t>
      </w:r>
      <w:proofErr w:type="spellStart"/>
      <w:r w:rsidRPr="002F0E20">
        <w:t>ethical</w:t>
      </w:r>
      <w:proofErr w:type="spellEnd"/>
      <w:r w:rsidRPr="002F0E20">
        <w:t xml:space="preserve"> </w:t>
      </w:r>
      <w:proofErr w:type="spellStart"/>
      <w:r w:rsidRPr="002F0E20">
        <w:t>procedures</w:t>
      </w:r>
      <w:proofErr w:type="spellEnd"/>
      <w:r w:rsidRPr="002F0E20">
        <w:t xml:space="preserve"> and the promotion of open </w:t>
      </w:r>
      <w:proofErr w:type="spellStart"/>
      <w:r w:rsidRPr="002F0E20">
        <w:t>standards</w:t>
      </w:r>
      <w:proofErr w:type="spellEnd"/>
      <w:r w:rsidRPr="002F0E20">
        <w:t xml:space="preserve"> </w:t>
      </w:r>
      <w:proofErr w:type="spellStart"/>
      <w:r w:rsidRPr="002F0E20">
        <w:t>initiated</w:t>
      </w:r>
      <w:proofErr w:type="spellEnd"/>
      <w:r w:rsidRPr="002F0E20">
        <w:t xml:space="preserve"> by the community of online </w:t>
      </w:r>
      <w:proofErr w:type="spellStart"/>
      <w:r w:rsidRPr="002F0E20">
        <w:t>ar</w:t>
      </w:r>
      <w:r w:rsidRPr="005D1F71">
        <w:t>tists</w:t>
      </w:r>
      <w:proofErr w:type="spellEnd"/>
      <w:r w:rsidRPr="005D1F71">
        <w:t xml:space="preserve"> </w:t>
      </w:r>
      <w:proofErr w:type="spellStart"/>
      <w:r w:rsidRPr="005D1F71">
        <w:t>was</w:t>
      </w:r>
      <w:proofErr w:type="spellEnd"/>
      <w:r w:rsidRPr="005D1F71">
        <w:t xml:space="preserve"> to </w:t>
      </w:r>
      <w:proofErr w:type="spellStart"/>
      <w:r w:rsidRPr="005D1F71">
        <w:t>empower</w:t>
      </w:r>
      <w:proofErr w:type="spellEnd"/>
      <w:r w:rsidRPr="005D1F71">
        <w:t xml:space="preserve"> </w:t>
      </w:r>
      <w:proofErr w:type="spellStart"/>
      <w:r w:rsidRPr="005D1F71">
        <w:t>individual</w:t>
      </w:r>
      <w:proofErr w:type="spellEnd"/>
      <w:r w:rsidRPr="005D1F71">
        <w:t xml:space="preserve"> </w:t>
      </w:r>
      <w:proofErr w:type="spellStart"/>
      <w:r w:rsidRPr="005D1F71">
        <w:t>artists</w:t>
      </w:r>
      <w:proofErr w:type="spellEnd"/>
      <w:r w:rsidRPr="005D1F71">
        <w:t>:</w:t>
      </w:r>
    </w:p>
    <w:p w14:paraId="62DEB8D8" w14:textId="77777777" w:rsidR="00796AB8" w:rsidRPr="00032C17" w:rsidRDefault="00796AB8" w:rsidP="00A97EB3">
      <w:pPr>
        <w:pStyle w:val="Quote"/>
      </w:pPr>
      <w:r w:rsidRPr="005D1F71">
        <w:t>the opportunity to create open yet enduring standards--and most important, a community ethic--offers creative individuals a chance to take control of their destiny and help shape the culture that nourishes them. The Open Art Network aims to empower artists working in digital formats by devising and promoting standards that encourage an open architecture for the Internet and digital media.</w:t>
      </w:r>
      <w:r w:rsidRPr="00D50C43">
        <w:rPr>
          <w:rStyle w:val="FootnoteReference"/>
        </w:rPr>
        <w:footnoteReference w:id="26"/>
      </w:r>
      <w:r w:rsidRPr="00D50C43">
        <w:t xml:space="preserve"> </w:t>
      </w:r>
    </w:p>
    <w:p w14:paraId="15662E0F" w14:textId="77777777" w:rsidR="00796AB8" w:rsidRPr="00D50C43" w:rsidRDefault="00796AB8" w:rsidP="00A97EB3">
      <w:r w:rsidRPr="00542C1B">
        <w:t xml:space="preserve">In </w:t>
      </w:r>
      <w:proofErr w:type="spellStart"/>
      <w:r w:rsidRPr="00542C1B">
        <w:t>such</w:t>
      </w:r>
      <w:proofErr w:type="spellEnd"/>
      <w:r w:rsidRPr="00542C1B">
        <w:t xml:space="preserve"> accounts</w:t>
      </w:r>
      <w:r w:rsidRPr="002F0E20">
        <w:t xml:space="preserve">, </w:t>
      </w:r>
      <w:proofErr w:type="spellStart"/>
      <w:r w:rsidRPr="002F0E20">
        <w:t>empowerment</w:t>
      </w:r>
      <w:proofErr w:type="spellEnd"/>
      <w:r w:rsidRPr="002F0E20">
        <w:t xml:space="preserve"> </w:t>
      </w:r>
      <w:proofErr w:type="spellStart"/>
      <w:r w:rsidRPr="002F0E20">
        <w:t>proceeds</w:t>
      </w:r>
      <w:proofErr w:type="spellEnd"/>
      <w:r w:rsidRPr="002F0E20">
        <w:t xml:space="preserve"> from the </w:t>
      </w:r>
      <w:proofErr w:type="spellStart"/>
      <w:r w:rsidRPr="002F0E20">
        <w:t>opportunity</w:t>
      </w:r>
      <w:proofErr w:type="spellEnd"/>
      <w:r w:rsidRPr="002F0E20">
        <w:t xml:space="preserve"> for single </w:t>
      </w:r>
      <w:proofErr w:type="spellStart"/>
      <w:r w:rsidRPr="002F0E20">
        <w:t>artists</w:t>
      </w:r>
      <w:proofErr w:type="spellEnd"/>
      <w:r w:rsidRPr="002F0E20">
        <w:t xml:space="preserve"> </w:t>
      </w:r>
      <w:proofErr w:type="spellStart"/>
      <w:r w:rsidRPr="002F0E20">
        <w:t>not</w:t>
      </w:r>
      <w:proofErr w:type="spellEnd"/>
      <w:r w:rsidRPr="002F0E20">
        <w:t xml:space="preserve"> </w:t>
      </w:r>
      <w:proofErr w:type="spellStart"/>
      <w:r w:rsidRPr="002F0E20">
        <w:t>only</w:t>
      </w:r>
      <w:proofErr w:type="spellEnd"/>
      <w:r w:rsidRPr="002F0E20">
        <w:t xml:space="preserve"> to </w:t>
      </w:r>
      <w:proofErr w:type="spellStart"/>
      <w:r w:rsidRPr="002F0E20">
        <w:t>consume</w:t>
      </w:r>
      <w:proofErr w:type="spellEnd"/>
      <w:r w:rsidRPr="002F0E20">
        <w:t xml:space="preserve"> </w:t>
      </w:r>
      <w:proofErr w:type="spellStart"/>
      <w:r w:rsidRPr="002F0E20">
        <w:t>each</w:t>
      </w:r>
      <w:proofErr w:type="spellEnd"/>
      <w:r w:rsidRPr="002F0E20">
        <w:t xml:space="preserve"> </w:t>
      </w:r>
      <w:proofErr w:type="spellStart"/>
      <w:r w:rsidRPr="002F0E20">
        <w:t>other's</w:t>
      </w:r>
      <w:proofErr w:type="spellEnd"/>
      <w:r w:rsidRPr="002F0E20">
        <w:t xml:space="preserve"> </w:t>
      </w:r>
      <w:proofErr w:type="spellStart"/>
      <w:r w:rsidRPr="002F0E20">
        <w:t>works</w:t>
      </w:r>
      <w:proofErr w:type="spellEnd"/>
      <w:r w:rsidRPr="002F0E20">
        <w:t xml:space="preserve">, </w:t>
      </w:r>
      <w:proofErr w:type="spellStart"/>
      <w:r w:rsidRPr="002F0E20">
        <w:t>but</w:t>
      </w:r>
      <w:proofErr w:type="spellEnd"/>
      <w:r w:rsidRPr="002F0E20">
        <w:t xml:space="preserve"> </w:t>
      </w:r>
      <w:proofErr w:type="spellStart"/>
      <w:r w:rsidRPr="002F0E20">
        <w:t>especially</w:t>
      </w:r>
      <w:proofErr w:type="spellEnd"/>
      <w:r w:rsidRPr="002F0E20">
        <w:t xml:space="preserve"> to </w:t>
      </w:r>
      <w:proofErr w:type="spellStart"/>
      <w:r w:rsidRPr="002F0E20">
        <w:t>mutually</w:t>
      </w:r>
      <w:proofErr w:type="spellEnd"/>
      <w:r w:rsidRPr="002F0E20">
        <w:t xml:space="preserve"> </w:t>
      </w:r>
      <w:proofErr w:type="spellStart"/>
      <w:r w:rsidRPr="002F0E20">
        <w:t>learn</w:t>
      </w:r>
      <w:proofErr w:type="spellEnd"/>
      <w:r w:rsidRPr="002F0E20">
        <w:t xml:space="preserve"> from </w:t>
      </w:r>
      <w:proofErr w:type="spellStart"/>
      <w:r w:rsidRPr="002F0E20">
        <w:t>each</w:t>
      </w:r>
      <w:proofErr w:type="spellEnd"/>
      <w:r w:rsidRPr="002F0E20">
        <w:t xml:space="preserve"> </w:t>
      </w:r>
      <w:proofErr w:type="spellStart"/>
      <w:r w:rsidRPr="002F0E20">
        <w:t>other's</w:t>
      </w:r>
      <w:proofErr w:type="spellEnd"/>
      <w:r w:rsidRPr="002F0E20">
        <w:t xml:space="preserve"> </w:t>
      </w:r>
      <w:r w:rsidRPr="002F0E20">
        <w:lastRenderedPageBreak/>
        <w:t xml:space="preserve">creative </w:t>
      </w:r>
      <w:proofErr w:type="spellStart"/>
      <w:r w:rsidRPr="002F0E20">
        <w:t>process</w:t>
      </w:r>
      <w:proofErr w:type="spellEnd"/>
      <w:r w:rsidRPr="002F0E20">
        <w:t xml:space="preserve">. </w:t>
      </w:r>
      <w:proofErr w:type="spellStart"/>
      <w:r w:rsidRPr="002F0E20">
        <w:t>This</w:t>
      </w:r>
      <w:proofErr w:type="spellEnd"/>
      <w:r w:rsidRPr="002F0E20">
        <w:t xml:space="preserve"> </w:t>
      </w:r>
      <w:proofErr w:type="spellStart"/>
      <w:r w:rsidRPr="002F0E20">
        <w:t>possibility</w:t>
      </w:r>
      <w:proofErr w:type="spellEnd"/>
      <w:r w:rsidRPr="002F0E20">
        <w:t xml:space="preserve"> </w:t>
      </w:r>
      <w:proofErr w:type="spellStart"/>
      <w:r w:rsidRPr="002F0E20">
        <w:t>is</w:t>
      </w:r>
      <w:proofErr w:type="spellEnd"/>
      <w:r w:rsidRPr="002F0E20">
        <w:t xml:space="preserve"> </w:t>
      </w:r>
      <w:proofErr w:type="spellStart"/>
      <w:r w:rsidRPr="002F0E20">
        <w:t>designed</w:t>
      </w:r>
      <w:proofErr w:type="spellEnd"/>
      <w:r w:rsidRPr="002F0E20">
        <w:t xml:space="preserve"> in </w:t>
      </w:r>
      <w:proofErr w:type="spellStart"/>
      <w:r w:rsidRPr="002F0E20">
        <w:t>specific</w:t>
      </w:r>
      <w:proofErr w:type="spellEnd"/>
      <w:r w:rsidRPr="002F0E20">
        <w:t xml:space="preserve"> </w:t>
      </w:r>
      <w:proofErr w:type="spellStart"/>
      <w:r w:rsidRPr="002F0E20">
        <w:t>type</w:t>
      </w:r>
      <w:proofErr w:type="spellEnd"/>
      <w:r w:rsidRPr="002F0E20">
        <w:t xml:space="preserve"> of </w:t>
      </w:r>
      <w:proofErr w:type="spellStart"/>
      <w:r w:rsidRPr="002F0E20">
        <w:t>artefacts</w:t>
      </w:r>
      <w:proofErr w:type="spellEnd"/>
      <w:r w:rsidRPr="002F0E20">
        <w:t xml:space="preserve">: </w:t>
      </w:r>
      <w:proofErr w:type="spellStart"/>
      <w:r w:rsidRPr="002F0E20">
        <w:t>access</w:t>
      </w:r>
      <w:proofErr w:type="spellEnd"/>
      <w:r w:rsidRPr="002F0E20">
        <w:t xml:space="preserve"> to </w:t>
      </w:r>
      <w:proofErr w:type="spellStart"/>
      <w:r w:rsidRPr="002F0E20">
        <w:t>mutual</w:t>
      </w:r>
      <w:proofErr w:type="spellEnd"/>
      <w:r w:rsidRPr="002F0E20">
        <w:t xml:space="preserve"> </w:t>
      </w:r>
      <w:proofErr w:type="spellStart"/>
      <w:r w:rsidRPr="002F0E20">
        <w:t>learning</w:t>
      </w:r>
      <w:proofErr w:type="spellEnd"/>
      <w:r w:rsidRPr="002F0E20">
        <w:t xml:space="preserve"> </w:t>
      </w:r>
      <w:proofErr w:type="spellStart"/>
      <w:r w:rsidRPr="002F0E20">
        <w:t>is</w:t>
      </w:r>
      <w:proofErr w:type="spellEnd"/>
      <w:r w:rsidRPr="002F0E20">
        <w:t xml:space="preserve"> </w:t>
      </w:r>
      <w:proofErr w:type="spellStart"/>
      <w:r w:rsidRPr="002F0E20">
        <w:t>assured</w:t>
      </w:r>
      <w:proofErr w:type="spellEnd"/>
      <w:r w:rsidRPr="002F0E20">
        <w:t xml:space="preserve"> by open </w:t>
      </w:r>
      <w:proofErr w:type="spellStart"/>
      <w:r w:rsidRPr="002F0E20">
        <w:t>sta</w:t>
      </w:r>
      <w:r w:rsidRPr="005D1F71">
        <w:t>ndards</w:t>
      </w:r>
      <w:proofErr w:type="spellEnd"/>
      <w:r w:rsidRPr="005D1F71">
        <w:t xml:space="preserve"> and </w:t>
      </w:r>
      <w:proofErr w:type="spellStart"/>
      <w:r w:rsidRPr="005D1F71">
        <w:t>procedures</w:t>
      </w:r>
      <w:proofErr w:type="spellEnd"/>
      <w:r w:rsidRPr="005D1F71">
        <w:t xml:space="preserve">. </w:t>
      </w:r>
      <w:proofErr w:type="spellStart"/>
      <w:r w:rsidRPr="005D1F71">
        <w:t>If</w:t>
      </w:r>
      <w:proofErr w:type="spellEnd"/>
      <w:r w:rsidRPr="005D1F71">
        <w:t xml:space="preserve"> </w:t>
      </w:r>
      <w:proofErr w:type="spellStart"/>
      <w:r w:rsidRPr="005D1F71">
        <w:t>we</w:t>
      </w:r>
      <w:proofErr w:type="spellEnd"/>
      <w:r w:rsidRPr="005D1F71">
        <w:t xml:space="preserve"> assume a </w:t>
      </w:r>
      <w:proofErr w:type="spellStart"/>
      <w:r w:rsidRPr="005D1F71">
        <w:t>definition</w:t>
      </w:r>
      <w:proofErr w:type="spellEnd"/>
      <w:r w:rsidRPr="005D1F71">
        <w:t xml:space="preserve"> of ‘the </w:t>
      </w:r>
      <w:proofErr w:type="spellStart"/>
      <w:r w:rsidRPr="005D1F71">
        <w:t>political</w:t>
      </w:r>
      <w:proofErr w:type="spellEnd"/>
      <w:r w:rsidRPr="005D1F71">
        <w:t xml:space="preserve">’ </w:t>
      </w:r>
      <w:proofErr w:type="spellStart"/>
      <w:r w:rsidRPr="005D1F71">
        <w:t>as</w:t>
      </w:r>
      <w:proofErr w:type="spellEnd"/>
      <w:r w:rsidRPr="005D1F71">
        <w:t xml:space="preserve"> </w:t>
      </w:r>
      <w:proofErr w:type="spellStart"/>
      <w:r w:rsidRPr="005D1F71">
        <w:t>both</w:t>
      </w:r>
      <w:proofErr w:type="spellEnd"/>
      <w:r w:rsidRPr="005D1F71">
        <w:t xml:space="preserve"> the </w:t>
      </w:r>
      <w:proofErr w:type="spellStart"/>
      <w:r w:rsidRPr="005D1F71">
        <w:t>procedures</w:t>
      </w:r>
      <w:proofErr w:type="spellEnd"/>
      <w:r w:rsidRPr="005D1F71">
        <w:t xml:space="preserve"> </w:t>
      </w:r>
      <w:proofErr w:type="spellStart"/>
      <w:r w:rsidRPr="005D1F71">
        <w:t>that</w:t>
      </w:r>
      <w:proofErr w:type="spellEnd"/>
      <w:r w:rsidRPr="005D1F71">
        <w:t xml:space="preserve"> </w:t>
      </w:r>
      <w:proofErr w:type="spellStart"/>
      <w:r w:rsidRPr="005D1F71">
        <w:t>allow</w:t>
      </w:r>
      <w:proofErr w:type="spellEnd"/>
      <w:r w:rsidRPr="005D1F71">
        <w:t xml:space="preserve"> the </w:t>
      </w:r>
      <w:proofErr w:type="spellStart"/>
      <w:r w:rsidRPr="005D1F71">
        <w:t>assembly</w:t>
      </w:r>
      <w:proofErr w:type="spellEnd"/>
      <w:r w:rsidRPr="005D1F71">
        <w:t xml:space="preserve"> to </w:t>
      </w:r>
      <w:proofErr w:type="spellStart"/>
      <w:r w:rsidRPr="005D1F71">
        <w:t>gather</w:t>
      </w:r>
      <w:proofErr w:type="spellEnd"/>
      <w:r w:rsidRPr="005D1F71">
        <w:t xml:space="preserve"> </w:t>
      </w:r>
      <w:proofErr w:type="spellStart"/>
      <w:r w:rsidRPr="00337EEB">
        <w:t>as</w:t>
      </w:r>
      <w:proofErr w:type="spellEnd"/>
      <w:r w:rsidRPr="00337EEB">
        <w:t xml:space="preserve"> </w:t>
      </w:r>
      <w:proofErr w:type="spellStart"/>
      <w:r w:rsidRPr="00337EEB">
        <w:t>well</w:t>
      </w:r>
      <w:proofErr w:type="spellEnd"/>
      <w:r w:rsidRPr="00337EEB">
        <w:t xml:space="preserve"> </w:t>
      </w:r>
      <w:proofErr w:type="spellStart"/>
      <w:r w:rsidRPr="00337EEB">
        <w:t>as</w:t>
      </w:r>
      <w:proofErr w:type="spellEnd"/>
      <w:r w:rsidRPr="00337EEB">
        <w:t xml:space="preserve"> the </w:t>
      </w:r>
      <w:proofErr w:type="spellStart"/>
      <w:r w:rsidRPr="00337EEB">
        <w:t>matter</w:t>
      </w:r>
      <w:proofErr w:type="spellEnd"/>
      <w:r w:rsidRPr="00337EEB">
        <w:t xml:space="preserve"> of </w:t>
      </w:r>
      <w:proofErr w:type="spellStart"/>
      <w:r w:rsidRPr="00337EEB">
        <w:t>concern</w:t>
      </w:r>
      <w:proofErr w:type="spellEnd"/>
      <w:r w:rsidRPr="00337EEB">
        <w:t xml:space="preserve"> </w:t>
      </w:r>
      <w:proofErr w:type="spellStart"/>
      <w:r w:rsidRPr="00337EEB">
        <w:t>that</w:t>
      </w:r>
      <w:proofErr w:type="spellEnd"/>
      <w:r w:rsidRPr="00337EEB">
        <w:t xml:space="preserve"> </w:t>
      </w:r>
      <w:proofErr w:type="spellStart"/>
      <w:r w:rsidRPr="00337EEB">
        <w:t>has</w:t>
      </w:r>
      <w:proofErr w:type="spellEnd"/>
      <w:r w:rsidRPr="00337EEB">
        <w:t xml:space="preserve"> to be </w:t>
      </w:r>
      <w:proofErr w:type="spellStart"/>
      <w:r w:rsidRPr="00337EEB">
        <w:t>discussed</w:t>
      </w:r>
      <w:proofErr w:type="spellEnd"/>
      <w:r w:rsidRPr="00337EEB">
        <w:t xml:space="preserve"> in the </w:t>
      </w:r>
      <w:proofErr w:type="spellStart"/>
      <w:r w:rsidRPr="00337EEB">
        <w:t>assembly</w:t>
      </w:r>
      <w:proofErr w:type="spellEnd"/>
      <w:r w:rsidRPr="004B42EE">
        <w:t xml:space="preserve">, </w:t>
      </w:r>
      <w:r w:rsidRPr="0021572C">
        <w:t xml:space="preserve">in </w:t>
      </w:r>
      <w:proofErr w:type="spellStart"/>
      <w:r w:rsidRPr="0021572C">
        <w:t>this</w:t>
      </w:r>
      <w:proofErr w:type="spellEnd"/>
      <w:r w:rsidRPr="0021572C">
        <w:t xml:space="preserve"> </w:t>
      </w:r>
      <w:proofErr w:type="spellStart"/>
      <w:r w:rsidRPr="0021572C">
        <w:t>third</w:t>
      </w:r>
      <w:proofErr w:type="spellEnd"/>
      <w:r w:rsidRPr="0021572C">
        <w:t xml:space="preserve"> </w:t>
      </w:r>
      <w:proofErr w:type="spellStart"/>
      <w:r w:rsidRPr="0021572C">
        <w:t>meaning</w:t>
      </w:r>
      <w:proofErr w:type="spellEnd"/>
      <w:r w:rsidRPr="0021572C">
        <w:t xml:space="preserve"> ‘open art’ </w:t>
      </w:r>
      <w:proofErr w:type="spellStart"/>
      <w:r w:rsidRPr="0021572C">
        <w:t>is</w:t>
      </w:r>
      <w:proofErr w:type="spellEnd"/>
      <w:r w:rsidRPr="0021572C">
        <w:t xml:space="preserve"> </w:t>
      </w:r>
      <w:proofErr w:type="spellStart"/>
      <w:r w:rsidRPr="0021572C">
        <w:t>eminently</w:t>
      </w:r>
      <w:proofErr w:type="spellEnd"/>
      <w:r w:rsidRPr="0021572C">
        <w:t xml:space="preserve"> </w:t>
      </w:r>
      <w:proofErr w:type="spellStart"/>
      <w:r w:rsidRPr="0021572C">
        <w:t>political</w:t>
      </w:r>
      <w:proofErr w:type="spellEnd"/>
      <w:r w:rsidRPr="0021572C">
        <w:t xml:space="preserve">, </w:t>
      </w:r>
      <w:proofErr w:type="spellStart"/>
      <w:r w:rsidRPr="0021572C">
        <w:t>since</w:t>
      </w:r>
      <w:proofErr w:type="spellEnd"/>
      <w:r w:rsidRPr="0021572C">
        <w:t xml:space="preserve"> </w:t>
      </w:r>
      <w:proofErr w:type="spellStart"/>
      <w:r w:rsidRPr="0021572C">
        <w:t>it</w:t>
      </w:r>
      <w:proofErr w:type="spellEnd"/>
      <w:r w:rsidRPr="0021572C">
        <w:t xml:space="preserve"> </w:t>
      </w:r>
      <w:proofErr w:type="spellStart"/>
      <w:r w:rsidRPr="0021572C">
        <w:t>aims</w:t>
      </w:r>
      <w:proofErr w:type="spellEnd"/>
      <w:r w:rsidRPr="0021572C">
        <w:t xml:space="preserve"> </w:t>
      </w:r>
      <w:proofErr w:type="spellStart"/>
      <w:r w:rsidRPr="0021572C">
        <w:t>at</w:t>
      </w:r>
      <w:proofErr w:type="spellEnd"/>
      <w:r w:rsidRPr="0021572C">
        <w:t xml:space="preserve"> </w:t>
      </w:r>
      <w:proofErr w:type="spellStart"/>
      <w:r w:rsidRPr="0021572C">
        <w:t>setting</w:t>
      </w:r>
      <w:proofErr w:type="spellEnd"/>
      <w:r w:rsidRPr="0021572C">
        <w:t xml:space="preserve"> the </w:t>
      </w:r>
      <w:proofErr w:type="spellStart"/>
      <w:r w:rsidRPr="0021572C">
        <w:t>standards</w:t>
      </w:r>
      <w:proofErr w:type="spellEnd"/>
      <w:r w:rsidRPr="0021572C">
        <w:t xml:space="preserve"> </w:t>
      </w:r>
      <w:proofErr w:type="spellStart"/>
      <w:r w:rsidRPr="0021572C">
        <w:t>whereby</w:t>
      </w:r>
      <w:proofErr w:type="spellEnd"/>
      <w:r w:rsidRPr="0021572C">
        <w:t xml:space="preserve"> an </w:t>
      </w:r>
      <w:proofErr w:type="spellStart"/>
      <w:r w:rsidRPr="0021572C">
        <w:t>assembly</w:t>
      </w:r>
      <w:proofErr w:type="spellEnd"/>
      <w:r w:rsidRPr="0021572C">
        <w:t xml:space="preserve"> </w:t>
      </w:r>
      <w:proofErr w:type="spellStart"/>
      <w:r w:rsidRPr="0021572C">
        <w:t>may</w:t>
      </w:r>
      <w:proofErr w:type="spellEnd"/>
      <w:r w:rsidRPr="0021572C">
        <w:t xml:space="preserve"> </w:t>
      </w:r>
      <w:proofErr w:type="spellStart"/>
      <w:r w:rsidRPr="0021572C">
        <w:t>constitute</w:t>
      </w:r>
      <w:proofErr w:type="spellEnd"/>
      <w:r w:rsidRPr="0021572C">
        <w:t>.</w:t>
      </w:r>
      <w:r w:rsidRPr="00D50C43">
        <w:rPr>
          <w:rStyle w:val="FootnoteReference"/>
        </w:rPr>
        <w:footnoteReference w:id="27"/>
      </w:r>
      <w:r w:rsidRPr="00D50C43">
        <w:t xml:space="preserve"> </w:t>
      </w:r>
    </w:p>
    <w:p w14:paraId="0C01A508" w14:textId="77777777" w:rsidR="00796AB8" w:rsidRPr="00442E07" w:rsidRDefault="00796AB8" w:rsidP="00796AB8">
      <w:pPr>
        <w:pStyle w:val="CorpodeltestotesiNisa"/>
      </w:pPr>
    </w:p>
    <w:p w14:paraId="3624E47F" w14:textId="7996C3F2" w:rsidR="00796AB8" w:rsidRDefault="00796AB8" w:rsidP="00A97EB3">
      <w:r w:rsidRPr="00D40CF0">
        <w:t>I</w:t>
      </w:r>
      <w:r w:rsidRPr="00CA3AE8">
        <w:t xml:space="preserve">n </w:t>
      </w:r>
      <w:proofErr w:type="spellStart"/>
      <w:r w:rsidRPr="00CA3AE8">
        <w:t>summary</w:t>
      </w:r>
      <w:proofErr w:type="spellEnd"/>
      <w:r w:rsidRPr="00CA3AE8">
        <w:t xml:space="preserve">, in the Digital Communities data set, art retains major relevance, albeit declining. Evidence confirms that the aesthetic interest that constituted one of the major </w:t>
      </w:r>
      <w:proofErr w:type="spellStart"/>
      <w:r w:rsidRPr="00CA3AE8">
        <w:t>thrusts</w:t>
      </w:r>
      <w:proofErr w:type="spellEnd"/>
      <w:r w:rsidRPr="00CA3AE8">
        <w:t xml:space="preserve"> for </w:t>
      </w:r>
      <w:proofErr w:type="spellStart"/>
      <w:r w:rsidRPr="00CA3AE8">
        <w:t>digital</w:t>
      </w:r>
      <w:proofErr w:type="spellEnd"/>
      <w:r w:rsidRPr="00CA3AE8">
        <w:t xml:space="preserve"> </w:t>
      </w:r>
      <w:proofErr w:type="spellStart"/>
      <w:r w:rsidRPr="00CA3AE8">
        <w:t>communitarianisms</w:t>
      </w:r>
      <w:proofErr w:type="spellEnd"/>
      <w:r w:rsidRPr="00CA3AE8">
        <w:t xml:space="preserve"> in the 1990s (see section 1.3) maintained it</w:t>
      </w:r>
      <w:r>
        <w:t>s</w:t>
      </w:r>
      <w:r w:rsidRPr="00CA3AE8">
        <w:t xml:space="preserve"> relevance for online sociability until 2007. Art has also kept an explicit political function as an opportunity for the empowerment of individuals through mutual learning. As such, it continues the tradition of individualistic empowerment á la Rheingold, while combining the decentralizing, self-organized efforts which characterized the 1990s’ net art and </w:t>
      </w:r>
      <w:proofErr w:type="spellStart"/>
      <w:r w:rsidRPr="00CA3AE8">
        <w:t>mediactivism</w:t>
      </w:r>
      <w:proofErr w:type="spellEnd"/>
      <w:r w:rsidRPr="00CA3AE8">
        <w:t xml:space="preserve"> </w:t>
      </w:r>
      <w:proofErr w:type="spellStart"/>
      <w:r w:rsidRPr="00CA3AE8">
        <w:t>cultures</w:t>
      </w:r>
      <w:proofErr w:type="spellEnd"/>
      <w:r w:rsidRPr="00CA3AE8">
        <w:t>.</w:t>
      </w:r>
    </w:p>
    <w:p w14:paraId="27E80E88" w14:textId="77777777" w:rsidR="00A97EB3" w:rsidRPr="00442E07" w:rsidRDefault="00A97EB3" w:rsidP="00A97EB3"/>
    <w:p w14:paraId="405EA5A4" w14:textId="77777777" w:rsidR="00796AB8" w:rsidRPr="00D50C43" w:rsidRDefault="00796AB8" w:rsidP="00A97EB3">
      <w:r w:rsidRPr="00442E07">
        <w:t xml:space="preserve">At </w:t>
      </w:r>
      <w:proofErr w:type="spellStart"/>
      <w:r w:rsidRPr="00442E07">
        <w:t>this</w:t>
      </w:r>
      <w:proofErr w:type="spellEnd"/>
      <w:r w:rsidRPr="00442E07">
        <w:t xml:space="preserve"> </w:t>
      </w:r>
      <w:proofErr w:type="spellStart"/>
      <w:r w:rsidRPr="00442E07">
        <w:t>point</w:t>
      </w:r>
      <w:proofErr w:type="spellEnd"/>
      <w:r w:rsidRPr="00442E07">
        <w:t xml:space="preserve"> of the </w:t>
      </w:r>
      <w:r w:rsidRPr="00D40CF0">
        <w:t>book</w:t>
      </w:r>
      <w:r w:rsidRPr="0041636B">
        <w:t xml:space="preserve">, </w:t>
      </w:r>
      <w:r w:rsidRPr="00CA3AE8">
        <w:t xml:space="preserve">we have successfully attempted the tricky task of identifying relevant topics and narratives in the data set without postulating actors and theories of action. This shows the validity of our initial intuition </w:t>
      </w:r>
      <w:r>
        <w:t xml:space="preserve">about </w:t>
      </w:r>
      <w:r w:rsidRPr="00CA3AE8">
        <w:t>not rush</w:t>
      </w:r>
      <w:r>
        <w:t>ing</w:t>
      </w:r>
      <w:r w:rsidRPr="00CA3AE8">
        <w:t xml:space="preserve"> to conclusions about the </w:t>
      </w:r>
      <w:r w:rsidRPr="00CA3AE8">
        <w:rPr>
          <w:rStyle w:val="gt-card-ttl-txt"/>
        </w:rPr>
        <w:t>disappearance of online communities but to conduct empirical investigation about the conditions under which they can nowadays be re-conceptualized. Notably,</w:t>
      </w:r>
      <w:r w:rsidRPr="00D50C43">
        <w:t xml:space="preserve"> </w:t>
      </w:r>
      <w:r w:rsidRPr="00CA3AE8">
        <w:rPr>
          <w:rStyle w:val="gt-card-ttl-txt"/>
        </w:rPr>
        <w:t>when the early rhetoric about ‘online communities’ is dropped – i.e., when the concept is not ‘sown’ for analysis, n</w:t>
      </w:r>
      <w:r w:rsidRPr="00CA3AE8">
        <w:t xml:space="preserve">arratives enlighten theories of action that account for peculiar roles of </w:t>
      </w:r>
      <w:r w:rsidRPr="00CA3AE8">
        <w:rPr>
          <w:rStyle w:val="gt-card-ttl-txt"/>
        </w:rPr>
        <w:t>artefacts as mediators of human relations</w:t>
      </w:r>
      <w:r w:rsidRPr="00CA3AE8">
        <w:t>. In the next chapter we shall focus on some of these theories in more depth.</w:t>
      </w:r>
    </w:p>
    <w:p w14:paraId="0A0565B0" w14:textId="77777777" w:rsidR="00796AB8" w:rsidRPr="00442E07" w:rsidRDefault="00796AB8" w:rsidP="00796AB8">
      <w:pPr>
        <w:pStyle w:val="CorpodeltestotesiNisa"/>
      </w:pPr>
    </w:p>
    <w:p w14:paraId="6A191C96" w14:textId="77777777" w:rsidR="00934E5A" w:rsidRDefault="00B177C9" w:rsidP="00796AB8"/>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3F7C1" w14:textId="77777777" w:rsidR="00B177C9" w:rsidRDefault="00B177C9" w:rsidP="00796AB8">
      <w:r>
        <w:separator/>
      </w:r>
    </w:p>
  </w:endnote>
  <w:endnote w:type="continuationSeparator" w:id="0">
    <w:p w14:paraId="0DCE9AB4" w14:textId="77777777" w:rsidR="00B177C9" w:rsidRDefault="00B177C9" w:rsidP="00796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7A961" w14:textId="77777777" w:rsidR="00B177C9" w:rsidRDefault="00B177C9" w:rsidP="00796AB8">
      <w:r>
        <w:separator/>
      </w:r>
    </w:p>
  </w:footnote>
  <w:footnote w:type="continuationSeparator" w:id="0">
    <w:p w14:paraId="4E24A990" w14:textId="77777777" w:rsidR="00B177C9" w:rsidRDefault="00B177C9" w:rsidP="00796AB8">
      <w:r>
        <w:continuationSeparator/>
      </w:r>
    </w:p>
  </w:footnote>
  <w:footnote w:id="1">
    <w:p w14:paraId="6C5B6FF6"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Given the steps ahead – and in parallel – in the performativity debate, during the revision for the 2018 edition the author has deemed appropriate to update the original manuscript with more recent, key references. </w:t>
      </w:r>
    </w:p>
    <w:p w14:paraId="0AE32B7A" w14:textId="77777777" w:rsidR="00796AB8" w:rsidRPr="00A97EB3" w:rsidRDefault="00796AB8" w:rsidP="00A97EB3">
      <w:pPr>
        <w:pStyle w:val="FootnoteText"/>
        <w:spacing w:line="240" w:lineRule="auto"/>
        <w:rPr>
          <w:szCs w:val="20"/>
        </w:rPr>
      </w:pPr>
    </w:p>
  </w:footnote>
  <w:footnote w:id="2">
    <w:p w14:paraId="4807AB94" w14:textId="77777777" w:rsidR="00796AB8" w:rsidRPr="00A97EB3" w:rsidRDefault="00796AB8" w:rsidP="00A97EB3">
      <w:pPr>
        <w:pStyle w:val="BibliografiatesiNisa"/>
        <w:spacing w:line="240" w:lineRule="auto"/>
        <w:rPr>
          <w:sz w:val="20"/>
          <w:szCs w:val="20"/>
        </w:rPr>
      </w:pPr>
      <w:r w:rsidRPr="00A97EB3">
        <w:rPr>
          <w:rStyle w:val="FootnoteReference"/>
          <w:rFonts w:cs="Arial"/>
          <w:sz w:val="20"/>
          <w:szCs w:val="20"/>
        </w:rPr>
        <w:footnoteRef/>
      </w:r>
      <w:r w:rsidRPr="00A97EB3">
        <w:rPr>
          <w:sz w:val="20"/>
          <w:szCs w:val="20"/>
        </w:rPr>
        <w:t xml:space="preserve"> Note to the 2018 Edition. J. Butler, ‘Performative Agency’, </w:t>
      </w:r>
      <w:r w:rsidRPr="00A97EB3">
        <w:rPr>
          <w:i/>
          <w:sz w:val="20"/>
          <w:szCs w:val="20"/>
        </w:rPr>
        <w:t>Journal of Cultural Economy</w:t>
      </w:r>
      <w:r w:rsidRPr="00A97EB3">
        <w:rPr>
          <w:sz w:val="20"/>
          <w:szCs w:val="20"/>
        </w:rPr>
        <w:t xml:space="preserve"> 3.2 (2010): 147-161; M. </w:t>
      </w:r>
      <w:proofErr w:type="spellStart"/>
      <w:r w:rsidRPr="00A97EB3">
        <w:rPr>
          <w:sz w:val="20"/>
          <w:szCs w:val="20"/>
        </w:rPr>
        <w:t>Callon</w:t>
      </w:r>
      <w:proofErr w:type="spellEnd"/>
      <w:r w:rsidRPr="00A97EB3">
        <w:rPr>
          <w:sz w:val="20"/>
          <w:szCs w:val="20"/>
        </w:rPr>
        <w:t xml:space="preserve">, ‘Performativity, Misfires and Politics’, </w:t>
      </w:r>
      <w:r w:rsidRPr="00A97EB3">
        <w:rPr>
          <w:i/>
          <w:sz w:val="20"/>
          <w:szCs w:val="20"/>
        </w:rPr>
        <w:t>Journal of Cultural Economy</w:t>
      </w:r>
      <w:r w:rsidRPr="00A97EB3">
        <w:rPr>
          <w:sz w:val="20"/>
          <w:szCs w:val="20"/>
        </w:rPr>
        <w:t xml:space="preserve"> 3.2 (2010): 163-169.</w:t>
      </w:r>
    </w:p>
    <w:p w14:paraId="694E38CF" w14:textId="77777777" w:rsidR="00796AB8" w:rsidRPr="00A97EB3" w:rsidRDefault="00796AB8" w:rsidP="00A97EB3">
      <w:pPr>
        <w:pStyle w:val="BibliografiatesiNisa"/>
        <w:spacing w:line="240" w:lineRule="auto"/>
        <w:rPr>
          <w:sz w:val="20"/>
          <w:szCs w:val="20"/>
        </w:rPr>
      </w:pPr>
    </w:p>
    <w:p w14:paraId="78E65A8D" w14:textId="77777777" w:rsidR="00796AB8" w:rsidRPr="00A97EB3" w:rsidRDefault="00796AB8" w:rsidP="00A97EB3">
      <w:pPr>
        <w:pStyle w:val="FootnoteText"/>
        <w:spacing w:line="240" w:lineRule="auto"/>
        <w:rPr>
          <w:szCs w:val="20"/>
        </w:rPr>
      </w:pPr>
    </w:p>
  </w:footnote>
  <w:footnote w:id="3">
    <w:p w14:paraId="382CCF01"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See Table 8 in Annex C. Key settings are emphasized in italics.</w:t>
      </w:r>
    </w:p>
    <w:p w14:paraId="2A0E35E7" w14:textId="77777777" w:rsidR="00796AB8" w:rsidRPr="00A97EB3" w:rsidRDefault="00796AB8" w:rsidP="00A97EB3">
      <w:pPr>
        <w:pStyle w:val="FootnoteText"/>
        <w:spacing w:line="240" w:lineRule="auto"/>
        <w:rPr>
          <w:szCs w:val="20"/>
        </w:rPr>
      </w:pPr>
    </w:p>
  </w:footnote>
  <w:footnote w:id="4">
    <w:p w14:paraId="7E369EE7"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Resulting concepts are also listed in Table 9 – Annex C.</w:t>
      </w:r>
    </w:p>
    <w:p w14:paraId="107B08C5" w14:textId="77777777" w:rsidR="00796AB8" w:rsidRPr="00A97EB3" w:rsidRDefault="00796AB8" w:rsidP="00A97EB3">
      <w:pPr>
        <w:pStyle w:val="FootnoteText"/>
        <w:spacing w:line="240" w:lineRule="auto"/>
        <w:rPr>
          <w:szCs w:val="20"/>
        </w:rPr>
      </w:pPr>
    </w:p>
  </w:footnote>
  <w:footnote w:id="5">
    <w:p w14:paraId="5B0C22FD"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My aim is not to </w:t>
      </w:r>
      <w:proofErr w:type="gramStart"/>
      <w:r w:rsidRPr="00A97EB3">
        <w:rPr>
          <w:szCs w:val="20"/>
        </w:rPr>
        <w:t xml:space="preserve">give an </w:t>
      </w:r>
      <w:r w:rsidRPr="00A97EB3">
        <w:rPr>
          <w:i/>
          <w:szCs w:val="20"/>
        </w:rPr>
        <w:t>explanation</w:t>
      </w:r>
      <w:r w:rsidRPr="00A97EB3">
        <w:rPr>
          <w:szCs w:val="20"/>
        </w:rPr>
        <w:t xml:space="preserve"> of</w:t>
      </w:r>
      <w:proofErr w:type="gramEnd"/>
      <w:r w:rsidRPr="00A97EB3">
        <w:rPr>
          <w:szCs w:val="20"/>
        </w:rPr>
        <w:t xml:space="preserve"> these results, but to </w:t>
      </w:r>
      <w:r w:rsidRPr="00A97EB3">
        <w:rPr>
          <w:i/>
          <w:szCs w:val="20"/>
        </w:rPr>
        <w:t>describe</w:t>
      </w:r>
      <w:r w:rsidRPr="00A97EB3">
        <w:rPr>
          <w:szCs w:val="20"/>
        </w:rPr>
        <w:t xml:space="preserve"> the variations in the elements that constitute one or more aggregates. Indeed, this book’s approach is not about providing a further theory about why social actors act in a certain way, but about tracing the minute shifts in meaning left behind by activities of group formation. As a consequence, the definition of ‘significant’ as ‘having a particular meaning’ (Oxford Dictionary) is the most precise: meaning is given exactly by the shifts in the elements that move from one association into another one. </w:t>
      </w:r>
    </w:p>
    <w:p w14:paraId="7BA7314D" w14:textId="77777777" w:rsidR="00796AB8" w:rsidRPr="00A97EB3" w:rsidRDefault="00796AB8" w:rsidP="00A97EB3">
      <w:pPr>
        <w:pStyle w:val="FootnoteText"/>
        <w:spacing w:line="240" w:lineRule="auto"/>
        <w:rPr>
          <w:szCs w:val="20"/>
        </w:rPr>
      </w:pPr>
    </w:p>
  </w:footnote>
  <w:footnote w:id="6">
    <w:p w14:paraId="581B5EAB"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Actually, in the previous analysis in chapter 4 ‘tool’ was the only concept referring to technological artefacts. </w:t>
      </w:r>
    </w:p>
  </w:footnote>
  <w:footnote w:id="7">
    <w:p w14:paraId="2D0B9E2A" w14:textId="77777777" w:rsidR="00796AB8" w:rsidRPr="00A97EB3" w:rsidRDefault="00796AB8" w:rsidP="00A97EB3">
      <w:pPr>
        <w:pStyle w:val="FootnoteText"/>
        <w:spacing w:line="240" w:lineRule="auto"/>
        <w:rPr>
          <w:szCs w:val="20"/>
          <w:lang w:val="en-US"/>
        </w:rPr>
      </w:pPr>
      <w:r w:rsidRPr="00A97EB3">
        <w:rPr>
          <w:rStyle w:val="FootnoteReference"/>
          <w:rFonts w:cs="Arial"/>
          <w:szCs w:val="20"/>
        </w:rPr>
        <w:footnoteRef/>
      </w:r>
      <w:r w:rsidRPr="00A97EB3">
        <w:rPr>
          <w:szCs w:val="20"/>
        </w:rPr>
        <w:t xml:space="preserve"> Mobile Internet-Educational Unit on Boats submission, 2004.</w:t>
      </w:r>
    </w:p>
  </w:footnote>
  <w:footnote w:id="8">
    <w:p w14:paraId="31BF7525" w14:textId="77777777" w:rsidR="00796AB8" w:rsidRPr="007C6C20" w:rsidRDefault="00796AB8" w:rsidP="007C6C20">
      <w:pPr>
        <w:rPr>
          <w:sz w:val="20"/>
        </w:rPr>
      </w:pPr>
      <w:r w:rsidRPr="007C6C20">
        <w:rPr>
          <w:rStyle w:val="FootnoteReference"/>
          <w:rFonts w:cs="Arial"/>
          <w:sz w:val="20"/>
        </w:rPr>
        <w:footnoteRef/>
      </w:r>
      <w:r w:rsidRPr="007C6C20">
        <w:rPr>
          <w:sz w:val="20"/>
        </w:rPr>
        <w:t xml:space="preserve"> This is the </w:t>
      </w:r>
      <w:proofErr w:type="spellStart"/>
      <w:r w:rsidRPr="007C6C20">
        <w:rPr>
          <w:sz w:val="20"/>
        </w:rPr>
        <w:t>crucial</w:t>
      </w:r>
      <w:proofErr w:type="spellEnd"/>
      <w:r w:rsidRPr="007C6C20">
        <w:rPr>
          <w:sz w:val="20"/>
        </w:rPr>
        <w:t xml:space="preserve"> </w:t>
      </w:r>
      <w:proofErr w:type="spellStart"/>
      <w:r w:rsidRPr="007C6C20">
        <w:rPr>
          <w:sz w:val="20"/>
        </w:rPr>
        <w:t>insight</w:t>
      </w:r>
      <w:proofErr w:type="spellEnd"/>
      <w:r w:rsidRPr="007C6C20">
        <w:rPr>
          <w:sz w:val="20"/>
        </w:rPr>
        <w:t xml:space="preserve"> of </w:t>
      </w:r>
      <w:proofErr w:type="spellStart"/>
      <w:r w:rsidRPr="007C6C20">
        <w:rPr>
          <w:sz w:val="20"/>
        </w:rPr>
        <w:t>net.art</w:t>
      </w:r>
      <w:proofErr w:type="spellEnd"/>
      <w:r w:rsidRPr="007C6C20">
        <w:rPr>
          <w:sz w:val="20"/>
        </w:rPr>
        <w:t xml:space="preserve">, software art and hacker practices (see section 1.3). I wish to </w:t>
      </w:r>
      <w:proofErr w:type="spellStart"/>
      <w:r w:rsidRPr="007C6C20">
        <w:rPr>
          <w:sz w:val="20"/>
        </w:rPr>
        <w:t>thank</w:t>
      </w:r>
      <w:proofErr w:type="spellEnd"/>
      <w:r w:rsidRPr="007C6C20">
        <w:rPr>
          <w:sz w:val="20"/>
        </w:rPr>
        <w:t xml:space="preserve"> Tatiana </w:t>
      </w:r>
      <w:proofErr w:type="spellStart"/>
      <w:r w:rsidRPr="007C6C20">
        <w:rPr>
          <w:sz w:val="20"/>
        </w:rPr>
        <w:t>Bazzichelli</w:t>
      </w:r>
      <w:proofErr w:type="spellEnd"/>
      <w:r w:rsidRPr="007C6C20">
        <w:rPr>
          <w:sz w:val="20"/>
        </w:rPr>
        <w:t xml:space="preserve"> for the </w:t>
      </w:r>
      <w:proofErr w:type="spellStart"/>
      <w:r w:rsidRPr="007C6C20">
        <w:rPr>
          <w:sz w:val="20"/>
        </w:rPr>
        <w:t>stimulating</w:t>
      </w:r>
      <w:proofErr w:type="spellEnd"/>
      <w:r w:rsidRPr="007C6C20">
        <w:rPr>
          <w:sz w:val="20"/>
        </w:rPr>
        <w:t xml:space="preserve"> discussions about this issue. ANT provides a further access to this approach by going back to the semantic root of the word ‘thing’ </w:t>
      </w:r>
      <w:proofErr w:type="spellStart"/>
      <w:r w:rsidRPr="007C6C20">
        <w:rPr>
          <w:sz w:val="20"/>
        </w:rPr>
        <w:t>as</w:t>
      </w:r>
      <w:proofErr w:type="spellEnd"/>
      <w:r w:rsidRPr="007C6C20">
        <w:rPr>
          <w:sz w:val="20"/>
        </w:rPr>
        <w:t xml:space="preserve"> ‘</w:t>
      </w:r>
      <w:proofErr w:type="spellStart"/>
      <w:r w:rsidRPr="007C6C20">
        <w:rPr>
          <w:sz w:val="20"/>
        </w:rPr>
        <w:t>assembly</w:t>
      </w:r>
      <w:proofErr w:type="spellEnd"/>
      <w:r w:rsidRPr="007C6C20">
        <w:rPr>
          <w:sz w:val="20"/>
        </w:rPr>
        <w:t xml:space="preserve">’: ‘long </w:t>
      </w:r>
      <w:proofErr w:type="spellStart"/>
      <w:r w:rsidRPr="007C6C20">
        <w:rPr>
          <w:sz w:val="20"/>
        </w:rPr>
        <w:t>before</w:t>
      </w:r>
      <w:proofErr w:type="spellEnd"/>
      <w:r w:rsidRPr="007C6C20">
        <w:rPr>
          <w:sz w:val="20"/>
        </w:rPr>
        <w:t xml:space="preserve"> </w:t>
      </w:r>
      <w:proofErr w:type="spellStart"/>
      <w:r w:rsidRPr="007C6C20">
        <w:rPr>
          <w:sz w:val="20"/>
        </w:rPr>
        <w:t>designating</w:t>
      </w:r>
      <w:proofErr w:type="spellEnd"/>
      <w:r w:rsidRPr="007C6C20">
        <w:rPr>
          <w:sz w:val="20"/>
        </w:rPr>
        <w:t xml:space="preserve"> an </w:t>
      </w:r>
      <w:proofErr w:type="spellStart"/>
      <w:r w:rsidRPr="007C6C20">
        <w:rPr>
          <w:sz w:val="20"/>
        </w:rPr>
        <w:t>object</w:t>
      </w:r>
      <w:proofErr w:type="spellEnd"/>
      <w:r w:rsidRPr="007C6C20">
        <w:rPr>
          <w:sz w:val="20"/>
        </w:rPr>
        <w:t xml:space="preserve"> </w:t>
      </w:r>
      <w:proofErr w:type="spellStart"/>
      <w:r w:rsidRPr="007C6C20">
        <w:rPr>
          <w:sz w:val="20"/>
        </w:rPr>
        <w:t>thrown</w:t>
      </w:r>
      <w:proofErr w:type="spellEnd"/>
      <w:r w:rsidRPr="007C6C20">
        <w:rPr>
          <w:sz w:val="20"/>
        </w:rPr>
        <w:t xml:space="preserve"> out of the </w:t>
      </w:r>
      <w:proofErr w:type="spellStart"/>
      <w:r w:rsidRPr="007C6C20">
        <w:rPr>
          <w:sz w:val="20"/>
        </w:rPr>
        <w:t>political</w:t>
      </w:r>
      <w:proofErr w:type="spellEnd"/>
      <w:r w:rsidRPr="007C6C20">
        <w:rPr>
          <w:sz w:val="20"/>
        </w:rPr>
        <w:t xml:space="preserve"> </w:t>
      </w:r>
      <w:proofErr w:type="spellStart"/>
      <w:r w:rsidRPr="007C6C20">
        <w:rPr>
          <w:sz w:val="20"/>
        </w:rPr>
        <w:t>sphere</w:t>
      </w:r>
      <w:proofErr w:type="spellEnd"/>
      <w:r w:rsidRPr="007C6C20">
        <w:rPr>
          <w:sz w:val="20"/>
        </w:rPr>
        <w:t xml:space="preserve"> and standing </w:t>
      </w:r>
      <w:proofErr w:type="spellStart"/>
      <w:r w:rsidRPr="007C6C20">
        <w:rPr>
          <w:sz w:val="20"/>
        </w:rPr>
        <w:t>there</w:t>
      </w:r>
      <w:proofErr w:type="spellEnd"/>
      <w:r w:rsidRPr="007C6C20">
        <w:rPr>
          <w:sz w:val="20"/>
        </w:rPr>
        <w:t xml:space="preserve"> </w:t>
      </w:r>
      <w:proofErr w:type="spellStart"/>
      <w:r w:rsidRPr="007C6C20">
        <w:rPr>
          <w:sz w:val="20"/>
        </w:rPr>
        <w:t>objectively</w:t>
      </w:r>
      <w:proofErr w:type="spellEnd"/>
      <w:r w:rsidRPr="007C6C20">
        <w:rPr>
          <w:sz w:val="20"/>
        </w:rPr>
        <w:t xml:space="preserve"> and </w:t>
      </w:r>
      <w:proofErr w:type="spellStart"/>
      <w:r w:rsidRPr="007C6C20">
        <w:rPr>
          <w:sz w:val="20"/>
        </w:rPr>
        <w:t>independently</w:t>
      </w:r>
      <w:proofErr w:type="spellEnd"/>
      <w:r w:rsidRPr="007C6C20">
        <w:rPr>
          <w:sz w:val="20"/>
        </w:rPr>
        <w:t xml:space="preserve">, the </w:t>
      </w:r>
      <w:proofErr w:type="spellStart"/>
      <w:r w:rsidRPr="007C6C20">
        <w:rPr>
          <w:i/>
          <w:sz w:val="20"/>
        </w:rPr>
        <w:t>Ding</w:t>
      </w:r>
      <w:proofErr w:type="spellEnd"/>
      <w:r w:rsidRPr="007C6C20">
        <w:rPr>
          <w:i/>
          <w:sz w:val="20"/>
        </w:rPr>
        <w:t xml:space="preserve"> </w:t>
      </w:r>
      <w:r w:rsidRPr="007C6C20">
        <w:rPr>
          <w:sz w:val="20"/>
        </w:rPr>
        <w:t xml:space="preserve">or </w:t>
      </w:r>
      <w:proofErr w:type="spellStart"/>
      <w:r w:rsidRPr="007C6C20">
        <w:rPr>
          <w:sz w:val="20"/>
        </w:rPr>
        <w:t>Thing</w:t>
      </w:r>
      <w:proofErr w:type="spellEnd"/>
      <w:r w:rsidRPr="007C6C20">
        <w:rPr>
          <w:sz w:val="20"/>
        </w:rPr>
        <w:t xml:space="preserve"> </w:t>
      </w:r>
      <w:proofErr w:type="spellStart"/>
      <w:r w:rsidRPr="007C6C20">
        <w:rPr>
          <w:sz w:val="20"/>
        </w:rPr>
        <w:t>has</w:t>
      </w:r>
      <w:proofErr w:type="spellEnd"/>
      <w:r w:rsidRPr="007C6C20">
        <w:rPr>
          <w:sz w:val="20"/>
        </w:rPr>
        <w:t xml:space="preserve"> for </w:t>
      </w:r>
      <w:proofErr w:type="spellStart"/>
      <w:r w:rsidRPr="007C6C20">
        <w:rPr>
          <w:sz w:val="20"/>
        </w:rPr>
        <w:t>many</w:t>
      </w:r>
      <w:proofErr w:type="spellEnd"/>
      <w:r w:rsidRPr="007C6C20">
        <w:rPr>
          <w:sz w:val="20"/>
        </w:rPr>
        <w:t xml:space="preserve"> </w:t>
      </w:r>
      <w:proofErr w:type="spellStart"/>
      <w:r w:rsidRPr="007C6C20">
        <w:rPr>
          <w:sz w:val="20"/>
        </w:rPr>
        <w:t>centuries</w:t>
      </w:r>
      <w:proofErr w:type="spellEnd"/>
      <w:r w:rsidRPr="007C6C20">
        <w:rPr>
          <w:sz w:val="20"/>
        </w:rPr>
        <w:t xml:space="preserve"> </w:t>
      </w:r>
      <w:proofErr w:type="spellStart"/>
      <w:r w:rsidRPr="007C6C20">
        <w:rPr>
          <w:sz w:val="20"/>
        </w:rPr>
        <w:t>meant</w:t>
      </w:r>
      <w:proofErr w:type="spellEnd"/>
      <w:r w:rsidRPr="007C6C20">
        <w:rPr>
          <w:sz w:val="20"/>
        </w:rPr>
        <w:t xml:space="preserve"> the </w:t>
      </w:r>
      <w:proofErr w:type="spellStart"/>
      <w:r w:rsidRPr="007C6C20">
        <w:rPr>
          <w:sz w:val="20"/>
        </w:rPr>
        <w:t>issue</w:t>
      </w:r>
      <w:proofErr w:type="spellEnd"/>
      <w:r w:rsidRPr="007C6C20">
        <w:rPr>
          <w:sz w:val="20"/>
        </w:rPr>
        <w:t xml:space="preserve"> </w:t>
      </w:r>
      <w:proofErr w:type="spellStart"/>
      <w:r w:rsidRPr="007C6C20">
        <w:rPr>
          <w:sz w:val="20"/>
        </w:rPr>
        <w:t>that</w:t>
      </w:r>
      <w:proofErr w:type="spellEnd"/>
      <w:r w:rsidRPr="007C6C20">
        <w:rPr>
          <w:sz w:val="20"/>
        </w:rPr>
        <w:t xml:space="preserve"> </w:t>
      </w:r>
      <w:proofErr w:type="spellStart"/>
      <w:r w:rsidRPr="007C6C20">
        <w:rPr>
          <w:sz w:val="20"/>
        </w:rPr>
        <w:t>brings</w:t>
      </w:r>
      <w:proofErr w:type="spellEnd"/>
      <w:r w:rsidRPr="007C6C20">
        <w:rPr>
          <w:sz w:val="20"/>
        </w:rPr>
        <w:t xml:space="preserve"> </w:t>
      </w:r>
      <w:proofErr w:type="spellStart"/>
      <w:r w:rsidRPr="007C6C20">
        <w:rPr>
          <w:sz w:val="20"/>
        </w:rPr>
        <w:t>people</w:t>
      </w:r>
      <w:proofErr w:type="spellEnd"/>
      <w:r w:rsidRPr="007C6C20">
        <w:rPr>
          <w:sz w:val="20"/>
        </w:rPr>
        <w:t xml:space="preserve"> </w:t>
      </w:r>
      <w:proofErr w:type="spellStart"/>
      <w:r w:rsidRPr="007C6C20">
        <w:rPr>
          <w:sz w:val="20"/>
        </w:rPr>
        <w:t>together</w:t>
      </w:r>
      <w:proofErr w:type="spellEnd"/>
      <w:r w:rsidRPr="007C6C20">
        <w:rPr>
          <w:sz w:val="20"/>
        </w:rPr>
        <w:t xml:space="preserve"> </w:t>
      </w:r>
      <w:proofErr w:type="spellStart"/>
      <w:r w:rsidRPr="007C6C20">
        <w:rPr>
          <w:i/>
          <w:sz w:val="20"/>
        </w:rPr>
        <w:t>because</w:t>
      </w:r>
      <w:proofErr w:type="spellEnd"/>
      <w:r w:rsidRPr="007C6C20">
        <w:rPr>
          <w:i/>
          <w:sz w:val="20"/>
        </w:rPr>
        <w:t xml:space="preserve"> </w:t>
      </w:r>
      <w:proofErr w:type="spellStart"/>
      <w:r w:rsidRPr="007C6C20">
        <w:rPr>
          <w:sz w:val="20"/>
        </w:rPr>
        <w:t>it</w:t>
      </w:r>
      <w:proofErr w:type="spellEnd"/>
      <w:r w:rsidRPr="007C6C20">
        <w:rPr>
          <w:sz w:val="20"/>
        </w:rPr>
        <w:t xml:space="preserve"> </w:t>
      </w:r>
      <w:proofErr w:type="spellStart"/>
      <w:r w:rsidRPr="007C6C20">
        <w:rPr>
          <w:sz w:val="20"/>
        </w:rPr>
        <w:t>divides</w:t>
      </w:r>
      <w:proofErr w:type="spellEnd"/>
      <w:r w:rsidRPr="007C6C20">
        <w:rPr>
          <w:sz w:val="20"/>
        </w:rPr>
        <w:t xml:space="preserve"> </w:t>
      </w:r>
      <w:proofErr w:type="spellStart"/>
      <w:r w:rsidRPr="007C6C20">
        <w:rPr>
          <w:sz w:val="20"/>
        </w:rPr>
        <w:t>them</w:t>
      </w:r>
      <w:proofErr w:type="spellEnd"/>
      <w:r w:rsidRPr="007C6C20">
        <w:rPr>
          <w:sz w:val="20"/>
        </w:rPr>
        <w:t xml:space="preserve">. […] The </w:t>
      </w:r>
      <w:r w:rsidRPr="007C6C20">
        <w:rPr>
          <w:i/>
          <w:sz w:val="20"/>
        </w:rPr>
        <w:t xml:space="preserve">Ding </w:t>
      </w:r>
      <w:r w:rsidRPr="007C6C20">
        <w:rPr>
          <w:sz w:val="20"/>
        </w:rPr>
        <w:t xml:space="preserve">designates both those who assemble because they are concerned as well as what causes their </w:t>
      </w:r>
      <w:proofErr w:type="spellStart"/>
      <w:r w:rsidRPr="007C6C20">
        <w:rPr>
          <w:sz w:val="20"/>
        </w:rPr>
        <w:t>concerns</w:t>
      </w:r>
      <w:proofErr w:type="spellEnd"/>
      <w:r w:rsidRPr="007C6C20">
        <w:rPr>
          <w:sz w:val="20"/>
        </w:rPr>
        <w:t xml:space="preserve"> and </w:t>
      </w:r>
      <w:proofErr w:type="spellStart"/>
      <w:r w:rsidRPr="007C6C20">
        <w:rPr>
          <w:sz w:val="20"/>
        </w:rPr>
        <w:t>divisions</w:t>
      </w:r>
      <w:proofErr w:type="spellEnd"/>
      <w:r w:rsidRPr="007C6C20">
        <w:rPr>
          <w:sz w:val="20"/>
        </w:rPr>
        <w:t xml:space="preserve">.’ </w:t>
      </w:r>
      <w:proofErr w:type="spellStart"/>
      <w:r w:rsidRPr="007C6C20">
        <w:rPr>
          <w:sz w:val="20"/>
        </w:rPr>
        <w:t>Latour</w:t>
      </w:r>
      <w:proofErr w:type="spellEnd"/>
      <w:r w:rsidRPr="007C6C20">
        <w:rPr>
          <w:sz w:val="20"/>
        </w:rPr>
        <w:t xml:space="preserve">, ‘From Realpolitik to </w:t>
      </w:r>
      <w:proofErr w:type="spellStart"/>
      <w:r w:rsidRPr="007C6C20">
        <w:rPr>
          <w:sz w:val="20"/>
        </w:rPr>
        <w:t>Dingpolitik</w:t>
      </w:r>
      <w:proofErr w:type="spellEnd"/>
      <w:r w:rsidRPr="007C6C20">
        <w:rPr>
          <w:sz w:val="20"/>
        </w:rPr>
        <w:t xml:space="preserve">’, p. 13, </w:t>
      </w:r>
      <w:r w:rsidRPr="007C6C20">
        <w:rPr>
          <w:i/>
          <w:sz w:val="20"/>
        </w:rPr>
        <w:t>italics in the text</w:t>
      </w:r>
      <w:r w:rsidRPr="007C6C20">
        <w:rPr>
          <w:sz w:val="20"/>
        </w:rPr>
        <w:t>). According to ANT, ‘social’ means ‘collective’ and things (also digital artefacts) are ‘social’ because they are ‘assemblies’, ‘gatherings’.</w:t>
      </w:r>
    </w:p>
    <w:p w14:paraId="18FDD5A6" w14:textId="77777777" w:rsidR="00796AB8" w:rsidRPr="007C6C20" w:rsidRDefault="00796AB8" w:rsidP="007C6C20">
      <w:pPr>
        <w:rPr>
          <w:sz w:val="20"/>
        </w:rPr>
      </w:pPr>
    </w:p>
  </w:footnote>
  <w:footnote w:id="9">
    <w:p w14:paraId="5CFA0689" w14:textId="77777777" w:rsidR="00796AB8" w:rsidRPr="007C6C20" w:rsidRDefault="00796AB8" w:rsidP="007C6C20">
      <w:pPr>
        <w:rPr>
          <w:sz w:val="20"/>
        </w:rPr>
      </w:pPr>
      <w:r w:rsidRPr="007C6C20">
        <w:rPr>
          <w:rStyle w:val="FootnoteReference"/>
          <w:rFonts w:cs="Arial"/>
          <w:sz w:val="20"/>
        </w:rPr>
        <w:footnoteRef/>
      </w:r>
      <w:r w:rsidRPr="007C6C20">
        <w:rPr>
          <w:sz w:val="20"/>
        </w:rPr>
        <w:t xml:space="preserve"> </w:t>
      </w:r>
      <w:r w:rsidRPr="007C6C20">
        <w:rPr>
          <w:i/>
          <w:sz w:val="20"/>
        </w:rPr>
        <w:t xml:space="preserve">Spring-alpha </w:t>
      </w:r>
      <w:r w:rsidRPr="007C6C20">
        <w:rPr>
          <w:sz w:val="20"/>
        </w:rPr>
        <w:t>submission, 2004.</w:t>
      </w:r>
    </w:p>
    <w:p w14:paraId="7ED9AFAD" w14:textId="77777777" w:rsidR="00796AB8" w:rsidRPr="007C6C20" w:rsidRDefault="00796AB8" w:rsidP="007C6C20">
      <w:pPr>
        <w:rPr>
          <w:sz w:val="20"/>
        </w:rPr>
      </w:pPr>
    </w:p>
  </w:footnote>
  <w:footnote w:id="10">
    <w:p w14:paraId="00356DFF" w14:textId="77777777" w:rsidR="00796AB8" w:rsidRPr="007C6C20" w:rsidRDefault="00796AB8" w:rsidP="007C6C20">
      <w:pPr>
        <w:rPr>
          <w:sz w:val="20"/>
        </w:rPr>
      </w:pPr>
      <w:r w:rsidRPr="007C6C20">
        <w:rPr>
          <w:rStyle w:val="FootnoteReference"/>
          <w:rFonts w:cs="Arial"/>
          <w:sz w:val="20"/>
        </w:rPr>
        <w:footnoteRef/>
      </w:r>
      <w:r w:rsidRPr="007C6C20">
        <w:rPr>
          <w:sz w:val="20"/>
        </w:rPr>
        <w:t xml:space="preserve"> </w:t>
      </w:r>
      <w:r w:rsidRPr="007C6C20">
        <w:rPr>
          <w:i/>
          <w:sz w:val="20"/>
        </w:rPr>
        <w:t>[</w:t>
      </w:r>
      <w:proofErr w:type="spellStart"/>
      <w:proofErr w:type="gramStart"/>
      <w:r w:rsidRPr="007C6C20">
        <w:rPr>
          <w:i/>
          <w:sz w:val="20"/>
        </w:rPr>
        <w:t>meme.garden</w:t>
      </w:r>
      <w:proofErr w:type="spellEnd"/>
      <w:proofErr w:type="gramEnd"/>
      <w:r w:rsidRPr="007C6C20">
        <w:rPr>
          <w:i/>
          <w:sz w:val="20"/>
        </w:rPr>
        <w:t xml:space="preserve">] </w:t>
      </w:r>
      <w:proofErr w:type="spellStart"/>
      <w:r w:rsidRPr="007C6C20">
        <w:rPr>
          <w:sz w:val="20"/>
        </w:rPr>
        <w:t>submission</w:t>
      </w:r>
      <w:proofErr w:type="spellEnd"/>
      <w:r w:rsidRPr="007C6C20">
        <w:rPr>
          <w:sz w:val="20"/>
        </w:rPr>
        <w:t>, 2007.</w:t>
      </w:r>
    </w:p>
    <w:p w14:paraId="1CC983B7" w14:textId="77777777" w:rsidR="00796AB8" w:rsidRPr="00A97EB3" w:rsidRDefault="00796AB8" w:rsidP="00A97EB3">
      <w:pPr>
        <w:pStyle w:val="FootnoteText"/>
        <w:spacing w:line="240" w:lineRule="auto"/>
        <w:rPr>
          <w:szCs w:val="20"/>
        </w:rPr>
      </w:pPr>
    </w:p>
  </w:footnote>
  <w:footnote w:id="11">
    <w:p w14:paraId="79CEC02C" w14:textId="77777777" w:rsidR="00796AB8" w:rsidRPr="00A97EB3" w:rsidRDefault="00796AB8" w:rsidP="00A97EB3">
      <w:pPr>
        <w:pStyle w:val="FootnoteText"/>
        <w:spacing w:line="240" w:lineRule="auto"/>
        <w:rPr>
          <w:szCs w:val="20"/>
        </w:rPr>
      </w:pPr>
      <w:r w:rsidRPr="00A97EB3">
        <w:rPr>
          <w:rStyle w:val="FootnoteReference"/>
          <w:szCs w:val="20"/>
        </w:rPr>
        <w:footnoteRef/>
      </w:r>
      <w:r w:rsidRPr="00A97EB3">
        <w:rPr>
          <w:szCs w:val="20"/>
        </w:rPr>
        <w:t xml:space="preserve"> </w:t>
      </w:r>
      <w:proofErr w:type="spellStart"/>
      <w:r w:rsidRPr="00A97EB3">
        <w:rPr>
          <w:i/>
          <w:szCs w:val="20"/>
        </w:rPr>
        <w:t>Barnraiser</w:t>
      </w:r>
      <w:proofErr w:type="spellEnd"/>
      <w:r w:rsidRPr="00A97EB3">
        <w:rPr>
          <w:szCs w:val="20"/>
        </w:rPr>
        <w:t xml:space="preserve"> submission, 2005.</w:t>
      </w:r>
    </w:p>
  </w:footnote>
  <w:footnote w:id="12">
    <w:p w14:paraId="5DFCDC08" w14:textId="20BA924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World-Information.org submission, 2006</w:t>
      </w:r>
    </w:p>
  </w:footnote>
  <w:footnote w:id="13">
    <w:p w14:paraId="48920A34" w14:textId="77777777" w:rsidR="00796AB8" w:rsidRPr="00A97EB3" w:rsidRDefault="00796AB8" w:rsidP="00A97EB3">
      <w:pPr>
        <w:pStyle w:val="BibliografiatesiNisa"/>
        <w:spacing w:line="240" w:lineRule="auto"/>
        <w:rPr>
          <w:sz w:val="20"/>
          <w:szCs w:val="20"/>
        </w:rPr>
      </w:pPr>
      <w:r w:rsidRPr="00A97EB3">
        <w:rPr>
          <w:rStyle w:val="FootnoteReference"/>
          <w:rFonts w:cs="Arial"/>
          <w:sz w:val="20"/>
          <w:szCs w:val="20"/>
        </w:rPr>
        <w:footnoteRef/>
      </w:r>
      <w:r w:rsidRPr="00A97EB3">
        <w:rPr>
          <w:rFonts w:cs="Arial"/>
          <w:sz w:val="20"/>
          <w:szCs w:val="20"/>
        </w:rPr>
        <w:t xml:space="preserve"> </w:t>
      </w:r>
      <w:r w:rsidRPr="00A97EB3">
        <w:rPr>
          <w:sz w:val="20"/>
          <w:szCs w:val="20"/>
        </w:rPr>
        <w:t xml:space="preserve">J. Nielsen, </w:t>
      </w:r>
      <w:r w:rsidRPr="00A97EB3">
        <w:rPr>
          <w:i/>
          <w:sz w:val="20"/>
          <w:szCs w:val="20"/>
        </w:rPr>
        <w:t>Designing Web Usability</w:t>
      </w:r>
      <w:r w:rsidRPr="00A97EB3">
        <w:rPr>
          <w:sz w:val="20"/>
          <w:szCs w:val="20"/>
        </w:rPr>
        <w:t xml:space="preserve">, Indianapolis: New Riders, 1999; </w:t>
      </w:r>
    </w:p>
    <w:p w14:paraId="259E4AED" w14:textId="77777777" w:rsidR="00796AB8" w:rsidRPr="00A97EB3" w:rsidRDefault="00796AB8" w:rsidP="00A97EB3">
      <w:pPr>
        <w:pStyle w:val="BibliografiatesiNisa"/>
        <w:spacing w:line="240" w:lineRule="auto"/>
        <w:rPr>
          <w:sz w:val="20"/>
          <w:szCs w:val="20"/>
        </w:rPr>
      </w:pPr>
      <w:r w:rsidRPr="00A97EB3">
        <w:rPr>
          <w:sz w:val="20"/>
          <w:szCs w:val="20"/>
        </w:rPr>
        <w:t xml:space="preserve">D. A. Norman, </w:t>
      </w:r>
      <w:r w:rsidRPr="00A97EB3">
        <w:rPr>
          <w:i/>
          <w:sz w:val="20"/>
          <w:szCs w:val="20"/>
        </w:rPr>
        <w:t>The Psychology of Everyday Things</w:t>
      </w:r>
      <w:r w:rsidRPr="00A97EB3">
        <w:rPr>
          <w:sz w:val="20"/>
          <w:szCs w:val="20"/>
        </w:rPr>
        <w:t xml:space="preserve"> New York: Basic Books, 1988; M. </w:t>
      </w:r>
      <w:proofErr w:type="spellStart"/>
      <w:r w:rsidRPr="00A97EB3">
        <w:rPr>
          <w:sz w:val="20"/>
          <w:szCs w:val="20"/>
        </w:rPr>
        <w:t>Visciola</w:t>
      </w:r>
      <w:proofErr w:type="spellEnd"/>
      <w:r w:rsidRPr="00A97EB3">
        <w:rPr>
          <w:sz w:val="20"/>
          <w:szCs w:val="20"/>
        </w:rPr>
        <w:t xml:space="preserve">, </w:t>
      </w:r>
      <w:proofErr w:type="spellStart"/>
      <w:r w:rsidRPr="00A97EB3">
        <w:rPr>
          <w:i/>
          <w:sz w:val="20"/>
          <w:szCs w:val="20"/>
        </w:rPr>
        <w:t>Usabilità</w:t>
      </w:r>
      <w:proofErr w:type="spellEnd"/>
      <w:r w:rsidRPr="00A97EB3">
        <w:rPr>
          <w:i/>
          <w:sz w:val="20"/>
          <w:szCs w:val="20"/>
        </w:rPr>
        <w:t xml:space="preserve"> </w:t>
      </w:r>
      <w:proofErr w:type="spellStart"/>
      <w:r w:rsidRPr="00A97EB3">
        <w:rPr>
          <w:i/>
          <w:sz w:val="20"/>
          <w:szCs w:val="20"/>
        </w:rPr>
        <w:t>dei</w:t>
      </w:r>
      <w:proofErr w:type="spellEnd"/>
      <w:r w:rsidRPr="00A97EB3">
        <w:rPr>
          <w:i/>
          <w:sz w:val="20"/>
          <w:szCs w:val="20"/>
        </w:rPr>
        <w:t xml:space="preserve"> </w:t>
      </w:r>
      <w:proofErr w:type="spellStart"/>
      <w:r w:rsidRPr="00A97EB3">
        <w:rPr>
          <w:i/>
          <w:sz w:val="20"/>
          <w:szCs w:val="20"/>
        </w:rPr>
        <w:t>siti</w:t>
      </w:r>
      <w:proofErr w:type="spellEnd"/>
      <w:r w:rsidRPr="00A97EB3">
        <w:rPr>
          <w:i/>
          <w:sz w:val="20"/>
          <w:szCs w:val="20"/>
        </w:rPr>
        <w:t xml:space="preserve"> web</w:t>
      </w:r>
      <w:r w:rsidRPr="00A97EB3">
        <w:rPr>
          <w:sz w:val="20"/>
          <w:szCs w:val="20"/>
        </w:rPr>
        <w:t xml:space="preserve">, Milano: </w:t>
      </w:r>
      <w:proofErr w:type="spellStart"/>
      <w:r w:rsidRPr="00A97EB3">
        <w:rPr>
          <w:sz w:val="20"/>
          <w:szCs w:val="20"/>
        </w:rPr>
        <w:t>Apogeo</w:t>
      </w:r>
      <w:proofErr w:type="spellEnd"/>
      <w:r w:rsidRPr="00A97EB3">
        <w:rPr>
          <w:sz w:val="20"/>
          <w:szCs w:val="20"/>
        </w:rPr>
        <w:t>, 2000.</w:t>
      </w:r>
    </w:p>
    <w:p w14:paraId="44AD3E5D" w14:textId="77777777" w:rsidR="00796AB8" w:rsidRPr="00A97EB3" w:rsidRDefault="00796AB8" w:rsidP="00A97EB3">
      <w:pPr>
        <w:pStyle w:val="FootnoteText"/>
        <w:spacing w:line="240" w:lineRule="auto"/>
        <w:rPr>
          <w:szCs w:val="20"/>
        </w:rPr>
      </w:pPr>
    </w:p>
  </w:footnote>
  <w:footnote w:id="14">
    <w:p w14:paraId="514D66E3" w14:textId="5EA905D4" w:rsidR="00796AB8" w:rsidRDefault="00796AB8" w:rsidP="00A97EB3">
      <w:pPr>
        <w:rPr>
          <w:sz w:val="20"/>
        </w:rPr>
      </w:pPr>
      <w:r w:rsidRPr="00A97EB3">
        <w:rPr>
          <w:rStyle w:val="FootnoteReference"/>
          <w:rFonts w:cs="Arial"/>
          <w:sz w:val="20"/>
        </w:rPr>
        <w:footnoteRef/>
      </w:r>
      <w:r w:rsidRPr="00A97EB3">
        <w:rPr>
          <w:sz w:val="20"/>
        </w:rPr>
        <w:t xml:space="preserve"> M. </w:t>
      </w:r>
      <w:proofErr w:type="spellStart"/>
      <w:r w:rsidRPr="00A97EB3">
        <w:rPr>
          <w:sz w:val="20"/>
        </w:rPr>
        <w:t>Akrich</w:t>
      </w:r>
      <w:proofErr w:type="spellEnd"/>
      <w:r w:rsidRPr="00A97EB3">
        <w:rPr>
          <w:sz w:val="20"/>
        </w:rPr>
        <w:t xml:space="preserve">, </w:t>
      </w:r>
      <w:proofErr w:type="spellStart"/>
      <w:r w:rsidRPr="00A97EB3">
        <w:rPr>
          <w:sz w:val="20"/>
        </w:rPr>
        <w:t>Des</w:t>
      </w:r>
      <w:proofErr w:type="spellEnd"/>
      <w:r w:rsidRPr="00A97EB3">
        <w:rPr>
          <w:sz w:val="20"/>
        </w:rPr>
        <w:t xml:space="preserve"> </w:t>
      </w:r>
      <w:proofErr w:type="spellStart"/>
      <w:r w:rsidRPr="00A97EB3">
        <w:rPr>
          <w:sz w:val="20"/>
        </w:rPr>
        <w:t>réseaux</w:t>
      </w:r>
      <w:proofErr w:type="spellEnd"/>
      <w:r w:rsidRPr="00A97EB3">
        <w:rPr>
          <w:sz w:val="20"/>
        </w:rPr>
        <w:t xml:space="preserve"> </w:t>
      </w:r>
      <w:proofErr w:type="spellStart"/>
      <w:r w:rsidRPr="00A97EB3">
        <w:rPr>
          <w:sz w:val="20"/>
        </w:rPr>
        <w:t>vidéocom</w:t>
      </w:r>
      <w:proofErr w:type="spellEnd"/>
      <w:r w:rsidRPr="00A97EB3">
        <w:rPr>
          <w:sz w:val="20"/>
        </w:rPr>
        <w:t xml:space="preserve"> </w:t>
      </w:r>
      <w:proofErr w:type="spellStart"/>
      <w:r w:rsidRPr="00A97EB3">
        <w:rPr>
          <w:sz w:val="20"/>
        </w:rPr>
        <w:t>aux</w:t>
      </w:r>
      <w:proofErr w:type="spellEnd"/>
      <w:r w:rsidRPr="00A97EB3">
        <w:rPr>
          <w:sz w:val="20"/>
        </w:rPr>
        <w:t xml:space="preserve"> </w:t>
      </w:r>
      <w:proofErr w:type="spellStart"/>
      <w:r w:rsidRPr="00A97EB3">
        <w:rPr>
          <w:sz w:val="20"/>
        </w:rPr>
        <w:t>réseaux</w:t>
      </w:r>
      <w:proofErr w:type="spellEnd"/>
      <w:r w:rsidRPr="00A97EB3">
        <w:rPr>
          <w:sz w:val="20"/>
        </w:rPr>
        <w:t xml:space="preserve"> </w:t>
      </w:r>
      <w:proofErr w:type="spellStart"/>
      <w:r w:rsidRPr="00A97EB3">
        <w:rPr>
          <w:sz w:val="20"/>
        </w:rPr>
        <w:t>électriques</w:t>
      </w:r>
      <w:proofErr w:type="spellEnd"/>
      <w:r w:rsidRPr="00A97EB3">
        <w:rPr>
          <w:sz w:val="20"/>
        </w:rPr>
        <w:t xml:space="preserve">: </w:t>
      </w:r>
      <w:proofErr w:type="spellStart"/>
      <w:r w:rsidRPr="00A97EB3">
        <w:rPr>
          <w:sz w:val="20"/>
        </w:rPr>
        <w:t>machines</w:t>
      </w:r>
      <w:proofErr w:type="spellEnd"/>
      <w:r w:rsidRPr="00A97EB3">
        <w:rPr>
          <w:sz w:val="20"/>
        </w:rPr>
        <w:t xml:space="preserve">, </w:t>
      </w:r>
      <w:proofErr w:type="spellStart"/>
      <w:r w:rsidRPr="00A97EB3">
        <w:rPr>
          <w:sz w:val="20"/>
        </w:rPr>
        <w:t>gestion</w:t>
      </w:r>
      <w:proofErr w:type="spellEnd"/>
      <w:r w:rsidRPr="00A97EB3">
        <w:rPr>
          <w:sz w:val="20"/>
        </w:rPr>
        <w:t xml:space="preserve">, </w:t>
      </w:r>
      <w:proofErr w:type="spellStart"/>
      <w:r w:rsidRPr="00A97EB3">
        <w:rPr>
          <w:sz w:val="20"/>
        </w:rPr>
        <w:t>marchés</w:t>
      </w:r>
      <w:proofErr w:type="spellEnd"/>
      <w:r w:rsidRPr="00A97EB3">
        <w:rPr>
          <w:sz w:val="20"/>
        </w:rPr>
        <w:t>, Paris: L’</w:t>
      </w:r>
      <w:proofErr w:type="spellStart"/>
      <w:r w:rsidRPr="00A97EB3">
        <w:rPr>
          <w:sz w:val="20"/>
        </w:rPr>
        <w:t>Harmattan</w:t>
      </w:r>
      <w:proofErr w:type="spellEnd"/>
      <w:r w:rsidRPr="00A97EB3">
        <w:rPr>
          <w:sz w:val="20"/>
        </w:rPr>
        <w:t xml:space="preserve">, 1992; D. Haraway, Primate Visions: Gender, Race, and Nature in the World of Modern Science, New York: Routledge, 1989; L. A. </w:t>
      </w:r>
      <w:proofErr w:type="spellStart"/>
      <w:r w:rsidRPr="00A97EB3">
        <w:rPr>
          <w:sz w:val="20"/>
        </w:rPr>
        <w:t>Suchman</w:t>
      </w:r>
      <w:proofErr w:type="spellEnd"/>
      <w:r w:rsidRPr="00A97EB3">
        <w:rPr>
          <w:sz w:val="20"/>
        </w:rPr>
        <w:t xml:space="preserve">, </w:t>
      </w:r>
      <w:proofErr w:type="spellStart"/>
      <w:r w:rsidRPr="00A97EB3">
        <w:rPr>
          <w:sz w:val="20"/>
        </w:rPr>
        <w:t>Plans</w:t>
      </w:r>
      <w:proofErr w:type="spellEnd"/>
      <w:r w:rsidRPr="00A97EB3">
        <w:rPr>
          <w:sz w:val="20"/>
        </w:rPr>
        <w:t xml:space="preserve"> and </w:t>
      </w:r>
      <w:proofErr w:type="spellStart"/>
      <w:r w:rsidRPr="00A97EB3">
        <w:rPr>
          <w:sz w:val="20"/>
        </w:rPr>
        <w:t>Situated</w:t>
      </w:r>
      <w:proofErr w:type="spellEnd"/>
      <w:r w:rsidRPr="00A97EB3">
        <w:rPr>
          <w:sz w:val="20"/>
        </w:rPr>
        <w:t xml:space="preserve"> Actions: The Problem of Human-Machine Communication, New York: Cambridge </w:t>
      </w:r>
      <w:proofErr w:type="spellStart"/>
      <w:r w:rsidRPr="00A97EB3">
        <w:rPr>
          <w:sz w:val="20"/>
        </w:rPr>
        <w:t>University</w:t>
      </w:r>
      <w:proofErr w:type="spellEnd"/>
      <w:r w:rsidRPr="00A97EB3">
        <w:rPr>
          <w:sz w:val="20"/>
        </w:rPr>
        <w:t xml:space="preserve"> Press, 1987.</w:t>
      </w:r>
    </w:p>
    <w:p w14:paraId="1551709B" w14:textId="77777777" w:rsidR="007C6C20" w:rsidRPr="00A97EB3" w:rsidRDefault="007C6C20" w:rsidP="00A97EB3">
      <w:pPr>
        <w:rPr>
          <w:sz w:val="20"/>
        </w:rPr>
      </w:pPr>
    </w:p>
  </w:footnote>
  <w:footnote w:id="15">
    <w:p w14:paraId="21710029" w14:textId="77777777" w:rsidR="00796AB8" w:rsidRPr="00A97EB3" w:rsidRDefault="00796AB8" w:rsidP="00A97EB3">
      <w:pPr>
        <w:rPr>
          <w:sz w:val="20"/>
        </w:rPr>
      </w:pPr>
      <w:r w:rsidRPr="00A97EB3">
        <w:rPr>
          <w:rStyle w:val="FootnoteReference"/>
          <w:rFonts w:cs="Arial"/>
          <w:sz w:val="20"/>
        </w:rPr>
        <w:footnoteRef/>
      </w:r>
      <w:r w:rsidRPr="00A97EB3">
        <w:rPr>
          <w:sz w:val="20"/>
        </w:rPr>
        <w:t xml:space="preserve"> Latour, </w:t>
      </w:r>
      <w:r w:rsidRPr="00A97EB3">
        <w:rPr>
          <w:i/>
          <w:sz w:val="20"/>
        </w:rPr>
        <w:t>Reassembling the Social</w:t>
      </w:r>
      <w:r w:rsidRPr="00A97EB3">
        <w:rPr>
          <w:sz w:val="20"/>
        </w:rPr>
        <w:t xml:space="preserve">. Latour </w:t>
      </w:r>
      <w:proofErr w:type="spellStart"/>
      <w:r w:rsidRPr="00A97EB3">
        <w:rPr>
          <w:sz w:val="20"/>
        </w:rPr>
        <w:t>uses</w:t>
      </w:r>
      <w:proofErr w:type="spellEnd"/>
      <w:r w:rsidRPr="00A97EB3">
        <w:rPr>
          <w:sz w:val="20"/>
        </w:rPr>
        <w:t xml:space="preserve"> the </w:t>
      </w:r>
      <w:proofErr w:type="spellStart"/>
      <w:r w:rsidRPr="00A97EB3">
        <w:rPr>
          <w:sz w:val="20"/>
        </w:rPr>
        <w:t>term</w:t>
      </w:r>
      <w:proofErr w:type="spellEnd"/>
      <w:r w:rsidRPr="00A97EB3">
        <w:rPr>
          <w:sz w:val="20"/>
        </w:rPr>
        <w:t xml:space="preserve"> ‘</w:t>
      </w:r>
      <w:proofErr w:type="spellStart"/>
      <w:r w:rsidRPr="00A97EB3">
        <w:rPr>
          <w:sz w:val="20"/>
        </w:rPr>
        <w:t>actant</w:t>
      </w:r>
      <w:proofErr w:type="spellEnd"/>
      <w:r w:rsidRPr="00A97EB3">
        <w:rPr>
          <w:sz w:val="20"/>
        </w:rPr>
        <w:t xml:space="preserve">’ </w:t>
      </w:r>
      <w:proofErr w:type="spellStart"/>
      <w:r w:rsidRPr="00A97EB3">
        <w:rPr>
          <w:sz w:val="20"/>
        </w:rPr>
        <w:t>instead</w:t>
      </w:r>
      <w:proofErr w:type="spellEnd"/>
      <w:r w:rsidRPr="00A97EB3">
        <w:rPr>
          <w:sz w:val="20"/>
        </w:rPr>
        <w:t xml:space="preserve"> of ‘</w:t>
      </w:r>
      <w:proofErr w:type="spellStart"/>
      <w:r w:rsidRPr="00A97EB3">
        <w:rPr>
          <w:sz w:val="20"/>
        </w:rPr>
        <w:t>actor</w:t>
      </w:r>
      <w:proofErr w:type="spellEnd"/>
      <w:r w:rsidRPr="00A97EB3">
        <w:rPr>
          <w:sz w:val="20"/>
        </w:rPr>
        <w:t xml:space="preserve">’ in order to gain higher pliability with respect to figuration. It might be </w:t>
      </w:r>
      <w:proofErr w:type="spellStart"/>
      <w:r w:rsidRPr="00A97EB3">
        <w:rPr>
          <w:sz w:val="20"/>
        </w:rPr>
        <w:t>said</w:t>
      </w:r>
      <w:proofErr w:type="spellEnd"/>
      <w:r w:rsidRPr="00A97EB3">
        <w:rPr>
          <w:sz w:val="20"/>
        </w:rPr>
        <w:t xml:space="preserve"> </w:t>
      </w:r>
      <w:proofErr w:type="spellStart"/>
      <w:r w:rsidRPr="00A97EB3">
        <w:rPr>
          <w:sz w:val="20"/>
        </w:rPr>
        <w:t>that</w:t>
      </w:r>
      <w:proofErr w:type="spellEnd"/>
      <w:r w:rsidRPr="00A97EB3">
        <w:rPr>
          <w:sz w:val="20"/>
        </w:rPr>
        <w:t xml:space="preserve"> an </w:t>
      </w:r>
      <w:proofErr w:type="spellStart"/>
      <w:r w:rsidRPr="00A97EB3">
        <w:rPr>
          <w:sz w:val="20"/>
        </w:rPr>
        <w:t>actant</w:t>
      </w:r>
      <w:proofErr w:type="spellEnd"/>
      <w:r w:rsidRPr="00A97EB3">
        <w:rPr>
          <w:sz w:val="20"/>
        </w:rPr>
        <w:t xml:space="preserve"> </w:t>
      </w:r>
      <w:proofErr w:type="spellStart"/>
      <w:r w:rsidRPr="00A97EB3">
        <w:rPr>
          <w:sz w:val="20"/>
        </w:rPr>
        <w:t>is</w:t>
      </w:r>
      <w:proofErr w:type="spellEnd"/>
      <w:r w:rsidRPr="00A97EB3">
        <w:rPr>
          <w:sz w:val="20"/>
        </w:rPr>
        <w:t xml:space="preserve"> an </w:t>
      </w:r>
      <w:proofErr w:type="spellStart"/>
      <w:r w:rsidRPr="00A97EB3">
        <w:rPr>
          <w:sz w:val="20"/>
        </w:rPr>
        <w:t>abstract</w:t>
      </w:r>
      <w:proofErr w:type="spellEnd"/>
      <w:r w:rsidRPr="00A97EB3">
        <w:rPr>
          <w:sz w:val="20"/>
        </w:rPr>
        <w:t xml:space="preserve"> agent endowed with a narrative function that on a discursive level gets embodied into an actor endowed with a figuration. Latour borrowed this distinction from semiotics, where it corresponds to the deployment of agency respectively on the narrative level (where </w:t>
      </w:r>
      <w:proofErr w:type="spellStart"/>
      <w:r w:rsidRPr="00A97EB3">
        <w:rPr>
          <w:sz w:val="20"/>
        </w:rPr>
        <w:t>we</w:t>
      </w:r>
      <w:proofErr w:type="spellEnd"/>
      <w:r w:rsidRPr="00A97EB3">
        <w:rPr>
          <w:sz w:val="20"/>
        </w:rPr>
        <w:t xml:space="preserve"> talk of ‘</w:t>
      </w:r>
      <w:proofErr w:type="spellStart"/>
      <w:r w:rsidRPr="00A97EB3">
        <w:rPr>
          <w:sz w:val="20"/>
        </w:rPr>
        <w:t>actants</w:t>
      </w:r>
      <w:proofErr w:type="spellEnd"/>
      <w:r w:rsidRPr="00A97EB3">
        <w:rPr>
          <w:sz w:val="20"/>
        </w:rPr>
        <w:t xml:space="preserve">’) and on the discursive level (where ‘actors’ lie). </w:t>
      </w:r>
      <w:proofErr w:type="spellStart"/>
      <w:r w:rsidRPr="00A97EB3">
        <w:rPr>
          <w:sz w:val="20"/>
        </w:rPr>
        <w:t>Greimas</w:t>
      </w:r>
      <w:proofErr w:type="spellEnd"/>
      <w:r w:rsidRPr="00A97EB3">
        <w:rPr>
          <w:sz w:val="20"/>
        </w:rPr>
        <w:t xml:space="preserve"> and </w:t>
      </w:r>
      <w:proofErr w:type="spellStart"/>
      <w:r w:rsidRPr="00A97EB3">
        <w:rPr>
          <w:sz w:val="20"/>
        </w:rPr>
        <w:t>Courtés</w:t>
      </w:r>
      <w:proofErr w:type="spellEnd"/>
      <w:r w:rsidRPr="00A97EB3">
        <w:rPr>
          <w:sz w:val="20"/>
        </w:rPr>
        <w:t xml:space="preserve"> </w:t>
      </w:r>
      <w:proofErr w:type="spellStart"/>
      <w:r w:rsidRPr="00A97EB3">
        <w:rPr>
          <w:sz w:val="20"/>
        </w:rPr>
        <w:t>define</w:t>
      </w:r>
      <w:proofErr w:type="spellEnd"/>
      <w:r w:rsidRPr="00A97EB3">
        <w:rPr>
          <w:sz w:val="20"/>
        </w:rPr>
        <w:t xml:space="preserve"> an </w:t>
      </w:r>
      <w:proofErr w:type="spellStart"/>
      <w:r w:rsidRPr="00A97EB3">
        <w:rPr>
          <w:sz w:val="20"/>
        </w:rPr>
        <w:t>actant</w:t>
      </w:r>
      <w:proofErr w:type="spellEnd"/>
      <w:r w:rsidRPr="00A97EB3">
        <w:rPr>
          <w:sz w:val="20"/>
        </w:rPr>
        <w:t xml:space="preserve"> </w:t>
      </w:r>
      <w:proofErr w:type="spellStart"/>
      <w:r w:rsidRPr="00A97EB3">
        <w:rPr>
          <w:sz w:val="20"/>
        </w:rPr>
        <w:t>as</w:t>
      </w:r>
      <w:proofErr w:type="spellEnd"/>
      <w:r w:rsidRPr="00A97EB3">
        <w:rPr>
          <w:sz w:val="20"/>
        </w:rPr>
        <w:t xml:space="preserve"> ‘the </w:t>
      </w:r>
      <w:proofErr w:type="spellStart"/>
      <w:r w:rsidRPr="00A97EB3">
        <w:rPr>
          <w:sz w:val="20"/>
        </w:rPr>
        <w:t>one</w:t>
      </w:r>
      <w:proofErr w:type="spellEnd"/>
      <w:r w:rsidRPr="00A97EB3">
        <w:rPr>
          <w:sz w:val="20"/>
        </w:rPr>
        <w:t xml:space="preserve"> that performs or undergoes the act, regardless of any other determination. Thus, quoting L. </w:t>
      </w:r>
      <w:proofErr w:type="spellStart"/>
      <w:r w:rsidRPr="00A97EB3">
        <w:rPr>
          <w:sz w:val="20"/>
        </w:rPr>
        <w:t>Tesnière</w:t>
      </w:r>
      <w:proofErr w:type="spellEnd"/>
      <w:r w:rsidRPr="00A97EB3">
        <w:rPr>
          <w:sz w:val="20"/>
        </w:rPr>
        <w:t xml:space="preserve"> </w:t>
      </w:r>
      <w:proofErr w:type="spellStart"/>
      <w:r w:rsidRPr="00A97EB3">
        <w:rPr>
          <w:sz w:val="20"/>
        </w:rPr>
        <w:t>whose</w:t>
      </w:r>
      <w:proofErr w:type="spellEnd"/>
      <w:r w:rsidRPr="00A97EB3">
        <w:rPr>
          <w:sz w:val="20"/>
        </w:rPr>
        <w:t xml:space="preserve"> work </w:t>
      </w:r>
      <w:proofErr w:type="spellStart"/>
      <w:r w:rsidRPr="00A97EB3">
        <w:rPr>
          <w:sz w:val="20"/>
        </w:rPr>
        <w:t>this</w:t>
      </w:r>
      <w:proofErr w:type="spellEnd"/>
      <w:r w:rsidRPr="00A97EB3">
        <w:rPr>
          <w:sz w:val="20"/>
        </w:rPr>
        <w:t xml:space="preserve"> term </w:t>
      </w:r>
      <w:proofErr w:type="spellStart"/>
      <w:r w:rsidRPr="00A97EB3">
        <w:rPr>
          <w:sz w:val="20"/>
        </w:rPr>
        <w:t>is</w:t>
      </w:r>
      <w:proofErr w:type="spellEnd"/>
      <w:r w:rsidRPr="00A97EB3">
        <w:rPr>
          <w:sz w:val="20"/>
        </w:rPr>
        <w:t xml:space="preserve"> </w:t>
      </w:r>
      <w:proofErr w:type="spellStart"/>
      <w:r w:rsidRPr="00A97EB3">
        <w:rPr>
          <w:sz w:val="20"/>
        </w:rPr>
        <w:t>borrowed</w:t>
      </w:r>
      <w:proofErr w:type="spellEnd"/>
      <w:r w:rsidRPr="00A97EB3">
        <w:rPr>
          <w:sz w:val="20"/>
        </w:rPr>
        <w:t xml:space="preserve"> from, “</w:t>
      </w:r>
      <w:proofErr w:type="spellStart"/>
      <w:r w:rsidRPr="00A97EB3">
        <w:rPr>
          <w:sz w:val="20"/>
        </w:rPr>
        <w:t>actants</w:t>
      </w:r>
      <w:proofErr w:type="spellEnd"/>
      <w:r w:rsidRPr="00A97EB3">
        <w:rPr>
          <w:sz w:val="20"/>
        </w:rPr>
        <w:t xml:space="preserve"> are the </w:t>
      </w:r>
      <w:proofErr w:type="spellStart"/>
      <w:r w:rsidRPr="00A97EB3">
        <w:rPr>
          <w:sz w:val="20"/>
        </w:rPr>
        <w:t>beings</w:t>
      </w:r>
      <w:proofErr w:type="spellEnd"/>
      <w:r w:rsidRPr="00A97EB3">
        <w:rPr>
          <w:sz w:val="20"/>
        </w:rPr>
        <w:t xml:space="preserve"> or the things that – under whichever qualification and in whatsoever manner, even as simple bit players and in the most passive manner – take part in the process”. Under </w:t>
      </w:r>
      <w:proofErr w:type="spellStart"/>
      <w:r w:rsidRPr="00A97EB3">
        <w:rPr>
          <w:sz w:val="20"/>
        </w:rPr>
        <w:t>this</w:t>
      </w:r>
      <w:proofErr w:type="spellEnd"/>
      <w:r w:rsidRPr="00A97EB3">
        <w:rPr>
          <w:sz w:val="20"/>
        </w:rPr>
        <w:t xml:space="preserve"> </w:t>
      </w:r>
      <w:proofErr w:type="spellStart"/>
      <w:r w:rsidRPr="00A97EB3">
        <w:rPr>
          <w:sz w:val="20"/>
        </w:rPr>
        <w:t>perspective</w:t>
      </w:r>
      <w:proofErr w:type="spellEnd"/>
      <w:r w:rsidRPr="00A97EB3">
        <w:rPr>
          <w:sz w:val="20"/>
        </w:rPr>
        <w:t xml:space="preserve">, the </w:t>
      </w:r>
      <w:proofErr w:type="spellStart"/>
      <w:r w:rsidRPr="00A97EB3">
        <w:rPr>
          <w:sz w:val="20"/>
        </w:rPr>
        <w:t>actant</w:t>
      </w:r>
      <w:proofErr w:type="spellEnd"/>
      <w:r w:rsidRPr="00A97EB3">
        <w:rPr>
          <w:sz w:val="20"/>
        </w:rPr>
        <w:t xml:space="preserve"> </w:t>
      </w:r>
      <w:proofErr w:type="spellStart"/>
      <w:r w:rsidRPr="00A97EB3">
        <w:rPr>
          <w:sz w:val="20"/>
        </w:rPr>
        <w:t>designates</w:t>
      </w:r>
      <w:proofErr w:type="spellEnd"/>
      <w:r w:rsidRPr="00A97EB3">
        <w:rPr>
          <w:sz w:val="20"/>
        </w:rPr>
        <w:t xml:space="preserve"> a </w:t>
      </w:r>
      <w:proofErr w:type="spellStart"/>
      <w:r w:rsidRPr="00A97EB3">
        <w:rPr>
          <w:sz w:val="20"/>
        </w:rPr>
        <w:t>type</w:t>
      </w:r>
      <w:proofErr w:type="spellEnd"/>
      <w:r w:rsidRPr="00A97EB3">
        <w:rPr>
          <w:sz w:val="20"/>
        </w:rPr>
        <w:t xml:space="preserve"> of syntactic unit, a peculiarly formal one, before any semantic and/or ideological investment’. </w:t>
      </w:r>
      <w:proofErr w:type="spellStart"/>
      <w:r w:rsidRPr="00A97EB3">
        <w:rPr>
          <w:sz w:val="20"/>
        </w:rPr>
        <w:t>See</w:t>
      </w:r>
      <w:proofErr w:type="spellEnd"/>
      <w:r w:rsidRPr="00A97EB3">
        <w:rPr>
          <w:sz w:val="20"/>
        </w:rPr>
        <w:t xml:space="preserve"> </w:t>
      </w:r>
      <w:proofErr w:type="spellStart"/>
      <w:r w:rsidRPr="00A97EB3">
        <w:rPr>
          <w:sz w:val="20"/>
        </w:rPr>
        <w:t>Greimas</w:t>
      </w:r>
      <w:proofErr w:type="spellEnd"/>
      <w:r w:rsidRPr="00A97EB3">
        <w:rPr>
          <w:sz w:val="20"/>
        </w:rPr>
        <w:t xml:space="preserve"> and </w:t>
      </w:r>
      <w:proofErr w:type="spellStart"/>
      <w:r w:rsidRPr="00A97EB3">
        <w:rPr>
          <w:sz w:val="20"/>
        </w:rPr>
        <w:t>Courtés</w:t>
      </w:r>
      <w:proofErr w:type="spellEnd"/>
      <w:r w:rsidRPr="00A97EB3">
        <w:rPr>
          <w:sz w:val="20"/>
        </w:rPr>
        <w:t xml:space="preserve">, </w:t>
      </w:r>
      <w:proofErr w:type="spellStart"/>
      <w:proofErr w:type="gramStart"/>
      <w:r w:rsidRPr="00A97EB3">
        <w:rPr>
          <w:i/>
          <w:sz w:val="20"/>
        </w:rPr>
        <w:t>Sémiotique</w:t>
      </w:r>
      <w:proofErr w:type="spellEnd"/>
      <w:r w:rsidRPr="00A97EB3">
        <w:rPr>
          <w:i/>
          <w:sz w:val="20"/>
        </w:rPr>
        <w:t>,</w:t>
      </w:r>
      <w:r w:rsidRPr="00A97EB3">
        <w:rPr>
          <w:sz w:val="20"/>
        </w:rPr>
        <w:t>,</w:t>
      </w:r>
      <w:proofErr w:type="gramEnd"/>
      <w:r w:rsidRPr="00A97EB3">
        <w:rPr>
          <w:sz w:val="20"/>
        </w:rPr>
        <w:t xml:space="preserve"> p. 40, </w:t>
      </w:r>
      <w:r w:rsidRPr="00A97EB3">
        <w:rPr>
          <w:i/>
          <w:sz w:val="20"/>
        </w:rPr>
        <w:t>Author’s translation into English</w:t>
      </w:r>
      <w:r w:rsidRPr="00A97EB3">
        <w:rPr>
          <w:sz w:val="20"/>
        </w:rPr>
        <w:t xml:space="preserve">. It is interesting to notice that, under this distinction, ‘loose networks’, ‘communities of practice’ and ‘groupware’ differ on a discursive, figurative level, while they might fulfil the same logical function in a course of action. </w:t>
      </w:r>
    </w:p>
    <w:p w14:paraId="071FFBBD" w14:textId="77777777" w:rsidR="00796AB8" w:rsidRPr="00A97EB3" w:rsidRDefault="00796AB8" w:rsidP="00A97EB3">
      <w:pPr>
        <w:rPr>
          <w:sz w:val="20"/>
        </w:rPr>
      </w:pPr>
    </w:p>
  </w:footnote>
  <w:footnote w:id="16">
    <w:p w14:paraId="71094924" w14:textId="77777777" w:rsidR="00796AB8" w:rsidRPr="00A97EB3" w:rsidRDefault="00796AB8" w:rsidP="00A97EB3">
      <w:pPr>
        <w:rPr>
          <w:sz w:val="20"/>
        </w:rPr>
      </w:pPr>
      <w:r w:rsidRPr="00A97EB3">
        <w:rPr>
          <w:rStyle w:val="FootnoteReference"/>
          <w:rFonts w:cs="Arial"/>
          <w:sz w:val="20"/>
        </w:rPr>
        <w:footnoteRef/>
      </w:r>
      <w:r w:rsidRPr="00A97EB3">
        <w:rPr>
          <w:sz w:val="20"/>
        </w:rPr>
        <w:t xml:space="preserve"> J. J. Gibson, The Ecological Approach to Visual Perception, London: Hillsdale, 1986; Norman, The Psychology of Everyday Things.</w:t>
      </w:r>
    </w:p>
    <w:p w14:paraId="0C47CEDC" w14:textId="77777777" w:rsidR="00796AB8" w:rsidRPr="00A97EB3" w:rsidRDefault="00796AB8" w:rsidP="00A97EB3">
      <w:pPr>
        <w:rPr>
          <w:sz w:val="20"/>
        </w:rPr>
      </w:pPr>
    </w:p>
  </w:footnote>
  <w:footnote w:id="17">
    <w:p w14:paraId="39D78D3D" w14:textId="77777777" w:rsidR="00796AB8" w:rsidRPr="00A97EB3" w:rsidRDefault="00796AB8" w:rsidP="00A97EB3">
      <w:pPr>
        <w:rPr>
          <w:lang w:val="en-US"/>
        </w:rPr>
      </w:pPr>
      <w:r w:rsidRPr="00A97EB3">
        <w:rPr>
          <w:rStyle w:val="FootnoteReference"/>
          <w:rFonts w:cs="Arial"/>
          <w:sz w:val="20"/>
        </w:rPr>
        <w:footnoteRef/>
      </w:r>
      <w:r w:rsidRPr="00A97EB3">
        <w:rPr>
          <w:sz w:val="20"/>
        </w:rPr>
        <w:t xml:space="preserve"> Latour, Reassembling the Social.</w:t>
      </w:r>
    </w:p>
  </w:footnote>
  <w:footnote w:id="18">
    <w:p w14:paraId="1D52234C"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w:t>
      </w:r>
      <w:proofErr w:type="spellStart"/>
      <w:r w:rsidRPr="00A97EB3">
        <w:rPr>
          <w:i/>
          <w:szCs w:val="20"/>
        </w:rPr>
        <w:t>Namma</w:t>
      </w:r>
      <w:proofErr w:type="spellEnd"/>
      <w:r w:rsidRPr="00A97EB3">
        <w:rPr>
          <w:i/>
          <w:szCs w:val="20"/>
        </w:rPr>
        <w:t xml:space="preserve"> </w:t>
      </w:r>
      <w:proofErr w:type="spellStart"/>
      <w:r w:rsidRPr="00A97EB3">
        <w:rPr>
          <w:i/>
          <w:szCs w:val="20"/>
        </w:rPr>
        <w:t>Dhwani</w:t>
      </w:r>
      <w:proofErr w:type="spellEnd"/>
      <w:r w:rsidRPr="00A97EB3">
        <w:rPr>
          <w:szCs w:val="20"/>
        </w:rPr>
        <w:t xml:space="preserve"> submission, 2004.</w:t>
      </w:r>
    </w:p>
    <w:p w14:paraId="7320CEAF" w14:textId="77777777" w:rsidR="00796AB8" w:rsidRPr="00A97EB3" w:rsidRDefault="00796AB8" w:rsidP="00A97EB3">
      <w:pPr>
        <w:pStyle w:val="FootnoteText"/>
        <w:spacing w:line="240" w:lineRule="auto"/>
        <w:rPr>
          <w:szCs w:val="20"/>
        </w:rPr>
      </w:pPr>
    </w:p>
  </w:footnote>
  <w:footnote w:id="19">
    <w:p w14:paraId="4CA5F2A1" w14:textId="77777777" w:rsidR="00796AB8" w:rsidRPr="00A97EB3" w:rsidRDefault="00796AB8" w:rsidP="00A97EB3">
      <w:pPr>
        <w:pStyle w:val="FootnoteText"/>
        <w:spacing w:line="240" w:lineRule="auto"/>
        <w:rPr>
          <w:szCs w:val="20"/>
        </w:rPr>
      </w:pPr>
      <w:r w:rsidRPr="00A97EB3">
        <w:rPr>
          <w:rStyle w:val="FootnoteReference"/>
          <w:szCs w:val="20"/>
        </w:rPr>
        <w:footnoteRef/>
      </w:r>
      <w:r w:rsidRPr="00A97EB3">
        <w:rPr>
          <w:szCs w:val="20"/>
        </w:rPr>
        <w:t xml:space="preserve"> </w:t>
      </w:r>
      <w:proofErr w:type="spellStart"/>
      <w:r w:rsidRPr="00A97EB3">
        <w:rPr>
          <w:i/>
          <w:szCs w:val="20"/>
        </w:rPr>
        <w:t>Citypoems</w:t>
      </w:r>
      <w:proofErr w:type="spellEnd"/>
      <w:r w:rsidRPr="00A97EB3">
        <w:rPr>
          <w:szCs w:val="20"/>
        </w:rPr>
        <w:t xml:space="preserve"> submission, 2004.</w:t>
      </w:r>
    </w:p>
  </w:footnote>
  <w:footnote w:id="20">
    <w:p w14:paraId="1559E96D" w14:textId="77777777" w:rsidR="00796AB8" w:rsidRPr="00A97EB3" w:rsidRDefault="00796AB8" w:rsidP="00A97EB3">
      <w:pPr>
        <w:pStyle w:val="FootnoteText"/>
        <w:spacing w:line="240" w:lineRule="auto"/>
        <w:rPr>
          <w:szCs w:val="20"/>
          <w:lang w:val="en-US"/>
        </w:rPr>
      </w:pPr>
      <w:r w:rsidRPr="00A97EB3">
        <w:rPr>
          <w:rStyle w:val="FootnoteReference"/>
          <w:szCs w:val="20"/>
        </w:rPr>
        <w:footnoteRef/>
      </w:r>
      <w:r w:rsidRPr="00A97EB3">
        <w:rPr>
          <w:szCs w:val="20"/>
        </w:rPr>
        <w:t xml:space="preserve"> </w:t>
      </w:r>
      <w:proofErr w:type="spellStart"/>
      <w:r w:rsidRPr="00A97EB3">
        <w:rPr>
          <w:i/>
          <w:szCs w:val="20"/>
        </w:rPr>
        <w:t>SerendiPd</w:t>
      </w:r>
      <w:proofErr w:type="spellEnd"/>
      <w:r w:rsidRPr="00A97EB3">
        <w:rPr>
          <w:szCs w:val="20"/>
        </w:rPr>
        <w:t xml:space="preserve"> submission, 2004.</w:t>
      </w:r>
    </w:p>
  </w:footnote>
  <w:footnote w:id="21">
    <w:p w14:paraId="355CB365" w14:textId="77777777" w:rsidR="00796AB8" w:rsidRPr="00A97EB3" w:rsidRDefault="00796AB8" w:rsidP="00A97EB3">
      <w:pPr>
        <w:pStyle w:val="FootnoteText"/>
        <w:spacing w:line="240" w:lineRule="auto"/>
        <w:rPr>
          <w:szCs w:val="20"/>
          <w:lang w:val="en-US"/>
        </w:rPr>
      </w:pPr>
      <w:r w:rsidRPr="00A97EB3">
        <w:rPr>
          <w:rStyle w:val="FootnoteReference"/>
          <w:rFonts w:cs="Arial"/>
          <w:szCs w:val="20"/>
        </w:rPr>
        <w:footnoteRef/>
      </w:r>
      <w:r w:rsidRPr="00A97EB3">
        <w:rPr>
          <w:szCs w:val="20"/>
        </w:rPr>
        <w:t xml:space="preserve"> </w:t>
      </w:r>
      <w:r w:rsidRPr="00A97EB3">
        <w:rPr>
          <w:i/>
          <w:szCs w:val="20"/>
        </w:rPr>
        <w:t xml:space="preserve">Ubuntu </w:t>
      </w:r>
      <w:r w:rsidRPr="00A97EB3">
        <w:rPr>
          <w:szCs w:val="20"/>
        </w:rPr>
        <w:t>submission, 2007.</w:t>
      </w:r>
    </w:p>
  </w:footnote>
  <w:footnote w:id="22">
    <w:p w14:paraId="405AF764"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The result for 2007 might be explained by the new interest the </w:t>
      </w:r>
      <w:r w:rsidRPr="00A97EB3">
        <w:rPr>
          <w:i/>
          <w:szCs w:val="20"/>
        </w:rPr>
        <w:t>Prix Ars Electronica</w:t>
      </w:r>
      <w:r w:rsidRPr="00A97EB3">
        <w:rPr>
          <w:szCs w:val="20"/>
        </w:rPr>
        <w:t xml:space="preserve"> put on artistic projects in that year’s call. </w:t>
      </w:r>
    </w:p>
  </w:footnote>
  <w:footnote w:id="23">
    <w:p w14:paraId="7CD19F07"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w:t>
      </w:r>
      <w:proofErr w:type="spellStart"/>
      <w:r w:rsidRPr="00A97EB3">
        <w:rPr>
          <w:i/>
          <w:szCs w:val="20"/>
        </w:rPr>
        <w:t>REPUBLICart</w:t>
      </w:r>
      <w:proofErr w:type="spellEnd"/>
      <w:r w:rsidRPr="00A97EB3">
        <w:rPr>
          <w:i/>
          <w:szCs w:val="20"/>
        </w:rPr>
        <w:t xml:space="preserve"> </w:t>
      </w:r>
      <w:r w:rsidRPr="00A97EB3">
        <w:rPr>
          <w:szCs w:val="20"/>
        </w:rPr>
        <w:t>submission, 2004.</w:t>
      </w:r>
    </w:p>
    <w:p w14:paraId="10CEB85F" w14:textId="77777777" w:rsidR="00796AB8" w:rsidRPr="00A97EB3" w:rsidRDefault="00796AB8" w:rsidP="00A97EB3">
      <w:pPr>
        <w:pStyle w:val="FootnoteText"/>
        <w:spacing w:line="240" w:lineRule="auto"/>
        <w:rPr>
          <w:szCs w:val="20"/>
        </w:rPr>
      </w:pPr>
    </w:p>
  </w:footnote>
  <w:footnote w:id="24">
    <w:p w14:paraId="6583CC7B"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w:t>
      </w:r>
      <w:proofErr w:type="spellStart"/>
      <w:proofErr w:type="gramStart"/>
      <w:r w:rsidRPr="00A97EB3">
        <w:rPr>
          <w:i/>
          <w:szCs w:val="20"/>
        </w:rPr>
        <w:t>Re:combo</w:t>
      </w:r>
      <w:proofErr w:type="spellEnd"/>
      <w:proofErr w:type="gramEnd"/>
      <w:r w:rsidRPr="00A97EB3">
        <w:rPr>
          <w:szCs w:val="20"/>
        </w:rPr>
        <w:t xml:space="preserve"> submission, 2007.</w:t>
      </w:r>
    </w:p>
    <w:p w14:paraId="0C487ED3" w14:textId="77777777" w:rsidR="00796AB8" w:rsidRPr="00A97EB3" w:rsidRDefault="00796AB8" w:rsidP="00A97EB3">
      <w:pPr>
        <w:pStyle w:val="FootnoteText"/>
        <w:spacing w:line="240" w:lineRule="auto"/>
        <w:rPr>
          <w:szCs w:val="20"/>
        </w:rPr>
      </w:pPr>
    </w:p>
  </w:footnote>
  <w:footnote w:id="25">
    <w:p w14:paraId="54362CF5"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w:t>
      </w:r>
      <w:r w:rsidRPr="00A97EB3">
        <w:rPr>
          <w:i/>
          <w:szCs w:val="20"/>
        </w:rPr>
        <w:t>Open Art Network</w:t>
      </w:r>
      <w:r w:rsidRPr="00A97EB3">
        <w:rPr>
          <w:szCs w:val="20"/>
        </w:rPr>
        <w:t xml:space="preserve"> submission, 2004.</w:t>
      </w:r>
    </w:p>
    <w:p w14:paraId="3D6797B5" w14:textId="77777777" w:rsidR="00796AB8" w:rsidRPr="00A97EB3" w:rsidRDefault="00796AB8" w:rsidP="00A97EB3">
      <w:pPr>
        <w:pStyle w:val="FootnoteText"/>
        <w:spacing w:line="240" w:lineRule="auto"/>
        <w:rPr>
          <w:szCs w:val="20"/>
        </w:rPr>
      </w:pPr>
    </w:p>
  </w:footnote>
  <w:footnote w:id="26">
    <w:p w14:paraId="4A33D963" w14:textId="77777777" w:rsidR="00796AB8" w:rsidRPr="00A97EB3" w:rsidRDefault="00796AB8" w:rsidP="00A97EB3">
      <w:pPr>
        <w:pStyle w:val="FootnoteText"/>
        <w:spacing w:line="240" w:lineRule="auto"/>
        <w:rPr>
          <w:szCs w:val="20"/>
        </w:rPr>
      </w:pPr>
      <w:r w:rsidRPr="00A97EB3">
        <w:rPr>
          <w:rStyle w:val="FootnoteReference"/>
          <w:rFonts w:cs="Arial"/>
          <w:szCs w:val="20"/>
        </w:rPr>
        <w:footnoteRef/>
      </w:r>
      <w:r w:rsidRPr="00A97EB3">
        <w:rPr>
          <w:szCs w:val="20"/>
        </w:rPr>
        <w:t xml:space="preserve"> </w:t>
      </w:r>
      <w:r w:rsidRPr="00A97EB3">
        <w:rPr>
          <w:i/>
          <w:szCs w:val="20"/>
        </w:rPr>
        <w:t>Open Art Network</w:t>
      </w:r>
      <w:r w:rsidRPr="00A97EB3">
        <w:rPr>
          <w:szCs w:val="20"/>
        </w:rPr>
        <w:t xml:space="preserve"> submission, 2004.</w:t>
      </w:r>
    </w:p>
    <w:p w14:paraId="4227949D" w14:textId="77777777" w:rsidR="00796AB8" w:rsidRPr="00A97EB3" w:rsidRDefault="00796AB8" w:rsidP="00A97EB3">
      <w:pPr>
        <w:pStyle w:val="FootnoteText"/>
        <w:spacing w:line="240" w:lineRule="auto"/>
        <w:rPr>
          <w:szCs w:val="20"/>
        </w:rPr>
      </w:pPr>
    </w:p>
  </w:footnote>
  <w:footnote w:id="27">
    <w:p w14:paraId="037D2939" w14:textId="77777777" w:rsidR="00796AB8" w:rsidRPr="00CA3AE8" w:rsidRDefault="00796AB8" w:rsidP="00A97EB3">
      <w:pPr>
        <w:pStyle w:val="FootnoteText"/>
        <w:spacing w:line="240" w:lineRule="auto"/>
        <w:rPr>
          <w:lang w:val="en-US"/>
        </w:rPr>
      </w:pPr>
      <w:r w:rsidRPr="00A97EB3">
        <w:rPr>
          <w:rStyle w:val="FootnoteReference"/>
          <w:rFonts w:cs="Arial"/>
          <w:szCs w:val="20"/>
        </w:rPr>
        <w:footnoteRef/>
      </w:r>
      <w:r w:rsidRPr="00A97EB3">
        <w:rPr>
          <w:szCs w:val="20"/>
        </w:rPr>
        <w:t xml:space="preserve"> Latour, ‘From Realpolitik to </w:t>
      </w:r>
      <w:proofErr w:type="spellStart"/>
      <w:r w:rsidRPr="00A97EB3">
        <w:rPr>
          <w:szCs w:val="20"/>
        </w:rPr>
        <w:t>Dingpolitik</w:t>
      </w:r>
      <w:proofErr w:type="spellEnd"/>
      <w:r w:rsidRPr="00A97EB3">
        <w:rPr>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C25D2"/>
    <w:multiLevelType w:val="hybridMultilevel"/>
    <w:tmpl w:val="2C8A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103B3"/>
    <w:multiLevelType w:val="hybridMultilevel"/>
    <w:tmpl w:val="140A25E8"/>
    <w:lvl w:ilvl="0" w:tplc="BF32C2E8">
      <w:numFmt w:val="bullet"/>
      <w:lvlText w:val=""/>
      <w:lvlJc w:val="left"/>
      <w:pPr>
        <w:tabs>
          <w:tab w:val="num" w:pos="737"/>
        </w:tabs>
        <w:ind w:left="737" w:hanging="170"/>
      </w:pPr>
      <w:rPr>
        <w:rFonts w:ascii="Symbol" w:hAnsi="Symbol" w:hint="default"/>
      </w:rPr>
    </w:lvl>
    <w:lvl w:ilvl="1" w:tplc="00030410" w:tentative="1">
      <w:start w:val="1"/>
      <w:numFmt w:val="bullet"/>
      <w:lvlText w:val="o"/>
      <w:lvlJc w:val="left"/>
      <w:pPr>
        <w:tabs>
          <w:tab w:val="num" w:pos="2007"/>
        </w:tabs>
        <w:ind w:left="2007" w:hanging="360"/>
      </w:pPr>
      <w:rPr>
        <w:rFonts w:ascii="Courier New" w:hAnsi="Courier New" w:hint="default"/>
      </w:rPr>
    </w:lvl>
    <w:lvl w:ilvl="2" w:tplc="00050410" w:tentative="1">
      <w:start w:val="1"/>
      <w:numFmt w:val="bullet"/>
      <w:lvlText w:val=""/>
      <w:lvlJc w:val="left"/>
      <w:pPr>
        <w:tabs>
          <w:tab w:val="num" w:pos="2727"/>
        </w:tabs>
        <w:ind w:left="2727" w:hanging="360"/>
      </w:pPr>
      <w:rPr>
        <w:rFonts w:ascii="Wingdings" w:hAnsi="Wingdings" w:hint="default"/>
      </w:rPr>
    </w:lvl>
    <w:lvl w:ilvl="3" w:tplc="00010410" w:tentative="1">
      <w:start w:val="1"/>
      <w:numFmt w:val="bullet"/>
      <w:lvlText w:val=""/>
      <w:lvlJc w:val="left"/>
      <w:pPr>
        <w:tabs>
          <w:tab w:val="num" w:pos="3447"/>
        </w:tabs>
        <w:ind w:left="3447" w:hanging="360"/>
      </w:pPr>
      <w:rPr>
        <w:rFonts w:ascii="Symbol" w:hAnsi="Symbol" w:hint="default"/>
      </w:rPr>
    </w:lvl>
    <w:lvl w:ilvl="4" w:tplc="00030410" w:tentative="1">
      <w:start w:val="1"/>
      <w:numFmt w:val="bullet"/>
      <w:lvlText w:val="o"/>
      <w:lvlJc w:val="left"/>
      <w:pPr>
        <w:tabs>
          <w:tab w:val="num" w:pos="4167"/>
        </w:tabs>
        <w:ind w:left="4167" w:hanging="360"/>
      </w:pPr>
      <w:rPr>
        <w:rFonts w:ascii="Courier New" w:hAnsi="Courier New" w:hint="default"/>
      </w:rPr>
    </w:lvl>
    <w:lvl w:ilvl="5" w:tplc="00050410" w:tentative="1">
      <w:start w:val="1"/>
      <w:numFmt w:val="bullet"/>
      <w:lvlText w:val=""/>
      <w:lvlJc w:val="left"/>
      <w:pPr>
        <w:tabs>
          <w:tab w:val="num" w:pos="4887"/>
        </w:tabs>
        <w:ind w:left="4887" w:hanging="360"/>
      </w:pPr>
      <w:rPr>
        <w:rFonts w:ascii="Wingdings" w:hAnsi="Wingdings" w:hint="default"/>
      </w:rPr>
    </w:lvl>
    <w:lvl w:ilvl="6" w:tplc="00010410" w:tentative="1">
      <w:start w:val="1"/>
      <w:numFmt w:val="bullet"/>
      <w:lvlText w:val=""/>
      <w:lvlJc w:val="left"/>
      <w:pPr>
        <w:tabs>
          <w:tab w:val="num" w:pos="5607"/>
        </w:tabs>
        <w:ind w:left="5607" w:hanging="360"/>
      </w:pPr>
      <w:rPr>
        <w:rFonts w:ascii="Symbol" w:hAnsi="Symbol" w:hint="default"/>
      </w:rPr>
    </w:lvl>
    <w:lvl w:ilvl="7" w:tplc="00030410" w:tentative="1">
      <w:start w:val="1"/>
      <w:numFmt w:val="bullet"/>
      <w:lvlText w:val="o"/>
      <w:lvlJc w:val="left"/>
      <w:pPr>
        <w:tabs>
          <w:tab w:val="num" w:pos="6327"/>
        </w:tabs>
        <w:ind w:left="6327" w:hanging="360"/>
      </w:pPr>
      <w:rPr>
        <w:rFonts w:ascii="Courier New" w:hAnsi="Courier New" w:hint="default"/>
      </w:rPr>
    </w:lvl>
    <w:lvl w:ilvl="8" w:tplc="00050410"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B8"/>
    <w:rsid w:val="00035E90"/>
    <w:rsid w:val="00131DF4"/>
    <w:rsid w:val="001C0BB2"/>
    <w:rsid w:val="00352E6A"/>
    <w:rsid w:val="00796AB8"/>
    <w:rsid w:val="007C6C20"/>
    <w:rsid w:val="00924172"/>
    <w:rsid w:val="00A97EB3"/>
    <w:rsid w:val="00B177C9"/>
    <w:rsid w:val="00C3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31075D"/>
  <w14:defaultImageDpi w14:val="32767"/>
  <w15:chartTrackingRefBased/>
  <w15:docId w15:val="{5301455C-0AB5-294A-A0F7-88F34385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6AB8"/>
    <w:pPr>
      <w:jc w:val="both"/>
    </w:pPr>
    <w:rPr>
      <w:rFonts w:ascii="Arial" w:eastAsia="Times New Roman" w:hAnsi="Arial" w:cs="Times New Roman"/>
      <w:szCs w:val="20"/>
      <w:lang w:val="it-IT" w:eastAsia="it-IT"/>
    </w:rPr>
  </w:style>
  <w:style w:type="paragraph" w:styleId="Heading1">
    <w:name w:val="heading 1"/>
    <w:basedOn w:val="Heading2"/>
    <w:next w:val="Normal"/>
    <w:link w:val="Heading1Char"/>
    <w:uiPriority w:val="9"/>
    <w:qFormat/>
    <w:rsid w:val="00796AB8"/>
    <w:pPr>
      <w:outlineLvl w:val="0"/>
    </w:pPr>
    <w:rPr>
      <w:sz w:val="32"/>
      <w:szCs w:val="32"/>
    </w:rPr>
  </w:style>
  <w:style w:type="paragraph" w:styleId="Heading2">
    <w:name w:val="heading 2"/>
    <w:aliases w:val="Titolo 2 tesi Nisa"/>
    <w:basedOn w:val="Normal"/>
    <w:next w:val="CorpodeltestotesiNisa"/>
    <w:link w:val="Heading2Char"/>
    <w:qFormat/>
    <w:rsid w:val="00796AB8"/>
    <w:pPr>
      <w:keepNext/>
      <w:spacing w:before="240" w:after="120" w:line="312" w:lineRule="auto"/>
      <w:outlineLvl w:val="1"/>
    </w:pPr>
    <w:rPr>
      <w:b/>
      <w:sz w:val="28"/>
      <w:szCs w:val="28"/>
    </w:rPr>
  </w:style>
  <w:style w:type="paragraph" w:styleId="Heading3">
    <w:name w:val="heading 3"/>
    <w:aliases w:val="Titolo 3 tesi Nisa"/>
    <w:basedOn w:val="Normal"/>
    <w:next w:val="CorpodeltestotesiNisa"/>
    <w:link w:val="Heading3Char"/>
    <w:qFormat/>
    <w:rsid w:val="00796AB8"/>
    <w:pPr>
      <w:keepNext/>
      <w:spacing w:before="240" w:after="60" w:line="312" w:lineRule="auto"/>
      <w:outlineLvl w:val="2"/>
    </w:pPr>
    <w:rPr>
      <w:b/>
      <w:i/>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olo 2 tesi Nisa Char"/>
    <w:basedOn w:val="DefaultParagraphFont"/>
    <w:link w:val="Heading2"/>
    <w:rsid w:val="00796AB8"/>
    <w:rPr>
      <w:rFonts w:ascii="Arial" w:eastAsia="Times New Roman" w:hAnsi="Arial" w:cs="Times New Roman"/>
      <w:b/>
      <w:sz w:val="28"/>
      <w:szCs w:val="28"/>
      <w:lang w:val="it-IT" w:eastAsia="it-IT"/>
    </w:rPr>
  </w:style>
  <w:style w:type="character" w:customStyle="1" w:styleId="Heading3Char">
    <w:name w:val="Heading 3 Char"/>
    <w:aliases w:val="Titolo 3 tesi Nisa Char"/>
    <w:basedOn w:val="DefaultParagraphFont"/>
    <w:link w:val="Heading3"/>
    <w:rsid w:val="00796AB8"/>
    <w:rPr>
      <w:rFonts w:ascii="Arial" w:eastAsia="Times New Roman" w:hAnsi="Arial" w:cs="Times New Roman"/>
      <w:b/>
      <w:i/>
      <w:szCs w:val="26"/>
      <w:lang w:eastAsia="it-IT"/>
    </w:rPr>
  </w:style>
  <w:style w:type="paragraph" w:customStyle="1" w:styleId="CorpodeltestotesiNisa">
    <w:name w:val="Corpo del testo tesi Nisa"/>
    <w:basedOn w:val="Normal"/>
    <w:rsid w:val="00796AB8"/>
    <w:pPr>
      <w:spacing w:line="312" w:lineRule="auto"/>
      <w:ind w:firstLine="567"/>
    </w:pPr>
    <w:rPr>
      <w:lang w:val="en-GB"/>
    </w:rPr>
  </w:style>
  <w:style w:type="paragraph" w:customStyle="1" w:styleId="BloccotestotesiNisa">
    <w:name w:val="Blocco testo tesi Nisa"/>
    <w:basedOn w:val="Normal"/>
    <w:next w:val="Normal"/>
    <w:rsid w:val="00796AB8"/>
    <w:pPr>
      <w:spacing w:before="480" w:after="480" w:line="312" w:lineRule="auto"/>
      <w:ind w:left="567" w:right="567"/>
    </w:pPr>
    <w:rPr>
      <w:sz w:val="18"/>
      <w:lang w:val="en-GB"/>
    </w:rPr>
  </w:style>
  <w:style w:type="paragraph" w:styleId="FootnoteText">
    <w:name w:val="footnote text"/>
    <w:aliases w:val="Testo nota a piè di pagina tesi Nisa"/>
    <w:basedOn w:val="Normal"/>
    <w:link w:val="FootnoteTextChar"/>
    <w:semiHidden/>
    <w:rsid w:val="00796AB8"/>
    <w:pPr>
      <w:keepLines/>
      <w:spacing w:line="312" w:lineRule="auto"/>
    </w:pPr>
    <w:rPr>
      <w:sz w:val="20"/>
      <w:szCs w:val="24"/>
      <w:lang w:val="en-GB"/>
    </w:rPr>
  </w:style>
  <w:style w:type="character" w:customStyle="1" w:styleId="FootnoteTextChar">
    <w:name w:val="Footnote Text Char"/>
    <w:aliases w:val="Testo nota a piè di pagina tesi Nisa Char"/>
    <w:basedOn w:val="DefaultParagraphFont"/>
    <w:link w:val="FootnoteText"/>
    <w:semiHidden/>
    <w:rsid w:val="00796AB8"/>
    <w:rPr>
      <w:rFonts w:ascii="Arial" w:eastAsia="Times New Roman" w:hAnsi="Arial" w:cs="Times New Roman"/>
      <w:sz w:val="20"/>
      <w:lang w:eastAsia="it-IT"/>
    </w:rPr>
  </w:style>
  <w:style w:type="paragraph" w:customStyle="1" w:styleId="DidascalietesiNisa">
    <w:name w:val="Didascalie tesi Nisa"/>
    <w:basedOn w:val="Normal"/>
    <w:rsid w:val="00796AB8"/>
    <w:pPr>
      <w:spacing w:before="360" w:after="120" w:line="312" w:lineRule="auto"/>
    </w:pPr>
    <w:rPr>
      <w:sz w:val="20"/>
      <w:lang w:val="en-GB"/>
    </w:rPr>
  </w:style>
  <w:style w:type="character" w:styleId="FootnoteReference">
    <w:name w:val="footnote reference"/>
    <w:semiHidden/>
    <w:rsid w:val="00796AB8"/>
    <w:rPr>
      <w:vertAlign w:val="superscript"/>
    </w:rPr>
  </w:style>
  <w:style w:type="paragraph" w:customStyle="1" w:styleId="BibliografiatesiNisa">
    <w:name w:val="Bibliografia tesi Nisa"/>
    <w:basedOn w:val="Normal"/>
    <w:rsid w:val="00796AB8"/>
    <w:pPr>
      <w:spacing w:line="480" w:lineRule="auto"/>
      <w:ind w:left="567" w:hanging="567"/>
    </w:pPr>
    <w:rPr>
      <w:szCs w:val="24"/>
      <w:lang w:val="en-GB"/>
    </w:rPr>
  </w:style>
  <w:style w:type="character" w:customStyle="1" w:styleId="gt-card-ttl-txt">
    <w:name w:val="gt-card-ttl-txt"/>
    <w:rsid w:val="00796AB8"/>
  </w:style>
  <w:style w:type="character" w:customStyle="1" w:styleId="Heading1Char">
    <w:name w:val="Heading 1 Char"/>
    <w:basedOn w:val="DefaultParagraphFont"/>
    <w:link w:val="Heading1"/>
    <w:uiPriority w:val="9"/>
    <w:rsid w:val="00796AB8"/>
    <w:rPr>
      <w:rFonts w:ascii="Arial" w:eastAsia="Times New Roman" w:hAnsi="Arial" w:cs="Times New Roman"/>
      <w:b/>
      <w:sz w:val="32"/>
      <w:szCs w:val="32"/>
      <w:lang w:val="it-IT" w:eastAsia="it-IT"/>
    </w:rPr>
  </w:style>
  <w:style w:type="paragraph" w:styleId="Quote">
    <w:name w:val="Quote"/>
    <w:basedOn w:val="BloccotestotesiNisa"/>
    <w:next w:val="Normal"/>
    <w:link w:val="QuoteChar"/>
    <w:uiPriority w:val="29"/>
    <w:qFormat/>
    <w:rsid w:val="00796AB8"/>
  </w:style>
  <w:style w:type="character" w:customStyle="1" w:styleId="QuoteChar">
    <w:name w:val="Quote Char"/>
    <w:basedOn w:val="DefaultParagraphFont"/>
    <w:link w:val="Quote"/>
    <w:uiPriority w:val="29"/>
    <w:rsid w:val="00796AB8"/>
    <w:rPr>
      <w:rFonts w:ascii="Arial" w:eastAsia="Times New Roman" w:hAnsi="Arial" w:cs="Times New Roman"/>
      <w:sz w:val="18"/>
      <w:szCs w:val="20"/>
      <w:lang w:eastAsia="it-IT"/>
    </w:rPr>
  </w:style>
  <w:style w:type="paragraph" w:styleId="ListParagraph">
    <w:name w:val="List Paragraph"/>
    <w:basedOn w:val="Normal"/>
    <w:uiPriority w:val="34"/>
    <w:qFormat/>
    <w:rsid w:val="0079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5577</Words>
  <Characters>31791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2018-11-12T13:21:00Z</dcterms:created>
  <dcterms:modified xsi:type="dcterms:W3CDTF">2018-11-12T19:38:00Z</dcterms:modified>
</cp:coreProperties>
</file>