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DDEE" w14:textId="09537E1A" w:rsidR="00153F3A" w:rsidRPr="002A59FB" w:rsidRDefault="00153F3A" w:rsidP="005B6E0C">
      <w:pPr>
        <w:pStyle w:val="Heading1"/>
      </w:pPr>
      <w:r>
        <w:t xml:space="preserve">Chapter Seven: </w:t>
      </w:r>
      <w:r w:rsidRPr="002A59FB">
        <w:t xml:space="preserve">Unlawful Data Access and Abuse of Metadata for Mass Persecution of Dissidents in Turkey: The </w:t>
      </w:r>
      <w:proofErr w:type="spellStart"/>
      <w:r w:rsidRPr="002A59FB">
        <w:t>By</w:t>
      </w:r>
      <w:r>
        <w:t>L</w:t>
      </w:r>
      <w:r w:rsidRPr="002A59FB">
        <w:t>ock</w:t>
      </w:r>
      <w:proofErr w:type="spellEnd"/>
      <w:r w:rsidRPr="002A59FB">
        <w:t xml:space="preserve"> Case</w:t>
      </w:r>
    </w:p>
    <w:p w14:paraId="5A099AA6" w14:textId="1FFA1998" w:rsidR="00153F3A" w:rsidRPr="005B6E0C" w:rsidRDefault="00153F3A" w:rsidP="00153F3A">
      <w:r w:rsidRPr="002A59FB">
        <w:t xml:space="preserve">A. </w:t>
      </w:r>
      <w:proofErr w:type="spellStart"/>
      <w:r w:rsidRPr="002A59FB">
        <w:t>Sefa</w:t>
      </w:r>
      <w:proofErr w:type="spellEnd"/>
      <w:r w:rsidRPr="002A59FB">
        <w:t xml:space="preserve"> </w:t>
      </w:r>
      <w:proofErr w:type="spellStart"/>
      <w:r w:rsidRPr="002A59FB">
        <w:t>Ozalp</w:t>
      </w:r>
      <w:proofErr w:type="spellEnd"/>
    </w:p>
    <w:p w14:paraId="3D7EBB5B" w14:textId="77777777" w:rsidR="00153F3A" w:rsidRPr="005B6E0C" w:rsidRDefault="00153F3A" w:rsidP="005B6E0C">
      <w:pPr>
        <w:rPr>
          <w:b/>
        </w:rPr>
      </w:pPr>
      <w:bookmarkStart w:id="0" w:name="_56aisoekzq01" w:colFirst="0" w:colLast="0"/>
      <w:bookmarkEnd w:id="0"/>
      <w:r w:rsidRPr="005B6E0C">
        <w:rPr>
          <w:b/>
        </w:rPr>
        <w:t>Abstract</w:t>
      </w:r>
    </w:p>
    <w:p w14:paraId="3DD1FEBB" w14:textId="3631FD55" w:rsidR="00153F3A" w:rsidRDefault="00153F3A" w:rsidP="001D4337">
      <w:r w:rsidRPr="140FF3D0">
        <w:rPr>
          <w:rFonts w:ascii="Times New Roman" w:eastAsia="Times New Roman" w:hAnsi="Times New Roman" w:cs="Times New Roman"/>
          <w:sz w:val="24"/>
          <w:szCs w:val="24"/>
          <w:lang w:val="en-GB"/>
        </w:rPr>
        <w:t xml:space="preserve">This chapter presents a critical case study of unlawful metadata access and retroactive criminalization of encryption to persecute perceived dissidents by focusing on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prosecutions in Turkey. Although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was a public and free encrypted mobile chat application, the Turkish government argues that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was exclusively used by the members of the </w:t>
      </w:r>
      <w:proofErr w:type="spellStart"/>
      <w:r w:rsidRPr="140FF3D0">
        <w:rPr>
          <w:rFonts w:ascii="Times New Roman" w:eastAsia="Times New Roman" w:hAnsi="Times New Roman" w:cs="Times New Roman"/>
          <w:sz w:val="24"/>
          <w:szCs w:val="24"/>
          <w:lang w:val="en-GB"/>
        </w:rPr>
        <w:t>Gulen</w:t>
      </w:r>
      <w:proofErr w:type="spellEnd"/>
      <w:r w:rsidRPr="140FF3D0">
        <w:rPr>
          <w:rFonts w:ascii="Times New Roman" w:eastAsia="Times New Roman" w:hAnsi="Times New Roman" w:cs="Times New Roman"/>
          <w:sz w:val="24"/>
          <w:szCs w:val="24"/>
          <w:lang w:val="en-GB"/>
        </w:rPr>
        <w:t xml:space="preserve"> Movement (GM), which the Turkish government accuses of organizing the failed coup attempt against President Erdogan in 2016. Under post-coup measures, tens of thousands of alleged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users have been arrested under GM probe and handed down heavy prison sentences on terrorism charges. This chapter aims to highlight the threat of </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bad data</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 xml:space="preserve"> practices, such as criminalization of encryption, unlawful data access and abuse of communications metadata to persecute perceived dissidents, by unpicking</w:t>
      </w:r>
      <w:r>
        <w:rPr>
          <w:rFonts w:ascii="Times New Roman" w:eastAsia="Times New Roman" w:hAnsi="Times New Roman" w:cs="Times New Roman"/>
          <w:sz w:val="24"/>
          <w:szCs w:val="24"/>
          <w:lang w:val="en-GB"/>
        </w:rPr>
        <w:t xml:space="preserve"> the</w:t>
      </w:r>
      <w:r w:rsidRPr="140FF3D0">
        <w:rPr>
          <w:rFonts w:ascii="Times New Roman" w:eastAsia="Times New Roman" w:hAnsi="Times New Roman" w:cs="Times New Roman"/>
          <w:sz w:val="24"/>
          <w:szCs w:val="24"/>
          <w:lang w:val="en-GB"/>
        </w:rPr>
        <w:t xml:space="preserve"> Turkish state’s claims and the evidence presented to courts by the Turkish state during</w:t>
      </w:r>
      <w:r>
        <w:rPr>
          <w:rFonts w:ascii="Times New Roman" w:eastAsia="Times New Roman" w:hAnsi="Times New Roman" w:cs="Times New Roman"/>
          <w:sz w:val="24"/>
          <w:szCs w:val="24"/>
          <w:lang w:val="en-GB"/>
        </w:rPr>
        <w:t xml:space="preserve"> the</w:t>
      </w:r>
      <w:r w:rsidRPr="140FF3D0">
        <w:rPr>
          <w:rFonts w:ascii="Times New Roman" w:eastAsia="Times New Roman" w:hAnsi="Times New Roman" w:cs="Times New Roman"/>
          <w:sz w:val="24"/>
          <w:szCs w:val="24"/>
          <w:lang w:val="en-GB"/>
        </w:rPr>
        <w:t xml:space="preserve">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trials. By doing so, this chapter contributes to current metadata retention and lawful access debate by detailing material effects of metadata exploitation for political purposes by government authorities. This chapter contends that lessons learned from the </w:t>
      </w:r>
      <w:proofErr w:type="spellStart"/>
      <w:r w:rsidRPr="140FF3D0">
        <w:rPr>
          <w:rFonts w:ascii="Times New Roman" w:eastAsia="Times New Roman" w:hAnsi="Times New Roman" w:cs="Times New Roman"/>
          <w:sz w:val="24"/>
          <w:szCs w:val="24"/>
          <w:lang w:val="en-GB"/>
        </w:rPr>
        <w:t>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w:t>
      </w:r>
      <w:proofErr w:type="spellEnd"/>
      <w:r w:rsidRPr="140FF3D0">
        <w:rPr>
          <w:rFonts w:ascii="Times New Roman" w:eastAsia="Times New Roman" w:hAnsi="Times New Roman" w:cs="Times New Roman"/>
          <w:sz w:val="24"/>
          <w:szCs w:val="24"/>
          <w:lang w:val="en-GB"/>
        </w:rPr>
        <w:t xml:space="preserve"> case illustrate how critical </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Good Data</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 xml:space="preserve"> principles and the integrity of encrypted and secure communication channels are for democracies.</w:t>
      </w:r>
    </w:p>
    <w:p w14:paraId="3C26197C" w14:textId="77777777" w:rsidR="00153F3A" w:rsidRPr="002A59FB" w:rsidRDefault="00153F3A" w:rsidP="005B6E0C">
      <w:pPr>
        <w:pStyle w:val="Heading2"/>
      </w:pPr>
      <w:r w:rsidRPr="002A59FB">
        <w:t>Introduction</w:t>
      </w:r>
    </w:p>
    <w:p w14:paraId="1CAC83D0"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 xml:space="preserve">Digital communication technologies (DCTs) have altered the way we generate, share and receive information. For the most part, DCTs have made public and private communications faster, cheaper, and easier. Although these advancements </w:t>
      </w:r>
      <w:r>
        <w:rPr>
          <w:rFonts w:ascii="Times New Roman" w:eastAsia="Calibri" w:hAnsi="Times New Roman" w:cs="Times New Roman"/>
          <w:sz w:val="24"/>
          <w:szCs w:val="24"/>
          <w:lang w:val="en-US"/>
        </w:rPr>
        <w:t>have been</w:t>
      </w:r>
      <w:r w:rsidRPr="00161A04">
        <w:rPr>
          <w:rFonts w:ascii="Times New Roman" w:eastAsia="Calibri" w:hAnsi="Times New Roman" w:cs="Times New Roman"/>
          <w:sz w:val="24"/>
          <w:szCs w:val="24"/>
          <w:lang w:val="en-US"/>
        </w:rPr>
        <w:t xml:space="preserve"> beneficial for people in general, DCTs have introduced new threats to privacy and information security. As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Snowden leaks revealed, DCT infrastructures have enabled state actors to access ‘bulk’ digital communications data and increased the surveillance capabilities of state actors exponentially.</w:t>
      </w:r>
      <w:r w:rsidRPr="00161A04">
        <w:rPr>
          <w:rStyle w:val="FootnoteReference"/>
          <w:rFonts w:ascii="Times New Roman" w:hAnsi="Times New Roman" w:cs="Times New Roman"/>
          <w:color w:val="000000" w:themeColor="text1"/>
          <w:sz w:val="24"/>
          <w:szCs w:val="24"/>
          <w:lang w:val="en-US"/>
        </w:rPr>
        <w:footnoteReference w:id="1"/>
      </w:r>
      <w:r w:rsidRPr="00161A04">
        <w:rPr>
          <w:rFonts w:ascii="Times New Roman" w:eastAsia="Calibri" w:hAnsi="Times New Roman" w:cs="Times New Roman"/>
          <w:sz w:val="24"/>
          <w:szCs w:val="24"/>
          <w:lang w:val="en-US"/>
        </w:rPr>
        <w:t xml:space="preserve"> Dissidents, minority populations and activists have been disproportionally affected by the increased digital surveillance efforts of state actors.</w:t>
      </w:r>
      <w:r w:rsidRPr="00161A04">
        <w:rPr>
          <w:rStyle w:val="FootnoteReference"/>
          <w:rFonts w:ascii="Times New Roman" w:hAnsi="Times New Roman" w:cs="Times New Roman"/>
          <w:color w:val="000000" w:themeColor="text1"/>
          <w:sz w:val="24"/>
          <w:szCs w:val="24"/>
          <w:lang w:val="en-US"/>
        </w:rPr>
        <w:footnoteReference w:id="2"/>
      </w:r>
    </w:p>
    <w:p w14:paraId="21498D45"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 xml:space="preserve">In the age of DCTs, many fundamental rights essential </w:t>
      </w:r>
      <w:r>
        <w:rPr>
          <w:rFonts w:ascii="Times New Roman" w:eastAsia="Calibri" w:hAnsi="Times New Roman" w:cs="Times New Roman"/>
          <w:sz w:val="24"/>
          <w:szCs w:val="24"/>
          <w:lang w:val="en-US"/>
        </w:rPr>
        <w:t>for</w:t>
      </w:r>
      <w:r w:rsidRPr="00161A04">
        <w:rPr>
          <w:rFonts w:ascii="Times New Roman" w:eastAsia="Calibri" w:hAnsi="Times New Roman" w:cs="Times New Roman"/>
          <w:sz w:val="24"/>
          <w:szCs w:val="24"/>
          <w:lang w:val="en-US"/>
        </w:rPr>
        <w:t xml:space="preserve"> a ‘Good Democracy’ -</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such as the freedom of expression, the freedom of political thought, the freedom of religion, the freedom of association, and the right to privacy</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 xml:space="preserve">- are dependent on having strong information security. </w:t>
      </w:r>
      <w:r>
        <w:rPr>
          <w:rFonts w:ascii="Times New Roman" w:eastAsia="Calibri" w:hAnsi="Times New Roman" w:cs="Times New Roman"/>
          <w:sz w:val="24"/>
          <w:szCs w:val="24"/>
          <w:lang w:val="en-US"/>
        </w:rPr>
        <w:t>F</w:t>
      </w:r>
      <w:r w:rsidRPr="00161A04">
        <w:rPr>
          <w:rFonts w:ascii="Times New Roman" w:eastAsia="Calibri" w:hAnsi="Times New Roman" w:cs="Times New Roman"/>
          <w:sz w:val="24"/>
          <w:szCs w:val="24"/>
          <w:lang w:val="en-US"/>
        </w:rPr>
        <w:t xml:space="preserve">reedom of expression is defined as the ‘freedom to hold opinions and to receive and impart information and ideas without interference by public authority and regardless of frontiers’ in </w:t>
      </w:r>
      <w:r w:rsidRPr="00161A04">
        <w:rPr>
          <w:rFonts w:ascii="Times New Roman" w:eastAsia="Calibri" w:hAnsi="Times New Roman" w:cs="Times New Roman"/>
          <w:sz w:val="24"/>
          <w:szCs w:val="24"/>
          <w:lang w:val="en-US"/>
        </w:rPr>
        <w:lastRenderedPageBreak/>
        <w:t>the Charter of Fundamental Rights of the European Union (CFR).</w:t>
      </w:r>
      <w:r w:rsidRPr="00161A04">
        <w:rPr>
          <w:rStyle w:val="FootnoteReference"/>
          <w:rFonts w:ascii="Times New Roman" w:eastAsiaTheme="minorEastAsia" w:hAnsi="Times New Roman" w:cs="Times New Roman"/>
          <w:sz w:val="24"/>
          <w:szCs w:val="24"/>
        </w:rPr>
        <w:footnoteReference w:id="3"/>
      </w:r>
      <w:r w:rsidRPr="00161A04">
        <w:rPr>
          <w:rFonts w:ascii="Times New Roman" w:eastAsia="Calibri" w:hAnsi="Times New Roman" w:cs="Times New Roman"/>
          <w:sz w:val="24"/>
          <w:szCs w:val="24"/>
          <w:lang w:val="en-US"/>
        </w:rPr>
        <w:t xml:space="preserve"> In order to have a ‘Good Democracy’, activists, dissidents, or people in general need to be able to communicate securely to enjoy the freedom ‘to receive and impart information without interference by public authority’.</w:t>
      </w:r>
      <w:r w:rsidRPr="00161A04">
        <w:rPr>
          <w:rStyle w:val="FootnoteReference"/>
          <w:rFonts w:ascii="Times New Roman" w:hAnsi="Times New Roman" w:cs="Times New Roman"/>
          <w:color w:val="000000" w:themeColor="text1"/>
          <w:sz w:val="24"/>
          <w:szCs w:val="24"/>
          <w:lang w:val="en-US"/>
        </w:rPr>
        <w:footnoteReference w:id="4"/>
      </w:r>
      <w:r w:rsidRPr="00161A04">
        <w:rPr>
          <w:rFonts w:ascii="Times New Roman" w:eastAsia="Calibri" w:hAnsi="Times New Roman" w:cs="Times New Roman"/>
          <w:sz w:val="24"/>
          <w:szCs w:val="24"/>
          <w:lang w:val="en-US"/>
        </w:rPr>
        <w:t xml:space="preserve"> Therefore, ‘Good Data’ and counter-surveillance practices such as online anonymity and encryption tools are integral to</w:t>
      </w:r>
      <w:r>
        <w:rPr>
          <w:rFonts w:ascii="Times New Roman" w:eastAsia="Calibri" w:hAnsi="Times New Roman" w:cs="Times New Roman"/>
          <w:sz w:val="24"/>
          <w:szCs w:val="24"/>
          <w:lang w:val="en-US"/>
        </w:rPr>
        <w:t xml:space="preserve"> having</w:t>
      </w:r>
      <w:r w:rsidRPr="00161A04">
        <w:rPr>
          <w:rFonts w:ascii="Times New Roman" w:eastAsia="Calibri" w:hAnsi="Times New Roman" w:cs="Times New Roman"/>
          <w:sz w:val="24"/>
          <w:szCs w:val="24"/>
          <w:lang w:val="en-US"/>
        </w:rPr>
        <w:t xml:space="preserve"> a ‘Good Democracy’. Since encryption is an essential </w:t>
      </w:r>
      <w:r>
        <w:rPr>
          <w:rFonts w:ascii="Times New Roman" w:eastAsia="Calibri" w:hAnsi="Times New Roman" w:cs="Times New Roman"/>
          <w:sz w:val="24"/>
          <w:szCs w:val="24"/>
          <w:lang w:val="en-US"/>
        </w:rPr>
        <w:t>tool</w:t>
      </w:r>
      <w:r w:rsidRPr="00161A04">
        <w:rPr>
          <w:rFonts w:ascii="Times New Roman" w:eastAsia="Calibri" w:hAnsi="Times New Roman" w:cs="Times New Roman"/>
          <w:sz w:val="24"/>
          <w:szCs w:val="24"/>
          <w:lang w:val="en-US"/>
        </w:rPr>
        <w:t xml:space="preserve"> to secure DCTs from state surveillance, encrypted and secure communication platforms frequently come under the attack </w:t>
      </w:r>
      <w:r>
        <w:rPr>
          <w:rFonts w:ascii="Times New Roman" w:eastAsia="Calibri" w:hAnsi="Times New Roman" w:cs="Times New Roman"/>
          <w:sz w:val="24"/>
          <w:szCs w:val="24"/>
          <w:lang w:val="en-US"/>
        </w:rPr>
        <w:t>by</w:t>
      </w:r>
      <w:r w:rsidRPr="00161A04">
        <w:rPr>
          <w:rFonts w:ascii="Times New Roman" w:eastAsia="Calibri" w:hAnsi="Times New Roman" w:cs="Times New Roman"/>
          <w:sz w:val="24"/>
          <w:szCs w:val="24"/>
          <w:lang w:val="en-US"/>
        </w:rPr>
        <w:t xml:space="preserve"> states, citing national security concerns.</w:t>
      </w:r>
      <w:r w:rsidRPr="00161A04">
        <w:rPr>
          <w:rStyle w:val="FootnoteReference"/>
          <w:rFonts w:ascii="Times New Roman" w:hAnsi="Times New Roman" w:cs="Times New Roman"/>
          <w:color w:val="000000" w:themeColor="text1"/>
          <w:sz w:val="24"/>
          <w:szCs w:val="24"/>
          <w:lang w:val="en-US"/>
        </w:rPr>
        <w:footnoteReference w:id="5"/>
      </w:r>
      <w:r w:rsidRPr="00161A04">
        <w:rPr>
          <w:rFonts w:ascii="Times New Roman" w:eastAsia="Calibri" w:hAnsi="Times New Roman" w:cs="Times New Roman"/>
          <w:sz w:val="24"/>
          <w:szCs w:val="24"/>
          <w:lang w:val="en-US"/>
        </w:rPr>
        <w:t xml:space="preserve"> These attacks constitute ‘bad data’ practices because they involve attempts to pass backdoor legislation, unlawfully spying on dissidents, activists and NGOs such as Privacy International,</w:t>
      </w:r>
      <w:r w:rsidRPr="00161A04">
        <w:rPr>
          <w:rStyle w:val="FootnoteReference"/>
          <w:rFonts w:ascii="Times New Roman" w:hAnsi="Times New Roman" w:cs="Times New Roman"/>
          <w:color w:val="000000" w:themeColor="text1"/>
          <w:sz w:val="24"/>
          <w:szCs w:val="24"/>
          <w:lang w:val="en-US"/>
        </w:rPr>
        <w:footnoteReference w:id="6"/>
      </w:r>
      <w:r w:rsidRPr="00161A04">
        <w:rPr>
          <w:rFonts w:ascii="Times New Roman" w:eastAsia="Calibri" w:hAnsi="Times New Roman" w:cs="Times New Roman"/>
          <w:sz w:val="24"/>
          <w:szCs w:val="24"/>
          <w:lang w:val="en-US"/>
        </w:rPr>
        <w:t xml:space="preserve"> and the use of unlawfully acquired or manipulated (meta)data to prosecute and/or persecute government critics. </w:t>
      </w:r>
    </w:p>
    <w:p w14:paraId="1DBD4737"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 xml:space="preserve">To illustrate the oppressive potentials of ‘bad data’ practices, I introduce a case study of mass persecution of perceived government critics over their alleged usage of an encrypted communication application called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in Turkey.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was a free and public chat application which was downloaded more than 500,000 times from</w:t>
      </w:r>
      <w:r>
        <w:rPr>
          <w:rFonts w:ascii="Times New Roman" w:eastAsia="Calibri" w:hAnsi="Times New Roman" w:cs="Times New Roman"/>
          <w:sz w:val="24"/>
          <w:szCs w:val="24"/>
          <w:lang w:val="en-US"/>
        </w:rPr>
        <w:t xml:space="preserve"> the</w:t>
      </w:r>
      <w:r w:rsidRPr="00161A04">
        <w:rPr>
          <w:rFonts w:ascii="Times New Roman" w:eastAsia="Calibri" w:hAnsi="Times New Roman" w:cs="Times New Roman"/>
          <w:sz w:val="24"/>
          <w:szCs w:val="24"/>
          <w:lang w:val="en-US"/>
        </w:rPr>
        <w:t xml:space="preserve"> App Store and Google Play Store between April 2014 and March 2016,</w:t>
      </w:r>
      <w:r w:rsidRPr="00161A04">
        <w:rPr>
          <w:rStyle w:val="FootnoteReference"/>
          <w:rFonts w:ascii="Times New Roman" w:hAnsi="Times New Roman" w:cs="Times New Roman"/>
          <w:color w:val="000000" w:themeColor="text1"/>
          <w:sz w:val="24"/>
          <w:szCs w:val="24"/>
          <w:lang w:val="en-US"/>
        </w:rPr>
        <w:footnoteReference w:id="7"/>
      </w:r>
      <w:r w:rsidRPr="00161A04">
        <w:rPr>
          <w:rFonts w:ascii="Times New Roman" w:eastAsia="Calibri" w:hAnsi="Times New Roman" w:cs="Times New Roman"/>
          <w:sz w:val="24"/>
          <w:szCs w:val="24"/>
          <w:lang w:val="en-US"/>
        </w:rPr>
        <w:t xml:space="preserve"> when it was deactivated when its developers stopped paying for the servers hosting the app.</w:t>
      </w:r>
      <w:r w:rsidRPr="00161A04">
        <w:rPr>
          <w:rStyle w:val="FootnoteReference"/>
          <w:rFonts w:ascii="Times New Roman" w:hAnsi="Times New Roman" w:cs="Times New Roman"/>
          <w:sz w:val="24"/>
          <w:szCs w:val="24"/>
        </w:rPr>
        <w:footnoteReference w:id="8"/>
      </w:r>
      <w:r w:rsidRPr="00161A04">
        <w:rPr>
          <w:rFonts w:ascii="Times New Roman" w:eastAsia="Calibri" w:hAnsi="Times New Roman" w:cs="Times New Roman"/>
          <w:sz w:val="24"/>
          <w:szCs w:val="24"/>
          <w:lang w:val="en-US"/>
        </w:rPr>
        <w:t xml:space="preserve"> Turkish Intelligence Agency (in Turkish </w:t>
      </w:r>
      <w:proofErr w:type="spellStart"/>
      <w:r w:rsidRPr="00161A04">
        <w:rPr>
          <w:rFonts w:ascii="Times New Roman" w:eastAsia="Calibri" w:hAnsi="Times New Roman" w:cs="Times New Roman"/>
          <w:sz w:val="24"/>
          <w:szCs w:val="24"/>
          <w:lang w:val="en-US"/>
        </w:rPr>
        <w:t>Millî</w:t>
      </w:r>
      <w:proofErr w:type="spellEnd"/>
      <w:r w:rsidRPr="00161A04">
        <w:rPr>
          <w:rFonts w:ascii="Times New Roman" w:eastAsia="Calibri" w:hAnsi="Times New Roman" w:cs="Times New Roman"/>
          <w:sz w:val="24"/>
          <w:szCs w:val="24"/>
          <w:lang w:val="en-US"/>
        </w:rPr>
        <w:t xml:space="preserve"> </w:t>
      </w:r>
      <w:proofErr w:type="spellStart"/>
      <w:r w:rsidRPr="00161A04">
        <w:rPr>
          <w:rFonts w:ascii="Times New Roman" w:eastAsia="Calibri" w:hAnsi="Times New Roman" w:cs="Times New Roman"/>
          <w:sz w:val="24"/>
          <w:szCs w:val="24"/>
          <w:lang w:val="en-US"/>
        </w:rPr>
        <w:t>İstihbarat</w:t>
      </w:r>
      <w:proofErr w:type="spellEnd"/>
      <w:r w:rsidRPr="00161A04">
        <w:rPr>
          <w:rFonts w:ascii="Times New Roman" w:eastAsia="Calibri" w:hAnsi="Times New Roman" w:cs="Times New Roman"/>
          <w:sz w:val="24"/>
          <w:szCs w:val="24"/>
          <w:lang w:val="en-US"/>
        </w:rPr>
        <w:t xml:space="preserve"> </w:t>
      </w:r>
      <w:proofErr w:type="spellStart"/>
      <w:r w:rsidRPr="00161A04">
        <w:rPr>
          <w:rFonts w:ascii="Times New Roman" w:eastAsia="Calibri" w:hAnsi="Times New Roman" w:cs="Times New Roman"/>
          <w:sz w:val="24"/>
          <w:szCs w:val="24"/>
          <w:lang w:val="en-US"/>
        </w:rPr>
        <w:t>Teşkilatı</w:t>
      </w:r>
      <w:proofErr w:type="spellEnd"/>
      <w:r w:rsidRPr="00161A0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henceforth </w:t>
      </w:r>
      <w:r w:rsidRPr="00161A04">
        <w:rPr>
          <w:rFonts w:ascii="Times New Roman" w:eastAsia="Calibri" w:hAnsi="Times New Roman" w:cs="Times New Roman"/>
          <w:sz w:val="24"/>
          <w:szCs w:val="24"/>
          <w:lang w:val="en-US"/>
        </w:rPr>
        <w:t xml:space="preserve">MIT) claimed that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was a secret communication tool for </w:t>
      </w:r>
      <w:proofErr w:type="spellStart"/>
      <w:r w:rsidRPr="00161A04">
        <w:rPr>
          <w:rFonts w:ascii="Times New Roman" w:eastAsia="Calibri" w:hAnsi="Times New Roman" w:cs="Times New Roman"/>
          <w:sz w:val="24"/>
          <w:szCs w:val="24"/>
          <w:lang w:val="en-US"/>
        </w:rPr>
        <w:t>Gulen</w:t>
      </w:r>
      <w:proofErr w:type="spellEnd"/>
      <w:r w:rsidRPr="00161A04">
        <w:rPr>
          <w:rFonts w:ascii="Times New Roman" w:eastAsia="Calibri" w:hAnsi="Times New Roman" w:cs="Times New Roman"/>
          <w:sz w:val="24"/>
          <w:szCs w:val="24"/>
          <w:lang w:val="en-US"/>
        </w:rPr>
        <w:t xml:space="preserve"> Movement (</w:t>
      </w:r>
      <w:r>
        <w:rPr>
          <w:rFonts w:ascii="Times New Roman" w:eastAsia="Calibri" w:hAnsi="Times New Roman" w:cs="Times New Roman"/>
          <w:sz w:val="24"/>
          <w:szCs w:val="24"/>
          <w:lang w:val="en-US"/>
        </w:rPr>
        <w:t xml:space="preserve">henceforth </w:t>
      </w:r>
      <w:r w:rsidRPr="00161A04">
        <w:rPr>
          <w:rFonts w:ascii="Times New Roman" w:eastAsia="Calibri" w:hAnsi="Times New Roman" w:cs="Times New Roman"/>
          <w:sz w:val="24"/>
          <w:szCs w:val="24"/>
          <w:lang w:val="en-US"/>
        </w:rPr>
        <w:t xml:space="preserve">GM) members - a social movement that the Turkish government holds responsible for the failed coup against Erdogan in 2016. In the aftermath of the coup attempt,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 xml:space="preserve">Turkish government accused any individual with perceived links to GM of being ‘terrorists’ and started an unprecedented purge. Shortly after the coup attempt, Turkish media reported that the MIT had hacked </w:t>
      </w:r>
      <w:proofErr w:type="spellStart"/>
      <w:r w:rsidRPr="00161A04">
        <w:rPr>
          <w:rFonts w:ascii="Times New Roman" w:eastAsia="Calibri" w:hAnsi="Times New Roman" w:cs="Times New Roman"/>
          <w:sz w:val="24"/>
          <w:szCs w:val="24"/>
          <w:lang w:val="en-US"/>
        </w:rPr>
        <w:t>ByLock’s</w:t>
      </w:r>
      <w:proofErr w:type="spellEnd"/>
      <w:r w:rsidRPr="00161A04">
        <w:rPr>
          <w:rFonts w:ascii="Times New Roman" w:eastAsia="Calibri" w:hAnsi="Times New Roman" w:cs="Times New Roman"/>
          <w:sz w:val="24"/>
          <w:szCs w:val="24"/>
          <w:lang w:val="en-US"/>
        </w:rPr>
        <w:t xml:space="preserve"> servers in Lithuania, in an attempt to uncover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users, perceived to be </w:t>
      </w:r>
      <w:proofErr w:type="spellStart"/>
      <w:r w:rsidRPr="00161A04">
        <w:rPr>
          <w:rFonts w:ascii="Times New Roman" w:eastAsia="Calibri" w:hAnsi="Times New Roman" w:cs="Times New Roman"/>
          <w:sz w:val="24"/>
          <w:szCs w:val="24"/>
          <w:lang w:val="en-US"/>
        </w:rPr>
        <w:t>Gulenists</w:t>
      </w:r>
      <w:proofErr w:type="spellEnd"/>
      <w:r w:rsidRPr="00161A04">
        <w:rPr>
          <w:rFonts w:ascii="Times New Roman" w:eastAsia="Calibri" w:hAnsi="Times New Roman" w:cs="Times New Roman"/>
          <w:sz w:val="24"/>
          <w:szCs w:val="24"/>
          <w:lang w:val="en-US"/>
        </w:rPr>
        <w:t>.</w:t>
      </w:r>
      <w:r w:rsidRPr="00161A04">
        <w:rPr>
          <w:rStyle w:val="FootnoteReference"/>
          <w:rFonts w:ascii="Times New Roman" w:eastAsiaTheme="minorEastAsia" w:hAnsi="Times New Roman" w:cs="Times New Roman"/>
          <w:sz w:val="24"/>
          <w:szCs w:val="24"/>
        </w:rPr>
        <w:footnoteReference w:id="9"/>
      </w:r>
      <w:r w:rsidRPr="00161A04">
        <w:rPr>
          <w:rFonts w:ascii="Times New Roman" w:eastAsia="Calibri" w:hAnsi="Times New Roman" w:cs="Times New Roman"/>
          <w:sz w:val="24"/>
          <w:szCs w:val="24"/>
          <w:lang w:val="en-US"/>
        </w:rPr>
        <w:t xml:space="preserve"> MIT further claimed that they </w:t>
      </w:r>
      <w:r>
        <w:rPr>
          <w:rFonts w:ascii="Times New Roman" w:eastAsia="Calibri" w:hAnsi="Times New Roman" w:cs="Times New Roman"/>
          <w:sz w:val="24"/>
          <w:szCs w:val="24"/>
          <w:lang w:val="en-US"/>
        </w:rPr>
        <w:t>had</w:t>
      </w:r>
      <w:r w:rsidRPr="00161A04">
        <w:rPr>
          <w:rFonts w:ascii="Times New Roman" w:eastAsia="Calibri" w:hAnsi="Times New Roman" w:cs="Times New Roman"/>
          <w:sz w:val="24"/>
          <w:szCs w:val="24"/>
          <w:lang w:val="en-US"/>
        </w:rPr>
        <w:t xml:space="preserve"> identified thousands of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users via metadata provided by Internet Service Providers (ISPs) and Mobile Network Operators (MNOs). Although the number of individuals </w:t>
      </w:r>
      <w:r>
        <w:rPr>
          <w:rFonts w:ascii="Times New Roman" w:eastAsia="Calibri" w:hAnsi="Times New Roman" w:cs="Times New Roman"/>
          <w:sz w:val="24"/>
          <w:szCs w:val="24"/>
          <w:lang w:val="en-US"/>
        </w:rPr>
        <w:t>en</w:t>
      </w:r>
      <w:r w:rsidRPr="00161A04">
        <w:rPr>
          <w:rFonts w:ascii="Times New Roman" w:eastAsia="Calibri" w:hAnsi="Times New Roman" w:cs="Times New Roman"/>
          <w:sz w:val="24"/>
          <w:szCs w:val="24"/>
          <w:lang w:val="en-US"/>
        </w:rPr>
        <w:t xml:space="preserve">snared under the </w:t>
      </w:r>
      <w:proofErr w:type="spellStart"/>
      <w:r w:rsidRPr="00161A04">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ock</w:t>
      </w:r>
      <w:proofErr w:type="spellEnd"/>
      <w:r w:rsidRPr="00161A04">
        <w:rPr>
          <w:rFonts w:ascii="Times New Roman" w:eastAsia="Calibri" w:hAnsi="Times New Roman" w:cs="Times New Roman"/>
          <w:sz w:val="24"/>
          <w:szCs w:val="24"/>
          <w:lang w:val="en-US"/>
        </w:rPr>
        <w:t xml:space="preserve"> investigation </w:t>
      </w:r>
      <w:r>
        <w:rPr>
          <w:rFonts w:ascii="Times New Roman" w:eastAsia="Calibri" w:hAnsi="Times New Roman" w:cs="Times New Roman"/>
          <w:sz w:val="24"/>
          <w:szCs w:val="24"/>
          <w:lang w:val="en-US"/>
        </w:rPr>
        <w:t>has</w:t>
      </w:r>
      <w:r w:rsidRPr="00161A04">
        <w:rPr>
          <w:rFonts w:ascii="Times New Roman" w:eastAsia="Calibri" w:hAnsi="Times New Roman" w:cs="Times New Roman"/>
          <w:sz w:val="24"/>
          <w:szCs w:val="24"/>
          <w:lang w:val="en-US"/>
        </w:rPr>
        <w:t xml:space="preserve"> not</w:t>
      </w:r>
      <w:r>
        <w:rPr>
          <w:rFonts w:ascii="Times New Roman" w:eastAsia="Calibri" w:hAnsi="Times New Roman" w:cs="Times New Roman"/>
          <w:sz w:val="24"/>
          <w:szCs w:val="24"/>
          <w:lang w:val="en-US"/>
        </w:rPr>
        <w:t xml:space="preserve"> been</w:t>
      </w:r>
      <w:r w:rsidRPr="00161A04">
        <w:rPr>
          <w:rFonts w:ascii="Times New Roman" w:eastAsia="Calibri" w:hAnsi="Times New Roman" w:cs="Times New Roman"/>
          <w:sz w:val="24"/>
          <w:szCs w:val="24"/>
          <w:lang w:val="en-US"/>
        </w:rPr>
        <w:t xml:space="preserve"> officially released, Freedom House reported that ‘Tens of thousands of Turkish citizens have been arbitrarily detained for their alleged use of the encrypted communications app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w:t>
      </w:r>
      <w:r w:rsidRPr="00161A04">
        <w:rPr>
          <w:rStyle w:val="FootnoteReference"/>
          <w:rFonts w:ascii="Times New Roman" w:eastAsiaTheme="minorEastAsia" w:hAnsi="Times New Roman" w:cs="Times New Roman"/>
          <w:sz w:val="24"/>
          <w:szCs w:val="24"/>
        </w:rPr>
        <w:footnoteReference w:id="10"/>
      </w:r>
      <w:r w:rsidRPr="00161A04">
        <w:rPr>
          <w:rFonts w:ascii="Times New Roman" w:eastAsia="Calibri" w:hAnsi="Times New Roman" w:cs="Times New Roman"/>
          <w:sz w:val="24"/>
          <w:szCs w:val="24"/>
          <w:lang w:val="en-US"/>
        </w:rPr>
        <w:t xml:space="preserve"> Mass arrests based on alleged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usage ha</w:t>
      </w:r>
      <w:r>
        <w:rPr>
          <w:rFonts w:ascii="Times New Roman" w:eastAsia="Calibri" w:hAnsi="Times New Roman" w:cs="Times New Roman"/>
          <w:sz w:val="24"/>
          <w:szCs w:val="24"/>
          <w:lang w:val="en-US"/>
        </w:rPr>
        <w:t>ve</w:t>
      </w:r>
      <w:r w:rsidRPr="00161A04">
        <w:rPr>
          <w:rFonts w:ascii="Times New Roman" w:eastAsia="Calibri" w:hAnsi="Times New Roman" w:cs="Times New Roman"/>
          <w:sz w:val="24"/>
          <w:szCs w:val="24"/>
          <w:lang w:val="en-US"/>
        </w:rPr>
        <w:t xml:space="preserve"> attracted severe criticism outside Turkey. The UN Human Rights Council called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prosecutions a ‘criminalization of encryption’, noting that the ‘evidence presented [by Turkish authorities] is often ambiguous’.</w:t>
      </w:r>
      <w:r w:rsidRPr="00161A04">
        <w:rPr>
          <w:rStyle w:val="FootnoteReference"/>
          <w:rFonts w:ascii="Times New Roman" w:hAnsi="Times New Roman" w:cs="Times New Roman"/>
          <w:sz w:val="24"/>
          <w:szCs w:val="24"/>
        </w:rPr>
        <w:footnoteReference w:id="11"/>
      </w:r>
      <w:r w:rsidRPr="00161A04">
        <w:rPr>
          <w:rFonts w:ascii="Times New Roman" w:eastAsia="Calibri" w:hAnsi="Times New Roman" w:cs="Times New Roman"/>
          <w:sz w:val="24"/>
          <w:szCs w:val="24"/>
          <w:lang w:val="en-US"/>
        </w:rPr>
        <w:t xml:space="preserve"> Amnesty </w:t>
      </w:r>
      <w:r w:rsidRPr="00161A04">
        <w:rPr>
          <w:rFonts w:ascii="Times New Roman" w:eastAsia="Calibri" w:hAnsi="Times New Roman" w:cs="Times New Roman"/>
          <w:sz w:val="24"/>
          <w:szCs w:val="24"/>
          <w:lang w:val="en-US"/>
        </w:rPr>
        <w:lastRenderedPageBreak/>
        <w:t xml:space="preserve">International (AI) criticized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prosecutions by stating that ‘possession of internationally available and widely downloaded application does not represent a criminal offence’ and the ‘Turkish Government’s methods for identifying users are seriously flawed in general’.</w:t>
      </w:r>
      <w:r w:rsidRPr="00161A04">
        <w:rPr>
          <w:rStyle w:val="FootnoteReference"/>
          <w:rFonts w:ascii="Times New Roman" w:hAnsi="Times New Roman" w:cs="Times New Roman"/>
          <w:sz w:val="24"/>
          <w:szCs w:val="24"/>
        </w:rPr>
        <w:footnoteReference w:id="12"/>
      </w:r>
      <w:r w:rsidRPr="00161A04">
        <w:rPr>
          <w:rFonts w:ascii="Times New Roman" w:eastAsia="Calibri" w:hAnsi="Times New Roman" w:cs="Times New Roman"/>
          <w:sz w:val="24"/>
          <w:szCs w:val="24"/>
          <w:lang w:val="en-US"/>
        </w:rPr>
        <w:t xml:space="preserve"> Similarly, Privacy International condemned the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prosecutions and called for the immediate release of those arrested solely for using </w:t>
      </w:r>
      <w:proofErr w:type="spellStart"/>
      <w:r w:rsidRPr="00161A04">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ock</w:t>
      </w:r>
      <w:proofErr w:type="spellEnd"/>
      <w:r w:rsidRPr="00161A04">
        <w:rPr>
          <w:rFonts w:ascii="Times New Roman" w:eastAsia="Calibri" w:hAnsi="Times New Roman" w:cs="Times New Roman"/>
          <w:sz w:val="24"/>
          <w:szCs w:val="24"/>
          <w:lang w:val="en-US"/>
        </w:rPr>
        <w:t>.</w:t>
      </w:r>
      <w:r w:rsidRPr="00161A04">
        <w:rPr>
          <w:rStyle w:val="FootnoteReference"/>
          <w:rFonts w:ascii="Times New Roman" w:hAnsi="Times New Roman" w:cs="Times New Roman"/>
          <w:sz w:val="24"/>
          <w:szCs w:val="24"/>
        </w:rPr>
        <w:footnoteReference w:id="13"/>
      </w:r>
      <w:r w:rsidRPr="00161A04">
        <w:rPr>
          <w:rFonts w:ascii="Times New Roman" w:eastAsia="Calibri" w:hAnsi="Times New Roman" w:cs="Times New Roman"/>
          <w:sz w:val="24"/>
          <w:szCs w:val="24"/>
          <w:lang w:val="en-US"/>
        </w:rPr>
        <w:t xml:space="preserve"> </w:t>
      </w:r>
      <w:r w:rsidRPr="00161A04" w:rsidDel="00B903E1">
        <w:rPr>
          <w:rFonts w:ascii="Times New Roman" w:eastAsia="Calibri" w:hAnsi="Times New Roman" w:cs="Times New Roman"/>
          <w:sz w:val="24"/>
          <w:szCs w:val="24"/>
          <w:lang w:val="en-US"/>
        </w:rPr>
        <w:t xml:space="preserve"> </w:t>
      </w:r>
    </w:p>
    <w:p w14:paraId="217B78A8" w14:textId="090F2054" w:rsidR="00153F3A" w:rsidRPr="001D4337" w:rsidRDefault="00153F3A" w:rsidP="001D4337">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Drawing on Cohen’s moral panic theory,</w:t>
      </w:r>
      <w:r w:rsidRPr="00161A04">
        <w:rPr>
          <w:rStyle w:val="FootnoteReference"/>
          <w:rFonts w:ascii="Times New Roman" w:hAnsi="Times New Roman" w:cs="Times New Roman"/>
          <w:color w:val="000000" w:themeColor="text1"/>
          <w:sz w:val="24"/>
          <w:szCs w:val="24"/>
          <w:lang w:val="en-US"/>
        </w:rPr>
        <w:footnoteReference w:id="14"/>
      </w:r>
      <w:r w:rsidRPr="00161A04">
        <w:rPr>
          <w:rFonts w:ascii="Times New Roman" w:eastAsia="Calibri" w:hAnsi="Times New Roman" w:cs="Times New Roman"/>
          <w:sz w:val="24"/>
          <w:szCs w:val="24"/>
          <w:lang w:val="en-US"/>
        </w:rPr>
        <w:t xml:space="preserve"> I conduct a critical analysis of the post-coup measures taken by the Turkish regime, especially focusing on evidence cited in </w:t>
      </w:r>
      <w:proofErr w:type="spellStart"/>
      <w:r w:rsidRPr="00161A04">
        <w:rPr>
          <w:rFonts w:ascii="Times New Roman" w:eastAsia="Calibri" w:hAnsi="Times New Roman" w:cs="Times New Roman"/>
          <w:sz w:val="24"/>
          <w:szCs w:val="24"/>
          <w:lang w:val="en-US"/>
        </w:rPr>
        <w:t>ByLock</w:t>
      </w:r>
      <w:proofErr w:type="spellEnd"/>
      <w:r w:rsidRPr="00161A04">
        <w:rPr>
          <w:rFonts w:ascii="Times New Roman" w:eastAsia="Calibri" w:hAnsi="Times New Roman" w:cs="Times New Roman"/>
          <w:sz w:val="24"/>
          <w:szCs w:val="24"/>
          <w:lang w:val="en-US"/>
        </w:rPr>
        <w:t xml:space="preserve"> prosecutions. I conclude that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abuse of metadata to punish political enemies is not necessarily limited to authoritarian governments such as Turkey, as metadata are retained globally. By doing so, I present a cautionary case study from Turkey, detailing material effects of metadata exploitation for political purposes by government authorities, which digital activists and scholars around the world can draw on in the metadata retention</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and lawful access debate</w:t>
      </w:r>
      <w:r>
        <w:rPr>
          <w:rFonts w:ascii="Times New Roman" w:eastAsia="Calibri" w:hAnsi="Times New Roman" w:cs="Times New Roman"/>
          <w:sz w:val="24"/>
          <w:szCs w:val="24"/>
          <w:lang w:val="en-US"/>
        </w:rPr>
        <w:t>s.</w:t>
      </w:r>
      <w:r w:rsidRPr="00161A04">
        <w:rPr>
          <w:rStyle w:val="FootnoteReference"/>
          <w:rFonts w:ascii="Times New Roman" w:hAnsi="Times New Roman" w:cs="Times New Roman"/>
          <w:sz w:val="24"/>
          <w:szCs w:val="24"/>
        </w:rPr>
        <w:footnoteReference w:id="15"/>
      </w:r>
      <w:r w:rsidRPr="00161A04">
        <w:rPr>
          <w:rFonts w:ascii="Times New Roman" w:eastAsia="Calibri" w:hAnsi="Times New Roman" w:cs="Times New Roman"/>
          <w:sz w:val="24"/>
          <w:szCs w:val="24"/>
          <w:lang w:val="en-US"/>
        </w:rPr>
        <w:t xml:space="preserve"> I argue that the abuse of metadata and unscrupulous law-enforcement powers can be easily justified in ‘moral panics’ when ‘a condition, episode, person or group of persons emerges to become defined as a threat to societal values and interests’.</w:t>
      </w:r>
      <w:r w:rsidRPr="00161A04">
        <w:rPr>
          <w:rStyle w:val="FootnoteReference"/>
          <w:rFonts w:ascii="Times New Roman" w:hAnsi="Times New Roman" w:cs="Times New Roman"/>
          <w:sz w:val="24"/>
          <w:szCs w:val="24"/>
        </w:rPr>
        <w:footnoteReference w:id="16"/>
      </w:r>
      <w:r w:rsidRPr="00161A04">
        <w:rPr>
          <w:rFonts w:ascii="Times New Roman" w:eastAsia="Calibri" w:hAnsi="Times New Roman" w:cs="Times New Roman"/>
          <w:sz w:val="24"/>
          <w:szCs w:val="24"/>
          <w:lang w:val="en-US"/>
        </w:rPr>
        <w:t xml:space="preserve"> I further argue that, supranational human rights legislation may be ineffective to prevent state surveillance, privacy breaches and metadata abuse. Finally, I contend that lessons learned from the </w:t>
      </w:r>
      <w:proofErr w:type="spellStart"/>
      <w:r w:rsidRPr="00161A04">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ock</w:t>
      </w:r>
      <w:proofErr w:type="spellEnd"/>
      <w:r w:rsidRPr="00161A04">
        <w:rPr>
          <w:rFonts w:ascii="Times New Roman" w:eastAsia="Calibri" w:hAnsi="Times New Roman" w:cs="Times New Roman"/>
          <w:sz w:val="24"/>
          <w:szCs w:val="24"/>
          <w:lang w:val="en-US"/>
        </w:rPr>
        <w:t xml:space="preserve"> case illustrate the importance of the ‘</w:t>
      </w:r>
      <w:r w:rsidRPr="00161A04">
        <w:rPr>
          <w:rFonts w:ascii="Times New Roman" w:hAnsi="Times New Roman" w:cs="Times New Roman"/>
          <w:noProof/>
          <w:sz w:val="24"/>
          <w:szCs w:val="24"/>
        </w:rPr>
        <w:t>Good Data’ practices and the integrity of DCTs for ‘good democracy’.</w:t>
      </w:r>
    </w:p>
    <w:p w14:paraId="18D07F41" w14:textId="77777777" w:rsidR="00153F3A" w:rsidRPr="00161A04" w:rsidRDefault="00153F3A" w:rsidP="005B6E0C">
      <w:pPr>
        <w:pStyle w:val="Heading2"/>
      </w:pPr>
      <w:r w:rsidRPr="00161A04">
        <w:t xml:space="preserve">Digital Communication Technologies, Metadata and State Access </w:t>
      </w:r>
    </w:p>
    <w:p w14:paraId="11AEA4C4" w14:textId="77777777" w:rsidR="00153F3A" w:rsidRPr="0074238D"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Before the emergence of DCTs, mass communication and public information campaigns were conducted through pre-digital information sharing mechanisms (ISMs) such as print media, radio, and television. Because of the nation-state</w:t>
      </w:r>
      <w:r>
        <w:rPr>
          <w:rFonts w:ascii="Times New Roman" w:eastAsia="Calibri" w:hAnsi="Times New Roman" w:cs="Times New Roman"/>
          <w:sz w:val="24"/>
          <w:szCs w:val="24"/>
          <w:lang w:val="en-US"/>
        </w:rPr>
        <w:t>-</w:t>
      </w:r>
      <w:r w:rsidRPr="0074238D">
        <w:rPr>
          <w:rFonts w:ascii="Times New Roman" w:eastAsia="Calibri" w:hAnsi="Times New Roman" w:cs="Times New Roman"/>
          <w:sz w:val="24"/>
          <w:szCs w:val="24"/>
          <w:lang w:val="en-US"/>
        </w:rPr>
        <w:t>led developments in the technological infrastructure they relied on, pre-digital ISMs were relatively easier to influence for states and the powerful.</w:t>
      </w:r>
      <w:r w:rsidRPr="0074238D">
        <w:rPr>
          <w:rStyle w:val="FootnoteReference"/>
          <w:rFonts w:ascii="Times New Roman" w:eastAsiaTheme="minorEastAsia" w:hAnsi="Times New Roman" w:cs="Times New Roman"/>
          <w:sz w:val="24"/>
          <w:szCs w:val="24"/>
        </w:rPr>
        <w:footnoteReference w:id="17"/>
      </w:r>
      <w:r w:rsidRPr="0074238D">
        <w:rPr>
          <w:rFonts w:ascii="Times New Roman" w:eastAsia="Calibri" w:hAnsi="Times New Roman" w:cs="Times New Roman"/>
          <w:sz w:val="24"/>
          <w:szCs w:val="24"/>
          <w:lang w:val="en-US"/>
        </w:rPr>
        <w:t xml:space="preserve"> With the emergence of the internet and the DCTs, some scholars and activists argued that these new media provided an opportunity to overcome some of the above challenges. One of the primary arguments brought forward was that the internet provided a decentralized infrastructure that allowed active participation of individuals online, which, in turn had the potential to disturb the pre-digital ISMs.</w:t>
      </w:r>
      <w:r w:rsidRPr="0074238D">
        <w:rPr>
          <w:rStyle w:val="FootnoteReference"/>
          <w:rFonts w:ascii="Times New Roman" w:eastAsiaTheme="minorEastAsia" w:hAnsi="Times New Roman" w:cs="Times New Roman"/>
          <w:sz w:val="24"/>
          <w:szCs w:val="24"/>
        </w:rPr>
        <w:footnoteReference w:id="18"/>
      </w:r>
      <w:r w:rsidRPr="0074238D">
        <w:rPr>
          <w:rFonts w:ascii="Times New Roman" w:eastAsia="Calibri" w:hAnsi="Times New Roman" w:cs="Times New Roman"/>
          <w:sz w:val="24"/>
          <w:szCs w:val="24"/>
          <w:lang w:val="en-US"/>
        </w:rPr>
        <w:t xml:space="preserve"> When equipped with ‘Good Data’ principles, DCTs provided a window of opportunity for activists and dissidents to revolutionize public and private communications. For instance, during the </w:t>
      </w:r>
      <w:r w:rsidRPr="0074238D">
        <w:rPr>
          <w:rFonts w:ascii="Times New Roman" w:eastAsia="Calibri" w:hAnsi="Times New Roman" w:cs="Times New Roman"/>
          <w:sz w:val="24"/>
          <w:szCs w:val="24"/>
          <w:lang w:val="en-US"/>
        </w:rPr>
        <w:lastRenderedPageBreak/>
        <w:t>Arab Spring protests, online social media networks served as ‘a common medium for professional journalism and citizen journalism, and as a site of global information flow’ which, allowed activists to overcome state blackout and ‘facilitating the revolutions’.</w:t>
      </w:r>
      <w:r w:rsidRPr="0074238D">
        <w:rPr>
          <w:rStyle w:val="FootnoteReference"/>
          <w:rFonts w:ascii="Times New Roman" w:eastAsiaTheme="minorEastAsia" w:hAnsi="Times New Roman" w:cs="Times New Roman"/>
          <w:sz w:val="24"/>
          <w:szCs w:val="24"/>
        </w:rPr>
        <w:footnoteReference w:id="19"/>
      </w:r>
      <w:r w:rsidRPr="0074238D">
        <w:rPr>
          <w:rFonts w:ascii="Times New Roman" w:eastAsia="Calibri" w:hAnsi="Times New Roman" w:cs="Times New Roman"/>
          <w:sz w:val="24"/>
          <w:szCs w:val="24"/>
          <w:lang w:val="en-US"/>
        </w:rPr>
        <w:t xml:space="preserve"> The revolutionary aspect of DCTs led some to believe -</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perhaps naively</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 that DCTs could provide users with an opportunity to become anonymous and protected from intrusive state surveillance. Current political, legal, and academic debates, however, illustrates that this is not the case.</w:t>
      </w:r>
    </w:p>
    <w:p w14:paraId="73F39B40" w14:textId="77777777" w:rsidR="00153F3A" w:rsidRPr="0074238D" w:rsidRDefault="00153F3A" w:rsidP="00153F3A">
      <w:pPr>
        <w:rPr>
          <w:rFonts w:ascii="Times New Roman" w:hAnsi="Times New Roman" w:cs="Times New Roman"/>
          <w:sz w:val="24"/>
          <w:szCs w:val="24"/>
        </w:rPr>
      </w:pPr>
      <w:r w:rsidRPr="0074238D">
        <w:rPr>
          <w:rFonts w:ascii="Times New Roman" w:eastAsia="Calibri" w:hAnsi="Times New Roman" w:cs="Times New Roman"/>
          <w:sz w:val="24"/>
          <w:szCs w:val="24"/>
          <w:lang w:val="en-US"/>
        </w:rPr>
        <w:t>One of the primary debates around DCTs concerns the retention of metadata and risks to user privacy.</w:t>
      </w:r>
      <w:r w:rsidRPr="0074238D">
        <w:rPr>
          <w:rStyle w:val="FootnoteReference"/>
          <w:rFonts w:ascii="Times New Roman" w:eastAsiaTheme="minorEastAsia" w:hAnsi="Times New Roman" w:cs="Times New Roman"/>
          <w:sz w:val="24"/>
          <w:szCs w:val="24"/>
        </w:rPr>
        <w:footnoteReference w:id="20"/>
      </w:r>
      <w:r w:rsidRPr="0074238D">
        <w:rPr>
          <w:rFonts w:ascii="Times New Roman" w:eastAsia="Calibri" w:hAnsi="Times New Roman" w:cs="Times New Roman"/>
          <w:sz w:val="24"/>
          <w:szCs w:val="24"/>
          <w:lang w:val="en-US"/>
        </w:rPr>
        <w:t xml:space="preserve"> In the context of DCTs, metadata </w:t>
      </w:r>
      <w:r>
        <w:rPr>
          <w:rFonts w:ascii="Times New Roman" w:eastAsia="Calibri" w:hAnsi="Times New Roman" w:cs="Times New Roman"/>
          <w:sz w:val="24"/>
          <w:szCs w:val="24"/>
          <w:lang w:val="en-US"/>
        </w:rPr>
        <w:t>are</w:t>
      </w:r>
      <w:r w:rsidRPr="0074238D">
        <w:rPr>
          <w:rFonts w:ascii="Times New Roman" w:eastAsia="Calibri" w:hAnsi="Times New Roman" w:cs="Times New Roman"/>
          <w:sz w:val="24"/>
          <w:szCs w:val="24"/>
          <w:lang w:val="en-US"/>
        </w:rPr>
        <w:t xml:space="preserve"> information about communications that users leave behind while using DCTs. For instance, while contents of the visited webpages are data, IP access logs and timestamps stored by ISPs are metadata. All user activities on DCTs, such as phone conversations, search queries, emails, website visits, ad-clicks, social media activities, and peer-to-peer messages, generate metadata which can be logged and stored automatically. Riley called this perennial form of large scale (meta)data collection ‘dataveillance’.</w:t>
      </w:r>
      <w:r w:rsidRPr="0074238D">
        <w:rPr>
          <w:rStyle w:val="FootnoteReference"/>
          <w:rFonts w:ascii="Times New Roman" w:hAnsi="Times New Roman" w:cs="Times New Roman"/>
          <w:color w:val="000000" w:themeColor="text1"/>
          <w:sz w:val="24"/>
          <w:szCs w:val="24"/>
          <w:lang w:val="en-US"/>
        </w:rPr>
        <w:footnoteReference w:id="21"/>
      </w:r>
      <w:r w:rsidRPr="0074238D">
        <w:rPr>
          <w:rFonts w:ascii="Times New Roman" w:eastAsia="Calibri" w:hAnsi="Times New Roman" w:cs="Times New Roman"/>
          <w:sz w:val="24"/>
          <w:szCs w:val="24"/>
          <w:lang w:val="en-US"/>
        </w:rPr>
        <w:t xml:space="preserve"> Metadata can be aggregated, analyzed and sold to third parties. </w:t>
      </w:r>
      <w:r>
        <w:rPr>
          <w:rFonts w:ascii="Times New Roman" w:eastAsia="Calibri" w:hAnsi="Times New Roman" w:cs="Times New Roman"/>
          <w:sz w:val="24"/>
          <w:szCs w:val="24"/>
          <w:lang w:val="en-US"/>
        </w:rPr>
        <w:t>Using metadata, u</w:t>
      </w:r>
      <w:r w:rsidRPr="0074238D">
        <w:rPr>
          <w:rFonts w:ascii="Times New Roman" w:eastAsia="Calibri" w:hAnsi="Times New Roman" w:cs="Times New Roman"/>
          <w:sz w:val="24"/>
          <w:szCs w:val="24"/>
          <w:lang w:val="en-US"/>
        </w:rPr>
        <w:t>sers can be profiled based on their political leanings, ethnic background, and sexual orientation. Inferences drawn from (meta)data analyses can be used for anti-democratic purposes, such as election meddling, as observed in the Cambridge Analytica case.</w:t>
      </w:r>
      <w:r w:rsidRPr="0074238D">
        <w:rPr>
          <w:rStyle w:val="FootnoteReference"/>
          <w:rFonts w:ascii="Times New Roman" w:eastAsiaTheme="minorEastAsia" w:hAnsi="Times New Roman" w:cs="Times New Roman"/>
          <w:sz w:val="24"/>
          <w:szCs w:val="24"/>
        </w:rPr>
        <w:footnoteReference w:id="22"/>
      </w:r>
      <w:r w:rsidRPr="0074238D">
        <w:rPr>
          <w:rFonts w:ascii="Times New Roman" w:eastAsia="Calibri" w:hAnsi="Times New Roman" w:cs="Times New Roman"/>
          <w:sz w:val="24"/>
          <w:szCs w:val="24"/>
          <w:lang w:val="en-US"/>
        </w:rPr>
        <w:t xml:space="preserve"> Metadata expand the surveillance capacities of state actors by revealing personal information such as ‘who’, ‘when’, ‘what (type of communication)’, ‘how’, ‘where’ which, in turn, ‘can provide very detailed information regarding an individual’s beliefs, preferences and </w:t>
      </w:r>
      <w:proofErr w:type="spellStart"/>
      <w:r w:rsidRPr="0074238D">
        <w:rPr>
          <w:rFonts w:ascii="Times New Roman" w:eastAsia="Calibri" w:hAnsi="Times New Roman" w:cs="Times New Roman"/>
          <w:sz w:val="24"/>
          <w:szCs w:val="24"/>
          <w:lang w:val="en-US"/>
        </w:rPr>
        <w:t>behaviour</w:t>
      </w:r>
      <w:proofErr w:type="spellEnd"/>
      <w:r w:rsidRPr="0074238D">
        <w:rPr>
          <w:rFonts w:ascii="Times New Roman" w:eastAsia="Calibri" w:hAnsi="Times New Roman" w:cs="Times New Roman"/>
          <w:sz w:val="24"/>
          <w:szCs w:val="24"/>
          <w:lang w:val="en-US"/>
        </w:rPr>
        <w:t>’.</w:t>
      </w:r>
      <w:r w:rsidRPr="0074238D">
        <w:rPr>
          <w:rStyle w:val="FootnoteReference"/>
          <w:rFonts w:ascii="Times New Roman" w:eastAsiaTheme="minorEastAsia" w:hAnsi="Times New Roman" w:cs="Times New Roman"/>
          <w:sz w:val="24"/>
          <w:szCs w:val="24"/>
        </w:rPr>
        <w:footnoteReference w:id="23"/>
      </w:r>
      <w:r w:rsidRPr="0074238D">
        <w:rPr>
          <w:rFonts w:ascii="Times New Roman" w:eastAsia="Calibri" w:hAnsi="Times New Roman" w:cs="Times New Roman"/>
          <w:sz w:val="24"/>
          <w:szCs w:val="24"/>
          <w:lang w:val="en-US"/>
        </w:rPr>
        <w:t xml:space="preserve"> In fact, in the </w:t>
      </w:r>
      <w:r w:rsidRPr="001D44A2">
        <w:rPr>
          <w:rFonts w:ascii="Times New Roman" w:eastAsia="Calibri" w:hAnsi="Times New Roman" w:cs="Times New Roman"/>
          <w:i/>
          <w:sz w:val="24"/>
          <w:szCs w:val="24"/>
          <w:lang w:val="en-US"/>
        </w:rPr>
        <w:t>Big Brother Watch vs UK</w:t>
      </w:r>
      <w:r w:rsidRPr="0074238D">
        <w:rPr>
          <w:rFonts w:ascii="Times New Roman" w:eastAsia="Calibri" w:hAnsi="Times New Roman" w:cs="Times New Roman"/>
          <w:sz w:val="24"/>
          <w:szCs w:val="24"/>
          <w:lang w:val="en-US"/>
        </w:rPr>
        <w:t xml:space="preserve"> ruling, the European Court of Human Rights (ECtHR) ruled that ‘</w:t>
      </w:r>
      <w:r w:rsidRPr="0074238D">
        <w:rPr>
          <w:rFonts w:ascii="Times New Roman" w:hAnsi="Times New Roman" w:cs="Times New Roman"/>
          <w:color w:val="333333"/>
          <w:sz w:val="24"/>
          <w:szCs w:val="24"/>
          <w:shd w:val="clear" w:color="auto" w:fill="FFFFFF"/>
        </w:rPr>
        <w:t>metadata can be just as intrusive as the interception of content’.</w:t>
      </w:r>
      <w:r w:rsidRPr="0074238D">
        <w:rPr>
          <w:rStyle w:val="FootnoteReference"/>
          <w:rFonts w:ascii="Times New Roman" w:hAnsi="Times New Roman" w:cs="Times New Roman"/>
          <w:color w:val="333333"/>
          <w:sz w:val="24"/>
          <w:szCs w:val="24"/>
          <w:shd w:val="clear" w:color="auto" w:fill="FFFFFF"/>
        </w:rPr>
        <w:footnoteReference w:id="24"/>
      </w:r>
      <w:r w:rsidRPr="0074238D">
        <w:rPr>
          <w:rFonts w:ascii="Times New Roman" w:hAnsi="Times New Roman" w:cs="Times New Roman"/>
          <w:color w:val="333333"/>
          <w:sz w:val="24"/>
          <w:szCs w:val="24"/>
          <w:shd w:val="clear" w:color="auto" w:fill="FFFFFF"/>
        </w:rPr>
        <w:t> </w:t>
      </w:r>
      <w:r w:rsidRPr="0074238D">
        <w:rPr>
          <w:rFonts w:ascii="Times New Roman" w:eastAsia="Calibri" w:hAnsi="Times New Roman" w:cs="Times New Roman"/>
          <w:sz w:val="24"/>
          <w:szCs w:val="24"/>
          <w:lang w:val="en-US"/>
        </w:rPr>
        <w:t xml:space="preserve"> Considering nation states are actively trying to exploit DCTs using both legal and illegal means,</w:t>
      </w:r>
      <w:r w:rsidRPr="0074238D">
        <w:rPr>
          <w:rStyle w:val="FootnoteReference"/>
          <w:rFonts w:ascii="Times New Roman" w:eastAsiaTheme="minorEastAsia" w:hAnsi="Times New Roman" w:cs="Times New Roman"/>
          <w:sz w:val="24"/>
          <w:szCs w:val="24"/>
        </w:rPr>
        <w:footnoteReference w:id="25"/>
      </w:r>
      <w:r w:rsidRPr="0074238D">
        <w:rPr>
          <w:rFonts w:ascii="Times New Roman" w:eastAsia="Calibri" w:hAnsi="Times New Roman" w:cs="Times New Roman"/>
          <w:sz w:val="24"/>
          <w:szCs w:val="24"/>
          <w:lang w:val="en-US"/>
        </w:rPr>
        <w:t xml:space="preserve"> the ease of access to metadata can be especially dangerous for political activists, dissident groups and perceived political opponents, who are subject to</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disproportio</w:t>
      </w:r>
      <w:r>
        <w:rPr>
          <w:rFonts w:ascii="Times New Roman" w:eastAsia="Calibri" w:hAnsi="Times New Roman" w:cs="Times New Roman"/>
          <w:sz w:val="24"/>
          <w:szCs w:val="24"/>
          <w:lang w:val="en-US"/>
        </w:rPr>
        <w:t>nate</w:t>
      </w:r>
      <w:r w:rsidRPr="0074238D">
        <w:rPr>
          <w:rFonts w:ascii="Times New Roman" w:eastAsia="Calibri" w:hAnsi="Times New Roman" w:cs="Times New Roman"/>
          <w:sz w:val="24"/>
          <w:szCs w:val="24"/>
          <w:lang w:val="en-US"/>
        </w:rPr>
        <w:t xml:space="preserve"> and intrusive state surveillance.</w:t>
      </w:r>
      <w:r w:rsidRPr="0074238D">
        <w:rPr>
          <w:rStyle w:val="FootnoteReference"/>
          <w:rFonts w:ascii="Times New Roman" w:eastAsiaTheme="minorEastAsia" w:hAnsi="Times New Roman" w:cs="Times New Roman"/>
          <w:sz w:val="24"/>
          <w:szCs w:val="24"/>
        </w:rPr>
        <w:footnoteReference w:id="26"/>
      </w:r>
    </w:p>
    <w:p w14:paraId="5310CD34" w14:textId="71F4A71E" w:rsidR="00153F3A" w:rsidRPr="00F652CA"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 xml:space="preserve">To date, national and supranational legal mechanisms have failed to provide comprehensive privacy protection </w:t>
      </w:r>
      <w:r w:rsidRPr="0074238D">
        <w:rPr>
          <w:rFonts w:ascii="Times New Roman" w:eastAsia="Calibri" w:hAnsi="Times New Roman" w:cs="Times New Roman"/>
          <w:sz w:val="24"/>
          <w:szCs w:val="24"/>
        </w:rPr>
        <w:t>for individuals. Governments around the world increasingly pass new laws that</w:t>
      </w:r>
      <w:r w:rsidRPr="0074238D">
        <w:rPr>
          <w:rFonts w:ascii="Times New Roman" w:eastAsia="Calibri" w:hAnsi="Times New Roman" w:cs="Times New Roman"/>
          <w:sz w:val="24"/>
          <w:szCs w:val="24"/>
          <w:lang w:val="en-US"/>
        </w:rPr>
        <w:t xml:space="preserve"> require metadata retention based on the argument of public security, pre-empting crime </w:t>
      </w:r>
      <w:r w:rsidRPr="0074238D">
        <w:rPr>
          <w:rFonts w:ascii="Times New Roman" w:eastAsia="Calibri" w:hAnsi="Times New Roman" w:cs="Times New Roman"/>
          <w:sz w:val="24"/>
          <w:szCs w:val="24"/>
          <w:lang w:val="en-US"/>
        </w:rPr>
        <w:lastRenderedPageBreak/>
        <w:t>and terrorism.</w:t>
      </w:r>
      <w:r w:rsidRPr="0074238D">
        <w:rPr>
          <w:rStyle w:val="FootnoteReference"/>
          <w:rFonts w:ascii="Times New Roman" w:hAnsi="Times New Roman" w:cs="Times New Roman"/>
          <w:color w:val="000000" w:themeColor="text1"/>
          <w:sz w:val="24"/>
          <w:szCs w:val="24"/>
          <w:lang w:val="en-US"/>
        </w:rPr>
        <w:footnoteReference w:id="27"/>
      </w:r>
      <w:r w:rsidRPr="0074238D">
        <w:rPr>
          <w:rFonts w:ascii="Times New Roman" w:eastAsia="Calibri" w:hAnsi="Times New Roman" w:cs="Times New Roman"/>
          <w:sz w:val="24"/>
          <w:szCs w:val="24"/>
          <w:lang w:val="en-US"/>
        </w:rPr>
        <w:t xml:space="preserve"> Even in the EU context, where mechanisms such as CFR, ECtHR and the Court of Justice of the European Union (CJEU) provide a supranational level of legal protection against human rights breaches,</w:t>
      </w:r>
      <w:r w:rsidRPr="0074238D">
        <w:rPr>
          <w:rStyle w:val="FootnoteReference"/>
          <w:rFonts w:ascii="Times New Roman" w:eastAsiaTheme="minorEastAsia" w:hAnsi="Times New Roman" w:cs="Times New Roman"/>
          <w:sz w:val="24"/>
          <w:szCs w:val="24"/>
        </w:rPr>
        <w:footnoteReference w:id="28"/>
      </w:r>
      <w:r w:rsidRPr="0074238D">
        <w:rPr>
          <w:rFonts w:ascii="Times New Roman" w:eastAsia="Calibri" w:hAnsi="Times New Roman" w:cs="Times New Roman"/>
          <w:sz w:val="24"/>
          <w:szCs w:val="24"/>
          <w:lang w:val="en-US"/>
        </w:rPr>
        <w:t xml:space="preserve"> it is hard to talk about sufficient legal protection against government efforts to breach user privacy. For instance, the UK Government passed the Data Retention and Investigatory Powers Act 2014 (DRIPA) which required DCT providers to retain indiscriminate metadata on the grounds of national security and crime prevention. </w:t>
      </w:r>
      <w:r>
        <w:rPr>
          <w:rFonts w:ascii="Times New Roman" w:eastAsia="Calibri" w:hAnsi="Times New Roman" w:cs="Times New Roman"/>
          <w:sz w:val="24"/>
          <w:szCs w:val="24"/>
          <w:lang w:val="en-US"/>
        </w:rPr>
        <w:t>B</w:t>
      </w:r>
      <w:r w:rsidRPr="0074238D">
        <w:rPr>
          <w:rFonts w:ascii="Times New Roman" w:eastAsia="Calibri" w:hAnsi="Times New Roman" w:cs="Times New Roman"/>
          <w:sz w:val="24"/>
          <w:szCs w:val="24"/>
          <w:lang w:val="en-US"/>
        </w:rPr>
        <w:t>oth the Divisional Court and the Court of Justice of the European Union (CJEU) held that DRIPA was incompatible with EU law.</w:t>
      </w:r>
      <w:r w:rsidRPr="0074238D">
        <w:rPr>
          <w:rStyle w:val="FootnoteReference"/>
          <w:rFonts w:ascii="Times New Roman" w:eastAsiaTheme="minorEastAsia" w:hAnsi="Times New Roman" w:cs="Times New Roman"/>
          <w:sz w:val="24"/>
          <w:szCs w:val="24"/>
        </w:rPr>
        <w:footnoteReference w:id="29"/>
      </w:r>
      <w:r w:rsidRPr="0074238D">
        <w:rPr>
          <w:rFonts w:ascii="Times New Roman" w:eastAsia="Calibri" w:hAnsi="Times New Roman" w:cs="Times New Roman"/>
          <w:sz w:val="24"/>
          <w:szCs w:val="24"/>
          <w:lang w:val="en-US"/>
        </w:rPr>
        <w:t xml:space="preserve"> In a subsequent joint case ruling, CJEU found that the mass collection and analysis of metadata would lead to </w:t>
      </w:r>
      <w:r>
        <w:rPr>
          <w:rFonts w:ascii="Times New Roman" w:eastAsia="Calibri" w:hAnsi="Times New Roman" w:cs="Times New Roman"/>
          <w:sz w:val="24"/>
          <w:szCs w:val="24"/>
          <w:lang w:val="en-US"/>
        </w:rPr>
        <w:t xml:space="preserve">the </w:t>
      </w:r>
      <w:r w:rsidRPr="0074238D">
        <w:rPr>
          <w:rFonts w:ascii="Times New Roman" w:eastAsia="Calibri" w:hAnsi="Times New Roman" w:cs="Times New Roman"/>
          <w:sz w:val="24"/>
          <w:szCs w:val="24"/>
          <w:lang w:val="en-US"/>
        </w:rPr>
        <w:t>violation of Article 7 [Respect to private and family life] and Article 8 [Protection of personal data] of the CFR, ‘which could be justified only by the objective of fighting serious crime’.</w:t>
      </w:r>
      <w:r w:rsidRPr="0074238D">
        <w:rPr>
          <w:rStyle w:val="FootnoteReference"/>
          <w:rFonts w:ascii="Times New Roman" w:eastAsiaTheme="minorEastAsia" w:hAnsi="Times New Roman" w:cs="Times New Roman"/>
          <w:sz w:val="24"/>
          <w:szCs w:val="24"/>
        </w:rPr>
        <w:footnoteReference w:id="30"/>
      </w:r>
      <w:r w:rsidRPr="0074238D">
        <w:rPr>
          <w:rFonts w:ascii="Times New Roman" w:eastAsia="Calibri" w:hAnsi="Times New Roman" w:cs="Times New Roman"/>
          <w:sz w:val="24"/>
          <w:szCs w:val="24"/>
          <w:lang w:val="en-US"/>
        </w:rPr>
        <w:t xml:space="preserve"> Even though privacy organizations and activists welcomed this ruling, the CJEU left it to </w:t>
      </w:r>
      <w:r>
        <w:rPr>
          <w:rFonts w:ascii="Times New Roman" w:eastAsia="Calibri" w:hAnsi="Times New Roman" w:cs="Times New Roman"/>
          <w:sz w:val="24"/>
          <w:szCs w:val="24"/>
          <w:lang w:val="en-US"/>
        </w:rPr>
        <w:t>M</w:t>
      </w:r>
      <w:r w:rsidRPr="0074238D">
        <w:rPr>
          <w:rFonts w:ascii="Times New Roman" w:eastAsia="Calibri" w:hAnsi="Times New Roman" w:cs="Times New Roman"/>
          <w:sz w:val="24"/>
          <w:szCs w:val="24"/>
          <w:lang w:val="en-US"/>
        </w:rPr>
        <w:t xml:space="preserve">ember </w:t>
      </w:r>
      <w:r>
        <w:rPr>
          <w:rFonts w:ascii="Times New Roman" w:eastAsia="Calibri" w:hAnsi="Times New Roman" w:cs="Times New Roman"/>
          <w:sz w:val="24"/>
          <w:szCs w:val="24"/>
          <w:lang w:val="en-US"/>
        </w:rPr>
        <w:t>S</w:t>
      </w:r>
      <w:r w:rsidRPr="0074238D">
        <w:rPr>
          <w:rFonts w:ascii="Times New Roman" w:eastAsia="Calibri" w:hAnsi="Times New Roman" w:cs="Times New Roman"/>
          <w:sz w:val="24"/>
          <w:szCs w:val="24"/>
          <w:lang w:val="en-US"/>
        </w:rPr>
        <w:t xml:space="preserve">tates to define what constitutes serious crime, hence the ability to adjust the </w:t>
      </w:r>
      <w:r>
        <w:rPr>
          <w:rFonts w:ascii="Times New Roman" w:eastAsia="Calibri" w:hAnsi="Times New Roman" w:cs="Times New Roman"/>
          <w:sz w:val="24"/>
          <w:szCs w:val="24"/>
          <w:lang w:val="en-US"/>
        </w:rPr>
        <w:t>balance</w:t>
      </w:r>
      <w:r w:rsidRPr="0074238D">
        <w:rPr>
          <w:rFonts w:ascii="Times New Roman" w:eastAsia="Calibri" w:hAnsi="Times New Roman" w:cs="Times New Roman"/>
          <w:sz w:val="24"/>
          <w:szCs w:val="24"/>
          <w:lang w:val="en-US"/>
        </w:rPr>
        <w:t xml:space="preserve"> of privacy versus national security. Indeed, in December 2016, the UK government replaced DRIPA with the Investigatory Powers Act which replicated the problematic elements of the DRIPA i.e. requirement for metadata retention and broad access by government agencies, even on non-crime related grounds.  </w:t>
      </w:r>
    </w:p>
    <w:p w14:paraId="469D1603" w14:textId="77777777" w:rsidR="00153F3A" w:rsidRPr="00161A04" w:rsidRDefault="00153F3A" w:rsidP="005B6E0C">
      <w:pPr>
        <w:pStyle w:val="Heading3"/>
      </w:pPr>
      <w:r w:rsidRPr="00161A04">
        <w:t>Moral Panics and the Abuse of Metadata</w:t>
      </w:r>
    </w:p>
    <w:p w14:paraId="13624DEE" w14:textId="77777777" w:rsidR="00153F3A" w:rsidRPr="0074238D"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To understand the true risks of metadata retention, it is beneficial to look at cases where authoritarian regimes exploit communications metadata to target political enemies and to facilitate oppression of dissidents – this is the focus of my analysis. In most cases, oppression faced by dissidents is a perennial process. Historical oppression of Kurds by</w:t>
      </w:r>
      <w:r>
        <w:rPr>
          <w:rFonts w:ascii="Times New Roman" w:eastAsia="Calibri" w:hAnsi="Times New Roman" w:cs="Times New Roman"/>
          <w:sz w:val="24"/>
          <w:szCs w:val="24"/>
          <w:lang w:val="en-US"/>
        </w:rPr>
        <w:t xml:space="preserve"> the</w:t>
      </w:r>
      <w:r w:rsidRPr="0074238D">
        <w:rPr>
          <w:rFonts w:ascii="Times New Roman" w:eastAsia="Calibri" w:hAnsi="Times New Roman" w:cs="Times New Roman"/>
          <w:sz w:val="24"/>
          <w:szCs w:val="24"/>
          <w:lang w:val="en-US"/>
        </w:rPr>
        <w:t xml:space="preserve"> Turkish state and successive governments from different political backgrounds is a prime example of the continual oppression observed by dissidents.</w:t>
      </w:r>
      <w:r w:rsidRPr="0074238D">
        <w:rPr>
          <w:rStyle w:val="FootnoteReference"/>
          <w:rFonts w:ascii="Times New Roman" w:hAnsi="Times New Roman" w:cs="Times New Roman"/>
          <w:sz w:val="24"/>
          <w:szCs w:val="24"/>
        </w:rPr>
        <w:footnoteReference w:id="31"/>
      </w:r>
      <w:r w:rsidRPr="0074238D">
        <w:rPr>
          <w:rFonts w:ascii="Times New Roman" w:eastAsia="Calibri" w:hAnsi="Times New Roman" w:cs="Times New Roman"/>
          <w:sz w:val="24"/>
          <w:szCs w:val="24"/>
          <w:lang w:val="en-US"/>
        </w:rPr>
        <w:t xml:space="preserve"> However, in some cases, new political opponents can become targets. The latter is better observed within moral panics emerging in the aftermath of political upheavals.</w:t>
      </w:r>
    </w:p>
    <w:p w14:paraId="3D5458F6" w14:textId="77777777" w:rsidR="00153F3A" w:rsidRPr="0074238D" w:rsidRDefault="00153F3A" w:rsidP="00153F3A">
      <w:pPr>
        <w:rPr>
          <w:rFonts w:ascii="Times New Roman" w:hAnsi="Times New Roman" w:cs="Times New Roman"/>
          <w:sz w:val="24"/>
          <w:szCs w:val="24"/>
          <w:lang w:val="en-US"/>
        </w:rPr>
      </w:pPr>
      <w:r w:rsidRPr="0074238D">
        <w:rPr>
          <w:rFonts w:ascii="Times New Roman" w:eastAsia="Calibri" w:hAnsi="Times New Roman" w:cs="Times New Roman"/>
          <w:sz w:val="24"/>
          <w:szCs w:val="24"/>
          <w:lang w:val="en-US"/>
        </w:rPr>
        <w:t>Goode and Ben-Yehuda’s attributional model provides a useful theoretical perspective for understanding moral panics.</w:t>
      </w:r>
      <w:r w:rsidRPr="0074238D">
        <w:rPr>
          <w:rStyle w:val="FootnoteReference"/>
          <w:rFonts w:ascii="Times New Roman" w:hAnsi="Times New Roman" w:cs="Times New Roman"/>
          <w:sz w:val="24"/>
          <w:szCs w:val="24"/>
        </w:rPr>
        <w:footnoteReference w:id="32"/>
      </w:r>
      <w:r w:rsidRPr="0074238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They propose five defining ‘elements of criteria’ i.e. </w:t>
      </w:r>
      <w:r w:rsidRPr="001D44A2">
        <w:rPr>
          <w:rFonts w:ascii="Times New Roman" w:eastAsia="Calibri" w:hAnsi="Times New Roman" w:cs="Times New Roman"/>
          <w:i/>
          <w:sz w:val="24"/>
          <w:szCs w:val="24"/>
          <w:lang w:val="en-US"/>
        </w:rPr>
        <w:t xml:space="preserve">concern, hostility, consensus, disproportion </w:t>
      </w:r>
      <w:r w:rsidRPr="001D44A2">
        <w:rPr>
          <w:rFonts w:ascii="Times New Roman" w:eastAsia="Calibri" w:hAnsi="Times New Roman" w:cs="Times New Roman"/>
          <w:sz w:val="24"/>
          <w:szCs w:val="24"/>
          <w:lang w:val="en-US"/>
        </w:rPr>
        <w:t>and</w:t>
      </w:r>
      <w:r w:rsidRPr="001D44A2">
        <w:rPr>
          <w:rFonts w:ascii="Times New Roman" w:eastAsia="Calibri" w:hAnsi="Times New Roman" w:cs="Times New Roman"/>
          <w:i/>
          <w:sz w:val="24"/>
          <w:szCs w:val="24"/>
          <w:lang w:val="en-US"/>
        </w:rPr>
        <w:t xml:space="preserve"> volatility</w:t>
      </w:r>
      <w:r>
        <w:rPr>
          <w:rFonts w:ascii="Times New Roman" w:eastAsia="Calibri" w:hAnsi="Times New Roman" w:cs="Times New Roman"/>
          <w:sz w:val="24"/>
          <w:szCs w:val="24"/>
          <w:lang w:val="en-US"/>
        </w:rPr>
        <w:t xml:space="preserve"> for moral panics. </w:t>
      </w:r>
      <w:r w:rsidRPr="0074238D">
        <w:rPr>
          <w:rFonts w:ascii="Times New Roman" w:eastAsia="Calibri" w:hAnsi="Times New Roman" w:cs="Times New Roman"/>
          <w:sz w:val="24"/>
          <w:szCs w:val="24"/>
          <w:lang w:val="en-US"/>
        </w:rPr>
        <w:t xml:space="preserve">Authoritarian regimes are adept at constructing and propagating a ‘folk devil’ narrative to rationalize the persecution of political enemies and dissidents. </w:t>
      </w:r>
      <w:r>
        <w:rPr>
          <w:rFonts w:ascii="Times New Roman" w:eastAsia="Calibri" w:hAnsi="Times New Roman" w:cs="Times New Roman"/>
          <w:sz w:val="24"/>
          <w:szCs w:val="24"/>
          <w:lang w:val="en-US"/>
        </w:rPr>
        <w:t xml:space="preserve">These oppressive efforts increase when moral panics </w:t>
      </w:r>
      <w:proofErr w:type="spellStart"/>
      <w:r>
        <w:rPr>
          <w:rFonts w:ascii="Times New Roman" w:eastAsia="Calibri" w:hAnsi="Times New Roman" w:cs="Times New Roman"/>
          <w:sz w:val="24"/>
          <w:szCs w:val="24"/>
          <w:lang w:val="en-US"/>
        </w:rPr>
        <w:t>emege</w:t>
      </w:r>
      <w:proofErr w:type="spellEnd"/>
      <w:r>
        <w:rPr>
          <w:rFonts w:ascii="Times New Roman" w:eastAsia="Calibri" w:hAnsi="Times New Roman" w:cs="Times New Roman"/>
          <w:sz w:val="24"/>
          <w:szCs w:val="24"/>
          <w:lang w:val="en-US"/>
        </w:rPr>
        <w:t>. Folk-devil</w:t>
      </w:r>
      <w:r w:rsidRPr="0074238D">
        <w:rPr>
          <w:rFonts w:ascii="Times New Roman" w:eastAsia="Calibri" w:hAnsi="Times New Roman" w:cs="Times New Roman"/>
          <w:sz w:val="24"/>
          <w:szCs w:val="24"/>
          <w:lang w:val="en-US"/>
        </w:rPr>
        <w:t xml:space="preserve"> narratives</w:t>
      </w:r>
      <w:r>
        <w:rPr>
          <w:rFonts w:ascii="Times New Roman" w:eastAsia="Calibri" w:hAnsi="Times New Roman" w:cs="Times New Roman"/>
          <w:sz w:val="24"/>
          <w:szCs w:val="24"/>
          <w:lang w:val="en-US"/>
        </w:rPr>
        <w:t>, constructed by authoritarian regimes,</w:t>
      </w:r>
      <w:r w:rsidRPr="0074238D">
        <w:rPr>
          <w:rFonts w:ascii="Times New Roman" w:eastAsia="Calibri" w:hAnsi="Times New Roman" w:cs="Times New Roman"/>
          <w:sz w:val="24"/>
          <w:szCs w:val="24"/>
          <w:lang w:val="en-US"/>
        </w:rPr>
        <w:t xml:space="preserve"> take advantage of widespread public </w:t>
      </w:r>
      <w:r w:rsidRPr="0074238D">
        <w:rPr>
          <w:rFonts w:ascii="Times New Roman" w:hAnsi="Times New Roman" w:cs="Times New Roman"/>
          <w:i/>
          <w:sz w:val="24"/>
          <w:szCs w:val="24"/>
          <w:lang w:val="en-US"/>
        </w:rPr>
        <w:t>concerns</w:t>
      </w:r>
      <w:r w:rsidRPr="0074238D">
        <w:rPr>
          <w:rFonts w:ascii="Times New Roman" w:hAnsi="Times New Roman" w:cs="Times New Roman"/>
          <w:sz w:val="24"/>
          <w:szCs w:val="24"/>
          <w:lang w:val="en-US"/>
        </w:rPr>
        <w:t xml:space="preserve"> ‘over the </w:t>
      </w:r>
      <w:proofErr w:type="spellStart"/>
      <w:r w:rsidRPr="0074238D">
        <w:rPr>
          <w:rFonts w:ascii="Times New Roman" w:hAnsi="Times New Roman" w:cs="Times New Roman"/>
          <w:sz w:val="24"/>
          <w:szCs w:val="24"/>
          <w:lang w:val="en-US"/>
        </w:rPr>
        <w:t>behaviour</w:t>
      </w:r>
      <w:proofErr w:type="spellEnd"/>
      <w:r w:rsidRPr="0074238D">
        <w:rPr>
          <w:rFonts w:ascii="Times New Roman" w:hAnsi="Times New Roman" w:cs="Times New Roman"/>
          <w:sz w:val="24"/>
          <w:szCs w:val="24"/>
          <w:lang w:val="en-US"/>
        </w:rPr>
        <w:t xml:space="preserve"> of a certain group or category’.</w:t>
      </w:r>
      <w:r w:rsidRPr="0074238D">
        <w:rPr>
          <w:rStyle w:val="FootnoteReference"/>
          <w:rFonts w:ascii="Times New Roman" w:hAnsi="Times New Roman" w:cs="Times New Roman"/>
          <w:sz w:val="24"/>
          <w:szCs w:val="24"/>
        </w:rPr>
        <w:footnoteReference w:id="33"/>
      </w:r>
      <w:r w:rsidRPr="0074238D">
        <w:rPr>
          <w:rFonts w:ascii="Times New Roman" w:eastAsia="Calibri" w:hAnsi="Times New Roman" w:cs="Times New Roman"/>
          <w:sz w:val="24"/>
          <w:szCs w:val="24"/>
          <w:lang w:val="en-US"/>
        </w:rPr>
        <w:t xml:space="preserve"> </w:t>
      </w:r>
      <w:r w:rsidRPr="0074238D">
        <w:rPr>
          <w:rFonts w:ascii="Times New Roman" w:eastAsia="Calibri" w:hAnsi="Times New Roman" w:cs="Times New Roman"/>
          <w:i/>
          <w:sz w:val="24"/>
          <w:szCs w:val="24"/>
          <w:lang w:val="en-US"/>
        </w:rPr>
        <w:t>Concerns</w:t>
      </w:r>
      <w:r w:rsidRPr="0074238D">
        <w:rPr>
          <w:rFonts w:ascii="Times New Roman" w:eastAsia="Calibri" w:hAnsi="Times New Roman" w:cs="Times New Roman"/>
          <w:sz w:val="24"/>
          <w:szCs w:val="24"/>
          <w:lang w:val="en-US"/>
        </w:rPr>
        <w:t xml:space="preserve"> may be latent in society or be </w:t>
      </w:r>
      <w:r w:rsidRPr="0074238D">
        <w:rPr>
          <w:rFonts w:ascii="Times New Roman" w:eastAsia="Calibri" w:hAnsi="Times New Roman" w:cs="Times New Roman"/>
          <w:i/>
          <w:sz w:val="24"/>
          <w:szCs w:val="24"/>
          <w:lang w:val="en-US"/>
        </w:rPr>
        <w:t>volatile</w:t>
      </w:r>
      <w:r w:rsidRPr="0074238D">
        <w:rPr>
          <w:rFonts w:ascii="Times New Roman" w:eastAsia="Calibri" w:hAnsi="Times New Roman" w:cs="Times New Roman"/>
          <w:sz w:val="24"/>
          <w:szCs w:val="24"/>
          <w:lang w:val="en-US"/>
        </w:rPr>
        <w:t xml:space="preserve"> i.e. surfacing suddenly following political upheavals. An example </w:t>
      </w:r>
      <w:r>
        <w:rPr>
          <w:rFonts w:ascii="Times New Roman" w:eastAsia="Calibri" w:hAnsi="Times New Roman" w:cs="Times New Roman"/>
          <w:sz w:val="24"/>
          <w:szCs w:val="24"/>
          <w:lang w:val="en-US"/>
        </w:rPr>
        <w:t>of</w:t>
      </w:r>
      <w:r w:rsidRPr="0074238D">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lastRenderedPageBreak/>
        <w:t>the latter would be socially disruptive incidents, such as terror attacks, which act as ‘trigger events’</w:t>
      </w:r>
      <w:r>
        <w:rPr>
          <w:rFonts w:ascii="Times New Roman" w:eastAsia="Calibri" w:hAnsi="Times New Roman" w:cs="Times New Roman"/>
          <w:sz w:val="24"/>
          <w:szCs w:val="24"/>
          <w:lang w:val="en-US"/>
        </w:rPr>
        <w:t>,</w:t>
      </w:r>
      <w:r w:rsidRPr="0074238D">
        <w:rPr>
          <w:rStyle w:val="FootnoteReference"/>
          <w:rFonts w:ascii="Times New Roman" w:hAnsi="Times New Roman" w:cs="Times New Roman"/>
          <w:sz w:val="24"/>
          <w:szCs w:val="24"/>
        </w:rPr>
        <w:footnoteReference w:id="34"/>
      </w:r>
      <w:r w:rsidRPr="0074238D">
        <w:rPr>
          <w:rFonts w:ascii="Times New Roman" w:eastAsia="Calibri" w:hAnsi="Times New Roman" w:cs="Times New Roman"/>
          <w:sz w:val="24"/>
          <w:szCs w:val="24"/>
          <w:lang w:val="en-US"/>
        </w:rPr>
        <w:t xml:space="preserve"> and result in a</w:t>
      </w:r>
      <w:r w:rsidRPr="0074238D">
        <w:rPr>
          <w:rFonts w:ascii="Times New Roman" w:hAnsi="Times New Roman" w:cs="Times New Roman"/>
          <w:sz w:val="24"/>
          <w:szCs w:val="24"/>
          <w:lang w:val="en-US"/>
        </w:rPr>
        <w:t xml:space="preserve"> ‘heightened level of concern over the </w:t>
      </w:r>
      <w:proofErr w:type="spellStart"/>
      <w:r w:rsidRPr="0074238D">
        <w:rPr>
          <w:rFonts w:ascii="Times New Roman" w:hAnsi="Times New Roman" w:cs="Times New Roman"/>
          <w:sz w:val="24"/>
          <w:szCs w:val="24"/>
          <w:lang w:val="en-US"/>
        </w:rPr>
        <w:t>behaviour</w:t>
      </w:r>
      <w:proofErr w:type="spellEnd"/>
      <w:r w:rsidRPr="0074238D">
        <w:rPr>
          <w:rFonts w:ascii="Times New Roman" w:hAnsi="Times New Roman" w:cs="Times New Roman"/>
          <w:sz w:val="24"/>
          <w:szCs w:val="24"/>
          <w:lang w:val="en-US"/>
        </w:rPr>
        <w:t xml:space="preserve"> of a certain group or category.</w:t>
      </w:r>
      <w:r w:rsidRPr="0074238D">
        <w:rPr>
          <w:rStyle w:val="FootnoteReference"/>
          <w:rFonts w:ascii="Times New Roman" w:hAnsi="Times New Roman" w:cs="Times New Roman"/>
          <w:sz w:val="24"/>
          <w:szCs w:val="24"/>
        </w:rPr>
        <w:footnoteReference w:id="35"/>
      </w:r>
      <w:r w:rsidRPr="0074238D">
        <w:rPr>
          <w:rFonts w:ascii="Times New Roman" w:eastAsia="Calibri" w:hAnsi="Times New Roman" w:cs="Times New Roman"/>
          <w:sz w:val="24"/>
          <w:szCs w:val="24"/>
          <w:lang w:val="en-US"/>
        </w:rPr>
        <w:t xml:space="preserve"> In the aftermath of trigger events, the public becomes susceptible to be influenced by constructed folk devil narratives and ‘an increased level of </w:t>
      </w:r>
      <w:r w:rsidRPr="0074238D">
        <w:rPr>
          <w:rFonts w:ascii="Times New Roman" w:eastAsia="Calibri" w:hAnsi="Times New Roman" w:cs="Times New Roman"/>
          <w:i/>
          <w:sz w:val="24"/>
          <w:szCs w:val="24"/>
          <w:lang w:val="en-US"/>
        </w:rPr>
        <w:t>hostility</w:t>
      </w:r>
      <w:r w:rsidRPr="0074238D">
        <w:rPr>
          <w:rFonts w:ascii="Times New Roman" w:eastAsia="Calibri" w:hAnsi="Times New Roman" w:cs="Times New Roman"/>
          <w:sz w:val="24"/>
          <w:szCs w:val="24"/>
          <w:lang w:val="en-US"/>
        </w:rPr>
        <w:t>’ towards targeted groups may be observed.</w:t>
      </w:r>
      <w:r w:rsidRPr="0074238D">
        <w:rPr>
          <w:rStyle w:val="FootnoteReference"/>
          <w:rFonts w:ascii="Times New Roman" w:hAnsi="Times New Roman" w:cs="Times New Roman"/>
          <w:sz w:val="24"/>
          <w:szCs w:val="24"/>
        </w:rPr>
        <w:footnoteReference w:id="36"/>
      </w:r>
      <w:r w:rsidRPr="0074238D">
        <w:rPr>
          <w:rFonts w:ascii="Times New Roman" w:eastAsia="Calibri" w:hAnsi="Times New Roman" w:cs="Times New Roman"/>
          <w:sz w:val="24"/>
          <w:szCs w:val="24"/>
          <w:lang w:val="en-US"/>
        </w:rPr>
        <w:t xml:space="preserve"> Actively propagating ‘folk devil’ narratives may result in partial or complete </w:t>
      </w:r>
      <w:r w:rsidRPr="0074238D">
        <w:rPr>
          <w:rFonts w:ascii="Times New Roman" w:eastAsia="Calibri" w:hAnsi="Times New Roman" w:cs="Times New Roman"/>
          <w:i/>
          <w:sz w:val="24"/>
          <w:szCs w:val="24"/>
          <w:lang w:val="en-US"/>
        </w:rPr>
        <w:t>consensus</w:t>
      </w:r>
      <w:r w:rsidRPr="0074238D">
        <w:rPr>
          <w:rFonts w:ascii="Times New Roman" w:eastAsia="Calibri" w:hAnsi="Times New Roman" w:cs="Times New Roman"/>
          <w:sz w:val="24"/>
          <w:szCs w:val="24"/>
          <w:lang w:val="en-US"/>
        </w:rPr>
        <w:t xml:space="preserve"> that </w:t>
      </w:r>
      <w:r w:rsidRPr="0074238D">
        <w:rPr>
          <w:rFonts w:ascii="Times New Roman" w:hAnsi="Times New Roman" w:cs="Times New Roman"/>
          <w:sz w:val="24"/>
          <w:szCs w:val="24"/>
          <w:lang w:val="en-US"/>
        </w:rPr>
        <w:t xml:space="preserve">‘the threat is real, serious and caused by the wrongdoing group members and their </w:t>
      </w:r>
      <w:proofErr w:type="spellStart"/>
      <w:r w:rsidRPr="0074238D">
        <w:rPr>
          <w:rFonts w:ascii="Times New Roman" w:hAnsi="Times New Roman" w:cs="Times New Roman"/>
          <w:sz w:val="24"/>
          <w:szCs w:val="24"/>
          <w:lang w:val="en-US"/>
        </w:rPr>
        <w:t>behaviour</w:t>
      </w:r>
      <w:proofErr w:type="spellEnd"/>
      <w:r w:rsidRPr="0074238D">
        <w:rPr>
          <w:rFonts w:ascii="Times New Roman" w:hAnsi="Times New Roman" w:cs="Times New Roman"/>
          <w:sz w:val="24"/>
          <w:szCs w:val="24"/>
          <w:lang w:val="en-US"/>
        </w:rPr>
        <w:t xml:space="preserve">’ </w:t>
      </w:r>
      <w:r w:rsidRPr="0074238D">
        <w:rPr>
          <w:rFonts w:ascii="Times New Roman" w:eastAsia="Calibri" w:hAnsi="Times New Roman" w:cs="Times New Roman"/>
          <w:sz w:val="24"/>
          <w:szCs w:val="24"/>
          <w:lang w:val="en-US"/>
        </w:rPr>
        <w:t>across society</w:t>
      </w:r>
      <w:r w:rsidRPr="0074238D">
        <w:rPr>
          <w:rFonts w:ascii="Times New Roman" w:hAnsi="Times New Roman" w:cs="Times New Roman"/>
          <w:sz w:val="24"/>
          <w:szCs w:val="24"/>
          <w:lang w:val="en-US"/>
        </w:rPr>
        <w:t>.</w:t>
      </w:r>
      <w:r w:rsidRPr="0074238D">
        <w:rPr>
          <w:rStyle w:val="FootnoteReference"/>
          <w:rFonts w:ascii="Times New Roman" w:hAnsi="Times New Roman" w:cs="Times New Roman"/>
          <w:sz w:val="24"/>
          <w:szCs w:val="24"/>
        </w:rPr>
        <w:footnoteReference w:id="37"/>
      </w:r>
      <w:r w:rsidRPr="0074238D">
        <w:rPr>
          <w:rFonts w:ascii="Times New Roman" w:hAnsi="Times New Roman" w:cs="Times New Roman"/>
          <w:sz w:val="24"/>
          <w:szCs w:val="24"/>
          <w:lang w:val="en-US"/>
        </w:rPr>
        <w:t xml:space="preserve"> Once there is a </w:t>
      </w:r>
      <w:r w:rsidRPr="0074238D">
        <w:rPr>
          <w:rFonts w:ascii="Times New Roman" w:hAnsi="Times New Roman" w:cs="Times New Roman"/>
          <w:i/>
          <w:sz w:val="24"/>
          <w:szCs w:val="24"/>
          <w:lang w:val="en-US"/>
        </w:rPr>
        <w:t>consensus</w:t>
      </w:r>
      <w:r w:rsidRPr="0074238D">
        <w:rPr>
          <w:rFonts w:ascii="Times New Roman" w:hAnsi="Times New Roman" w:cs="Times New Roman"/>
          <w:sz w:val="24"/>
          <w:szCs w:val="24"/>
          <w:lang w:val="en-US"/>
        </w:rPr>
        <w:t xml:space="preserve"> of </w:t>
      </w:r>
      <w:r w:rsidRPr="0074238D">
        <w:rPr>
          <w:rFonts w:ascii="Times New Roman" w:hAnsi="Times New Roman" w:cs="Times New Roman"/>
          <w:i/>
          <w:sz w:val="24"/>
          <w:szCs w:val="24"/>
          <w:lang w:val="en-US"/>
        </w:rPr>
        <w:t>hostility</w:t>
      </w:r>
      <w:r w:rsidRPr="0074238D">
        <w:rPr>
          <w:rFonts w:ascii="Times New Roman" w:hAnsi="Times New Roman" w:cs="Times New Roman"/>
          <w:sz w:val="24"/>
          <w:szCs w:val="24"/>
          <w:lang w:val="en-US"/>
        </w:rPr>
        <w:t xml:space="preserve"> towards the folk devils, </w:t>
      </w:r>
      <w:r w:rsidRPr="0074238D">
        <w:rPr>
          <w:rFonts w:ascii="Times New Roman" w:hAnsi="Times New Roman" w:cs="Times New Roman"/>
          <w:i/>
          <w:sz w:val="24"/>
          <w:szCs w:val="24"/>
          <w:lang w:val="en-US"/>
        </w:rPr>
        <w:t>disproportionate</w:t>
      </w:r>
      <w:r w:rsidRPr="0074238D">
        <w:rPr>
          <w:rFonts w:ascii="Times New Roman" w:hAnsi="Times New Roman" w:cs="Times New Roman"/>
          <w:sz w:val="24"/>
          <w:szCs w:val="24"/>
          <w:lang w:val="en-US"/>
        </w:rPr>
        <w:t xml:space="preserve"> social and official reactions may be observed. Furthermore, disproportionate reactions may become ‘</w:t>
      </w:r>
      <w:r w:rsidRPr="0074238D">
        <w:rPr>
          <w:rFonts w:ascii="Times New Roman" w:hAnsi="Times New Roman" w:cs="Times New Roman"/>
          <w:i/>
          <w:sz w:val="24"/>
          <w:szCs w:val="24"/>
          <w:lang w:val="en-US"/>
        </w:rPr>
        <w:t>routinized</w:t>
      </w:r>
      <w:r w:rsidRPr="0074238D">
        <w:rPr>
          <w:rFonts w:ascii="Times New Roman" w:hAnsi="Times New Roman" w:cs="Times New Roman"/>
          <w:sz w:val="24"/>
          <w:szCs w:val="24"/>
          <w:lang w:val="en-US"/>
        </w:rPr>
        <w:t xml:space="preserve"> or </w:t>
      </w:r>
      <w:r w:rsidRPr="0074238D">
        <w:rPr>
          <w:rFonts w:ascii="Times New Roman" w:hAnsi="Times New Roman" w:cs="Times New Roman"/>
          <w:i/>
          <w:sz w:val="24"/>
          <w:szCs w:val="24"/>
          <w:lang w:val="en-US"/>
        </w:rPr>
        <w:t>institutionalized’</w:t>
      </w:r>
      <w:r w:rsidRPr="0074238D">
        <w:rPr>
          <w:rFonts w:ascii="Times New Roman" w:hAnsi="Times New Roman" w:cs="Times New Roman"/>
          <w:sz w:val="24"/>
          <w:szCs w:val="24"/>
          <w:lang w:val="en-US"/>
        </w:rPr>
        <w:t xml:space="preserve">, </w:t>
      </w:r>
      <w:r w:rsidRPr="0074238D">
        <w:rPr>
          <w:rStyle w:val="FootnoteReference"/>
          <w:rFonts w:ascii="Times New Roman" w:hAnsi="Times New Roman" w:cs="Times New Roman"/>
          <w:sz w:val="24"/>
          <w:szCs w:val="24"/>
        </w:rPr>
        <w:footnoteReference w:id="38"/>
      </w:r>
      <w:r w:rsidRPr="0074238D">
        <w:rPr>
          <w:rFonts w:ascii="Times New Roman" w:hAnsi="Times New Roman" w:cs="Times New Roman"/>
          <w:sz w:val="24"/>
          <w:szCs w:val="24"/>
          <w:lang w:val="en-US"/>
        </w:rPr>
        <w:t xml:space="preserve"> and lead to impulsive and reactionary changes in ‘legislation, enforcement practices, informal interpersonal norms or practices for punishing transgressors’.</w:t>
      </w:r>
      <w:r w:rsidRPr="0074238D">
        <w:rPr>
          <w:rStyle w:val="FootnoteReference"/>
          <w:rFonts w:ascii="Times New Roman" w:hAnsi="Times New Roman" w:cs="Times New Roman"/>
          <w:sz w:val="24"/>
          <w:szCs w:val="24"/>
        </w:rPr>
        <w:footnoteReference w:id="39"/>
      </w:r>
      <w:r w:rsidRPr="0074238D">
        <w:rPr>
          <w:rFonts w:ascii="Times New Roman" w:hAnsi="Times New Roman" w:cs="Times New Roman"/>
          <w:sz w:val="24"/>
          <w:szCs w:val="24"/>
          <w:lang w:val="en-US"/>
        </w:rPr>
        <w:t xml:space="preserve"> As a result, overreactions can even be more damaging than the original threat for the public.</w:t>
      </w:r>
    </w:p>
    <w:p w14:paraId="6FB92A5B" w14:textId="58B4A5CC" w:rsidR="00153F3A" w:rsidRPr="005B6E0C" w:rsidRDefault="00153F3A" w:rsidP="00153F3A">
      <w:pPr>
        <w:rPr>
          <w:rFonts w:ascii="Times New Roman" w:hAnsi="Times New Roman" w:cs="Times New Roman"/>
          <w:sz w:val="24"/>
          <w:szCs w:val="24"/>
          <w:lang w:val="en-US" w:eastAsia="en-GB"/>
        </w:rPr>
      </w:pPr>
      <w:r w:rsidRPr="0074238D">
        <w:rPr>
          <w:rFonts w:ascii="Times New Roman" w:eastAsia="Calibri" w:hAnsi="Times New Roman" w:cs="Times New Roman"/>
          <w:sz w:val="24"/>
          <w:szCs w:val="24"/>
          <w:lang w:val="en-US"/>
        </w:rPr>
        <w:t>Correspondingly, abuse of communications metadata to confer criminality upon political enemies and dissidents can be easily justified following trigger events. As UNHRC Special Rapporteur David Kaye warned, ‘efforts to restrict encryption and anonymity also tend to be quick</w:t>
      </w:r>
      <w:r w:rsidRPr="0074238D">
        <w:rPr>
          <w:rFonts w:ascii="Times New Roman" w:eastAsia="Calibri" w:hAnsi="Times New Roman" w:cs="Times New Roman"/>
          <w:sz w:val="24"/>
          <w:szCs w:val="24"/>
        </w:rPr>
        <w:t xml:space="preserve"> </w:t>
      </w:r>
      <w:r w:rsidRPr="0074238D">
        <w:rPr>
          <w:rFonts w:ascii="Times New Roman" w:eastAsia="Calibri" w:hAnsi="Times New Roman" w:cs="Times New Roman"/>
          <w:sz w:val="24"/>
          <w:szCs w:val="24"/>
          <w:lang w:val="en-US"/>
        </w:rPr>
        <w:t>reactions to terrorism, even when the attackers themselves are not alleged to have used encryption or anonymity to plan or carry out an attack’</w:t>
      </w:r>
      <w:r>
        <w:rPr>
          <w:rFonts w:ascii="Times New Roman" w:eastAsia="Calibri" w:hAnsi="Times New Roman" w:cs="Times New Roman"/>
          <w:sz w:val="24"/>
          <w:szCs w:val="24"/>
          <w:lang w:val="en-US"/>
        </w:rPr>
        <w:t>.</w:t>
      </w:r>
      <w:r w:rsidRPr="0074238D">
        <w:rPr>
          <w:rStyle w:val="FootnoteReference"/>
          <w:rFonts w:ascii="Times New Roman" w:hAnsi="Times New Roman" w:cs="Times New Roman"/>
          <w:color w:val="000000" w:themeColor="text1"/>
          <w:sz w:val="24"/>
          <w:szCs w:val="24"/>
          <w:lang w:val="en-US"/>
        </w:rPr>
        <w:footnoteReference w:id="40"/>
      </w:r>
      <w:r w:rsidRPr="0074238D">
        <w:rPr>
          <w:rFonts w:ascii="Times New Roman" w:eastAsia="Calibri" w:hAnsi="Times New Roman" w:cs="Times New Roman"/>
          <w:sz w:val="24"/>
          <w:szCs w:val="24"/>
          <w:lang w:val="en-US"/>
        </w:rPr>
        <w:t xml:space="preserve"> Extra-judicial mass surveillance programs of intelligence agencies, which would have been scrutinized and criticized by the public in normal times,</w:t>
      </w:r>
      <w:r w:rsidRPr="0074238D">
        <w:rPr>
          <w:rStyle w:val="FootnoteReference"/>
          <w:rFonts w:ascii="Times New Roman" w:hAnsi="Times New Roman" w:cs="Times New Roman"/>
          <w:color w:val="000000" w:themeColor="text1"/>
          <w:sz w:val="24"/>
          <w:szCs w:val="24"/>
          <w:lang w:val="en-US"/>
        </w:rPr>
        <w:footnoteReference w:id="41"/>
      </w:r>
      <w:r w:rsidRPr="0074238D">
        <w:rPr>
          <w:rFonts w:ascii="Times New Roman" w:eastAsia="Calibri" w:hAnsi="Times New Roman" w:cs="Times New Roman"/>
          <w:sz w:val="24"/>
          <w:szCs w:val="24"/>
          <w:lang w:val="en-US"/>
        </w:rPr>
        <w:t xml:space="preserve"> can be introduced in order to identify so-called ‘terrorists’. Regimes can abandon established legal procedures and human rights protections such as ‘the burden of proof’ or ‘right to a fair trial’ in pursuit of punishing political enemies. The oppression of dissidents can be facilitated by metadata abuse for political purposes i.e. citing unlawfully accessed or unreliable communications metadata to confer guilt on dissidents. To illustrate the oppressive potentials of such metadata abuse, I will look at the reactions to the coup attempt in Turkey, and the mass </w:t>
      </w:r>
      <w:proofErr w:type="spellStart"/>
      <w:r w:rsidRPr="0074238D">
        <w:rPr>
          <w:rFonts w:ascii="Times New Roman" w:eastAsia="Calibri" w:hAnsi="Times New Roman" w:cs="Times New Roman"/>
          <w:sz w:val="24"/>
          <w:szCs w:val="24"/>
          <w:lang w:val="en-US"/>
        </w:rPr>
        <w:t>ByLock</w:t>
      </w:r>
      <w:proofErr w:type="spellEnd"/>
      <w:r w:rsidRPr="0074238D">
        <w:rPr>
          <w:rFonts w:ascii="Times New Roman" w:eastAsia="Calibri" w:hAnsi="Times New Roman" w:cs="Times New Roman"/>
          <w:sz w:val="24"/>
          <w:szCs w:val="24"/>
          <w:lang w:val="en-US"/>
        </w:rPr>
        <w:t xml:space="preserve"> prosecutions in the aftermath. </w:t>
      </w:r>
    </w:p>
    <w:p w14:paraId="2D9AE3C4" w14:textId="77777777" w:rsidR="00153F3A" w:rsidRPr="00161A04" w:rsidRDefault="00153F3A" w:rsidP="005B6E0C">
      <w:pPr>
        <w:pStyle w:val="Heading2"/>
      </w:pPr>
      <w:r w:rsidRPr="00161A04">
        <w:t xml:space="preserve">The Turkish Coup Attempt and the Subsequent Purge </w:t>
      </w:r>
    </w:p>
    <w:p w14:paraId="2A208FAD" w14:textId="77777777" w:rsidR="00153F3A" w:rsidRPr="00115A35"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On 15 July 2016, a rogue group in the Turkish military took to the streets to topple President Erdogan. The coup had little chance of success: only a marginally small fraction of the Turkish military was involved</w:t>
      </w:r>
      <w:r>
        <w:rPr>
          <w:rFonts w:ascii="Times New Roman" w:eastAsia="Calibri" w:hAnsi="Times New Roman" w:cs="Times New Roman"/>
          <w:sz w:val="24"/>
          <w:szCs w:val="24"/>
          <w:lang w:val="en-US"/>
        </w:rPr>
        <w:t>,</w:t>
      </w:r>
      <w:r w:rsidRPr="0074238D">
        <w:rPr>
          <w:rStyle w:val="FootnoteReference"/>
          <w:rFonts w:ascii="Times New Roman" w:eastAsiaTheme="minorEastAsia" w:hAnsi="Times New Roman" w:cs="Times New Roman"/>
          <w:sz w:val="24"/>
          <w:szCs w:val="24"/>
        </w:rPr>
        <w:footnoteReference w:id="42"/>
      </w:r>
      <w:r w:rsidRPr="0074238D">
        <w:rPr>
          <w:rFonts w:ascii="Times New Roman" w:eastAsia="Calibri" w:hAnsi="Times New Roman" w:cs="Times New Roman"/>
          <w:sz w:val="24"/>
          <w:szCs w:val="24"/>
          <w:lang w:val="en-US"/>
        </w:rPr>
        <w:t xml:space="preserve"> and there was very little public support. While over two hundred soldiers and civilians were killed during the clashes, no government official was apprehended. By the morning, those involved in the coup were arrested and the coup </w:t>
      </w:r>
      <w:r>
        <w:rPr>
          <w:rFonts w:ascii="Times New Roman" w:eastAsia="Calibri" w:hAnsi="Times New Roman" w:cs="Times New Roman"/>
          <w:sz w:val="24"/>
          <w:szCs w:val="24"/>
          <w:lang w:val="en-US"/>
        </w:rPr>
        <w:t xml:space="preserve">attempt </w:t>
      </w:r>
      <w:r w:rsidRPr="0074238D">
        <w:rPr>
          <w:rFonts w:ascii="Times New Roman" w:eastAsia="Calibri" w:hAnsi="Times New Roman" w:cs="Times New Roman"/>
          <w:sz w:val="24"/>
          <w:szCs w:val="24"/>
          <w:lang w:val="en-US"/>
        </w:rPr>
        <w:t>was suppressed. President Erdogan and the ruling Justice and Development Party (</w:t>
      </w:r>
      <w:r>
        <w:rPr>
          <w:rFonts w:ascii="Times New Roman" w:eastAsia="Calibri" w:hAnsi="Times New Roman" w:cs="Times New Roman"/>
          <w:sz w:val="24"/>
          <w:szCs w:val="24"/>
          <w:lang w:val="en-US"/>
        </w:rPr>
        <w:t xml:space="preserve">henceforth </w:t>
      </w:r>
      <w:r w:rsidRPr="0074238D">
        <w:rPr>
          <w:rFonts w:ascii="Times New Roman" w:eastAsia="Calibri" w:hAnsi="Times New Roman" w:cs="Times New Roman"/>
          <w:sz w:val="24"/>
          <w:szCs w:val="24"/>
          <w:lang w:val="en-US"/>
        </w:rPr>
        <w:t xml:space="preserve">AKP) ministers publicly announced </w:t>
      </w:r>
      <w:r>
        <w:rPr>
          <w:rFonts w:ascii="Times New Roman" w:eastAsia="Calibri" w:hAnsi="Times New Roman" w:cs="Times New Roman"/>
          <w:sz w:val="24"/>
          <w:szCs w:val="24"/>
          <w:lang w:val="en-US"/>
        </w:rPr>
        <w:t xml:space="preserve">that </w:t>
      </w:r>
      <w:r w:rsidRPr="0074238D">
        <w:rPr>
          <w:rFonts w:ascii="Times New Roman" w:eastAsia="Calibri" w:hAnsi="Times New Roman" w:cs="Times New Roman"/>
          <w:sz w:val="24"/>
          <w:szCs w:val="24"/>
          <w:lang w:val="en-US"/>
        </w:rPr>
        <w:t xml:space="preserve">the coup was organized by the GM, a social and </w:t>
      </w:r>
      <w:r w:rsidRPr="0074238D">
        <w:rPr>
          <w:rFonts w:ascii="Times New Roman" w:eastAsia="Calibri" w:hAnsi="Times New Roman" w:cs="Times New Roman"/>
          <w:sz w:val="24"/>
          <w:szCs w:val="24"/>
          <w:lang w:val="en-US"/>
        </w:rPr>
        <w:lastRenderedPageBreak/>
        <w:t>religious movement who were at odds with the AKP at the time.</w:t>
      </w:r>
      <w:r w:rsidRPr="0074238D">
        <w:rPr>
          <w:rStyle w:val="FootnoteReference"/>
          <w:rFonts w:ascii="Times New Roman" w:eastAsiaTheme="minorEastAsia" w:hAnsi="Times New Roman" w:cs="Times New Roman"/>
          <w:sz w:val="24"/>
          <w:szCs w:val="24"/>
        </w:rPr>
        <w:footnoteReference w:id="43"/>
      </w:r>
      <w:r w:rsidRPr="0074238D">
        <w:rPr>
          <w:rFonts w:ascii="Times New Roman" w:eastAsia="Calibri" w:hAnsi="Times New Roman" w:cs="Times New Roman"/>
          <w:sz w:val="24"/>
          <w:szCs w:val="24"/>
          <w:lang w:val="en-US"/>
        </w:rPr>
        <w:t xml:space="preserve"> Erdogan</w:t>
      </w:r>
      <w:r w:rsidRPr="00161A04">
        <w:rPr>
          <w:rFonts w:ascii="Times New Roman" w:eastAsia="Calibri" w:hAnsi="Times New Roman" w:cs="Times New Roman"/>
          <w:lang w:val="en-US"/>
        </w:rPr>
        <w:t xml:space="preserve"> </w:t>
      </w:r>
      <w:r w:rsidRPr="0074238D">
        <w:rPr>
          <w:rFonts w:ascii="Times New Roman" w:eastAsia="Calibri" w:hAnsi="Times New Roman" w:cs="Times New Roman"/>
          <w:sz w:val="24"/>
          <w:szCs w:val="24"/>
          <w:lang w:val="en-US"/>
        </w:rPr>
        <w:t xml:space="preserve">personally called the attempt a ‘gift from </w:t>
      </w:r>
      <w:r w:rsidRPr="00115A35">
        <w:rPr>
          <w:rFonts w:ascii="Times New Roman" w:eastAsia="Calibri" w:hAnsi="Times New Roman" w:cs="Times New Roman"/>
          <w:sz w:val="24"/>
          <w:szCs w:val="24"/>
          <w:lang w:val="en-US"/>
        </w:rPr>
        <w:t>the God (sic)’ which would ‘allow him to cleanse the army and the state of terrorists [i.e. perceived GM supporters]’.</w:t>
      </w:r>
      <w:r w:rsidRPr="00115A35">
        <w:rPr>
          <w:rStyle w:val="FootnoteReference"/>
          <w:rFonts w:ascii="Times New Roman" w:eastAsiaTheme="minorEastAsia" w:hAnsi="Times New Roman" w:cs="Times New Roman"/>
          <w:sz w:val="24"/>
          <w:szCs w:val="24"/>
        </w:rPr>
        <w:footnoteReference w:id="44"/>
      </w:r>
      <w:r w:rsidRPr="00115A35">
        <w:rPr>
          <w:rFonts w:ascii="Times New Roman" w:eastAsia="Calibri" w:hAnsi="Times New Roman" w:cs="Times New Roman"/>
          <w:sz w:val="24"/>
          <w:szCs w:val="24"/>
          <w:lang w:val="en-US"/>
        </w:rPr>
        <w:t xml:space="preserve"> On the other hand, </w:t>
      </w:r>
      <w:proofErr w:type="spellStart"/>
      <w:r w:rsidRPr="00115A35">
        <w:rPr>
          <w:rFonts w:ascii="Times New Roman" w:eastAsia="Calibri" w:hAnsi="Times New Roman" w:cs="Times New Roman"/>
          <w:sz w:val="24"/>
          <w:szCs w:val="24"/>
          <w:lang w:val="en-US"/>
        </w:rPr>
        <w:t>Gulen</w:t>
      </w:r>
      <w:proofErr w:type="spellEnd"/>
      <w:r w:rsidRPr="00115A35">
        <w:rPr>
          <w:rFonts w:ascii="Times New Roman" w:eastAsia="Calibri" w:hAnsi="Times New Roman" w:cs="Times New Roman"/>
          <w:sz w:val="24"/>
          <w:szCs w:val="24"/>
          <w:lang w:val="en-US"/>
        </w:rPr>
        <w:t xml:space="preserve"> publicly denied any connection to the coup attempt, and called for an international commission to investigate the attempt; further stating that if any of his sympathizers were involved, they would have violated his values.</w:t>
      </w:r>
      <w:r w:rsidRPr="00115A35">
        <w:rPr>
          <w:rStyle w:val="FootnoteReference"/>
          <w:rFonts w:ascii="Times New Roman" w:eastAsiaTheme="minorEastAsia" w:hAnsi="Times New Roman" w:cs="Times New Roman"/>
          <w:sz w:val="24"/>
          <w:szCs w:val="24"/>
        </w:rPr>
        <w:footnoteReference w:id="45"/>
      </w:r>
      <w:r w:rsidRPr="00115A35">
        <w:rPr>
          <w:rFonts w:ascii="Times New Roman" w:eastAsia="Calibri" w:hAnsi="Times New Roman" w:cs="Times New Roman"/>
          <w:sz w:val="24"/>
          <w:szCs w:val="24"/>
          <w:lang w:val="en-US"/>
        </w:rPr>
        <w:t xml:space="preserve"> The extent of GM-linked individuals’ possible involvement in the coup attempt is beyond the scope of this chapter. However, it is clear that following the coup attempt, GM faced extreme stigmatization from Turkish society both inside and outside Turkey,</w:t>
      </w:r>
      <w:r w:rsidRPr="00115A35">
        <w:rPr>
          <w:rStyle w:val="FootnoteReference"/>
          <w:rFonts w:ascii="Times New Roman" w:eastAsiaTheme="minorEastAsia" w:hAnsi="Times New Roman" w:cs="Times New Roman"/>
          <w:sz w:val="24"/>
          <w:szCs w:val="24"/>
        </w:rPr>
        <w:t xml:space="preserve"> </w:t>
      </w:r>
      <w:r w:rsidRPr="00115A35">
        <w:rPr>
          <w:rStyle w:val="FootnoteReference"/>
          <w:rFonts w:ascii="Times New Roman" w:eastAsiaTheme="minorEastAsia" w:hAnsi="Times New Roman" w:cs="Times New Roman"/>
          <w:sz w:val="24"/>
          <w:szCs w:val="24"/>
        </w:rPr>
        <w:footnoteReference w:id="46"/>
      </w:r>
      <w:r w:rsidRPr="00115A35">
        <w:rPr>
          <w:rFonts w:ascii="Times New Roman" w:eastAsia="Calibri" w:hAnsi="Times New Roman" w:cs="Times New Roman"/>
          <w:sz w:val="24"/>
          <w:szCs w:val="24"/>
          <w:lang w:val="en-US"/>
        </w:rPr>
        <w:t xml:space="preserve"> leading GM members to leave Turkey for other countries</w:t>
      </w:r>
      <w:r>
        <w:rPr>
          <w:rFonts w:ascii="Times New Roman" w:eastAsia="Calibri" w:hAnsi="Times New Roman" w:cs="Times New Roman"/>
          <w:sz w:val="24"/>
          <w:szCs w:val="24"/>
          <w:lang w:val="en-US"/>
        </w:rPr>
        <w:t xml:space="preserve"> and</w:t>
      </w:r>
      <w:r w:rsidRPr="00115A35">
        <w:rPr>
          <w:rFonts w:ascii="Times New Roman" w:eastAsia="Calibri" w:hAnsi="Times New Roman" w:cs="Times New Roman"/>
          <w:sz w:val="24"/>
          <w:szCs w:val="24"/>
          <w:lang w:val="en-US"/>
        </w:rPr>
        <w:t xml:space="preserve"> seek safety abroad.</w:t>
      </w:r>
      <w:r w:rsidRPr="00115A35">
        <w:rPr>
          <w:rStyle w:val="FootnoteReference"/>
          <w:rFonts w:ascii="Times New Roman" w:eastAsiaTheme="minorEastAsia" w:hAnsi="Times New Roman" w:cs="Times New Roman"/>
          <w:sz w:val="24"/>
          <w:szCs w:val="24"/>
        </w:rPr>
        <w:footnoteReference w:id="47"/>
      </w:r>
      <w:r w:rsidRPr="00115A35">
        <w:rPr>
          <w:rFonts w:ascii="Times New Roman" w:eastAsia="Calibri" w:hAnsi="Times New Roman" w:cs="Times New Roman"/>
          <w:sz w:val="24"/>
          <w:szCs w:val="24"/>
          <w:lang w:val="en-US"/>
        </w:rPr>
        <w:t xml:space="preserve"> </w:t>
      </w:r>
    </w:p>
    <w:p w14:paraId="3E349F8A" w14:textId="77777777" w:rsidR="00153F3A" w:rsidRPr="00115A35" w:rsidRDefault="00153F3A" w:rsidP="00153F3A">
      <w:pPr>
        <w:rPr>
          <w:rFonts w:ascii="Times New Roman" w:eastAsia="Calibri" w:hAnsi="Times New Roman" w:cs="Times New Roman"/>
          <w:color w:val="000000" w:themeColor="text1"/>
          <w:sz w:val="24"/>
          <w:szCs w:val="24"/>
          <w:lang w:val="en-US"/>
        </w:rPr>
      </w:pPr>
      <w:r w:rsidRPr="00115A35">
        <w:rPr>
          <w:rFonts w:ascii="Times New Roman" w:eastAsia="Calibri" w:hAnsi="Times New Roman" w:cs="Times New Roman"/>
          <w:sz w:val="24"/>
          <w:szCs w:val="24"/>
          <w:lang w:val="en-US"/>
        </w:rPr>
        <w:t xml:space="preserve">In the immediate aftermath of the coup attempt, the AKP government launched an unprecedented purge against perceived </w:t>
      </w:r>
      <w:proofErr w:type="spellStart"/>
      <w:r w:rsidRPr="00115A35">
        <w:rPr>
          <w:rFonts w:ascii="Times New Roman" w:eastAsia="Calibri" w:hAnsi="Times New Roman" w:cs="Times New Roman"/>
          <w:sz w:val="24"/>
          <w:szCs w:val="24"/>
          <w:lang w:val="en-US"/>
        </w:rPr>
        <w:t>Gulenists</w:t>
      </w:r>
      <w:proofErr w:type="spellEnd"/>
      <w:r w:rsidRPr="00115A35">
        <w:rPr>
          <w:rFonts w:ascii="Times New Roman" w:eastAsia="Calibri" w:hAnsi="Times New Roman" w:cs="Times New Roman"/>
          <w:sz w:val="24"/>
          <w:szCs w:val="24"/>
          <w:lang w:val="en-US"/>
        </w:rPr>
        <w:t>. One day after the coup attempt, more than 2700 judges</w:t>
      </w:r>
      <w:r>
        <w:rPr>
          <w:rFonts w:ascii="Times New Roman" w:eastAsia="Calibri" w:hAnsi="Times New Roman" w:cs="Times New Roman"/>
          <w:sz w:val="24"/>
          <w:szCs w:val="24"/>
          <w:lang w:val="en-US"/>
        </w:rPr>
        <w:t xml:space="preserve"> were dismissed</w:t>
      </w:r>
      <w:r w:rsidRPr="00115A35">
        <w:rPr>
          <w:rFonts w:ascii="Times New Roman" w:eastAsia="Calibri" w:hAnsi="Times New Roman" w:cs="Times New Roman"/>
          <w:sz w:val="24"/>
          <w:szCs w:val="24"/>
          <w:lang w:val="en-US"/>
        </w:rPr>
        <w:t>,</w:t>
      </w:r>
      <w:r w:rsidRPr="00115A35">
        <w:rPr>
          <w:rStyle w:val="FootnoteReference"/>
          <w:rFonts w:ascii="Times New Roman" w:eastAsiaTheme="minorEastAsia" w:hAnsi="Times New Roman" w:cs="Times New Roman"/>
          <w:sz w:val="24"/>
          <w:szCs w:val="24"/>
        </w:rPr>
        <w:footnoteReference w:id="48"/>
      </w:r>
      <w:r w:rsidRPr="00115A35">
        <w:rPr>
          <w:rFonts w:ascii="Times New Roman" w:eastAsia="Calibri" w:hAnsi="Times New Roman" w:cs="Times New Roman"/>
          <w:sz w:val="24"/>
          <w:szCs w:val="24"/>
          <w:lang w:val="en-US"/>
        </w:rPr>
        <w:t xml:space="preserve"> and many were later arrested.</w:t>
      </w:r>
      <w:r w:rsidRPr="00115A35">
        <w:rPr>
          <w:rStyle w:val="FootnoteReference"/>
          <w:rFonts w:ascii="Times New Roman" w:eastAsiaTheme="minorEastAsia" w:hAnsi="Times New Roman" w:cs="Times New Roman"/>
          <w:sz w:val="24"/>
          <w:szCs w:val="24"/>
        </w:rPr>
        <w:footnoteReference w:id="49"/>
      </w:r>
      <w:r w:rsidRPr="00115A35">
        <w:rPr>
          <w:rFonts w:ascii="Times New Roman" w:eastAsia="Calibri" w:hAnsi="Times New Roman" w:cs="Times New Roman"/>
          <w:sz w:val="24"/>
          <w:szCs w:val="24"/>
          <w:lang w:val="en-US"/>
        </w:rPr>
        <w:t xml:space="preserve"> Even though the coup attempt was suppressed within hours, AKP government declared a state of emergency (</w:t>
      </w:r>
      <w:r>
        <w:rPr>
          <w:rFonts w:ascii="Times New Roman" w:eastAsia="Calibri" w:hAnsi="Times New Roman" w:cs="Times New Roman"/>
          <w:sz w:val="24"/>
          <w:szCs w:val="24"/>
          <w:lang w:val="en-US"/>
        </w:rPr>
        <w:t xml:space="preserve">henceforth </w:t>
      </w:r>
      <w:proofErr w:type="spellStart"/>
      <w:r w:rsidRPr="00115A35">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w:t>
      </w:r>
      <w:proofErr w:type="spellEnd"/>
      <w:r w:rsidRPr="00115A35">
        <w:rPr>
          <w:rFonts w:ascii="Times New Roman" w:eastAsia="Calibri" w:hAnsi="Times New Roman" w:cs="Times New Roman"/>
          <w:sz w:val="24"/>
          <w:szCs w:val="24"/>
          <w:lang w:val="en-US"/>
        </w:rPr>
        <w:t xml:space="preserve">) and derogated from European Convention on Human Rights (ECHR) and the International Covenant on Civil and Political Rights (ICCPR). The derogation notice listed derogations from 13 articles such as the </w:t>
      </w:r>
      <w:r w:rsidRPr="00115A35">
        <w:rPr>
          <w:rFonts w:ascii="Times New Roman" w:eastAsia="Calibri" w:hAnsi="Times New Roman" w:cs="Times New Roman"/>
          <w:sz w:val="24"/>
          <w:szCs w:val="24"/>
          <w:highlight w:val="white"/>
          <w:lang w:val="en-US"/>
        </w:rPr>
        <w:t xml:space="preserve">right to liberty, security, fair trial, privacy, the </w:t>
      </w:r>
      <w:r w:rsidRPr="00115A35">
        <w:rPr>
          <w:rFonts w:ascii="Times New Roman" w:eastAsia="Calibri" w:hAnsi="Times New Roman" w:cs="Times New Roman"/>
          <w:sz w:val="24"/>
          <w:szCs w:val="24"/>
          <w:highlight w:val="white"/>
          <w:lang w:val="en-US"/>
        </w:rPr>
        <w:lastRenderedPageBreak/>
        <w:t>humane treatment of detainees, and the right to remedy, the latter two of which cannot be subject to derogation under any circumstances, according to the UN Human Rights Committee.</w:t>
      </w:r>
      <w:r w:rsidRPr="00115A35">
        <w:rPr>
          <w:rStyle w:val="FootnoteReference"/>
          <w:rFonts w:ascii="Times New Roman" w:eastAsiaTheme="minorEastAsia" w:hAnsi="Times New Roman" w:cs="Times New Roman"/>
          <w:sz w:val="24"/>
          <w:szCs w:val="24"/>
          <w:highlight w:val="white"/>
        </w:rPr>
        <w:footnoteReference w:id="50"/>
      </w:r>
      <w:r w:rsidRPr="00115A35">
        <w:rPr>
          <w:rFonts w:ascii="Times New Roman" w:eastAsia="Calibri" w:hAnsi="Times New Roman" w:cs="Times New Roman"/>
          <w:sz w:val="24"/>
          <w:szCs w:val="24"/>
          <w:lang w:val="en-US"/>
        </w:rPr>
        <w:t xml:space="preserve"> Additionally, the </w:t>
      </w:r>
      <w:proofErr w:type="spellStart"/>
      <w:r w:rsidRPr="00115A35">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w:t>
      </w:r>
      <w:proofErr w:type="spellEnd"/>
      <w:r w:rsidRPr="00115A35">
        <w:rPr>
          <w:rFonts w:ascii="Times New Roman" w:eastAsia="Calibri" w:hAnsi="Times New Roman" w:cs="Times New Roman"/>
          <w:sz w:val="24"/>
          <w:szCs w:val="24"/>
          <w:lang w:val="en-US"/>
        </w:rPr>
        <w:t xml:space="preserve"> allowed the AKP government to pass decrees without parliamentary scrutiny. For instance, </w:t>
      </w:r>
      <w:proofErr w:type="spellStart"/>
      <w:r w:rsidRPr="00115A35">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w:t>
      </w:r>
      <w:proofErr w:type="spellEnd"/>
      <w:r w:rsidRPr="00115A35">
        <w:rPr>
          <w:rFonts w:ascii="Times New Roman" w:eastAsia="Calibri" w:hAnsi="Times New Roman" w:cs="Times New Roman"/>
          <w:sz w:val="24"/>
          <w:szCs w:val="24"/>
          <w:lang w:val="en-US"/>
        </w:rPr>
        <w:t xml:space="preserve"> decrees provided full financial, administrative and criminal impunity to state officials for their actions during the </w:t>
      </w:r>
      <w:proofErr w:type="spellStart"/>
      <w:r w:rsidRPr="00115A35">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w:t>
      </w:r>
      <w:proofErr w:type="spellEnd"/>
      <w:r w:rsidRPr="00115A35">
        <w:rPr>
          <w:rFonts w:ascii="Times New Roman" w:eastAsia="Calibri" w:hAnsi="Times New Roman" w:cs="Times New Roman"/>
          <w:sz w:val="24"/>
          <w:szCs w:val="24"/>
          <w:lang w:val="en-US"/>
        </w:rPr>
        <w:t>, which resulted in frequent torture and ill-treatment of detainees,</w:t>
      </w:r>
      <w:r w:rsidRPr="00115A35">
        <w:rPr>
          <w:rStyle w:val="FootnoteReference"/>
          <w:rFonts w:ascii="Times New Roman" w:eastAsiaTheme="minorEastAsia" w:hAnsi="Times New Roman" w:cs="Times New Roman"/>
          <w:sz w:val="24"/>
          <w:szCs w:val="24"/>
        </w:rPr>
        <w:footnoteReference w:id="51"/>
      </w:r>
      <w:r w:rsidRPr="00115A35">
        <w:rPr>
          <w:rFonts w:ascii="Times New Roman" w:eastAsia="Calibri" w:hAnsi="Times New Roman" w:cs="Times New Roman"/>
          <w:sz w:val="24"/>
          <w:szCs w:val="24"/>
          <w:lang w:val="en-US"/>
        </w:rPr>
        <w:t xml:space="preserve"> mass arbitrary arrests, arbitrary dismissal of state employees, and the removal of due process.</w:t>
      </w:r>
      <w:r w:rsidRPr="00115A35">
        <w:rPr>
          <w:rStyle w:val="FootnoteReference"/>
          <w:rFonts w:ascii="Times New Roman" w:eastAsiaTheme="minorEastAsia" w:hAnsi="Times New Roman" w:cs="Times New Roman"/>
          <w:sz w:val="24"/>
          <w:szCs w:val="24"/>
        </w:rPr>
        <w:footnoteReference w:id="52"/>
      </w:r>
      <w:r w:rsidRPr="00115A35">
        <w:rPr>
          <w:rFonts w:ascii="Times New Roman" w:eastAsia="Calibri" w:hAnsi="Times New Roman" w:cs="Times New Roman"/>
          <w:sz w:val="24"/>
          <w:szCs w:val="24"/>
          <w:lang w:val="en-US"/>
        </w:rPr>
        <w:t xml:space="preserve"> Consequently, dismissals have extended to perceived critics from other political backgrounds such as leftists, human rights defenders and Kurdish politicians. According to the latest figures,</w:t>
      </w:r>
      <w:r w:rsidRPr="00115A35">
        <w:rPr>
          <w:rStyle w:val="FootnoteReference"/>
          <w:rFonts w:ascii="Times New Roman" w:hAnsi="Times New Roman" w:cs="Times New Roman"/>
          <w:sz w:val="24"/>
          <w:szCs w:val="24"/>
        </w:rPr>
        <w:footnoteReference w:id="53"/>
      </w:r>
      <w:r w:rsidRPr="00115A35">
        <w:rPr>
          <w:rFonts w:ascii="Times New Roman" w:eastAsia="Calibri" w:hAnsi="Times New Roman" w:cs="Times New Roman"/>
          <w:sz w:val="24"/>
          <w:szCs w:val="24"/>
          <w:lang w:val="en-US"/>
        </w:rPr>
        <w:t xml:space="preserve"> more than 170,000 civil servants, including academics, teachers, police and military officers have been dismissed from their jobs without due process,</w:t>
      </w:r>
      <w:r w:rsidRPr="00115A35">
        <w:rPr>
          <w:rStyle w:val="FootnoteReference"/>
          <w:rFonts w:ascii="Times New Roman" w:eastAsiaTheme="minorEastAsia" w:hAnsi="Times New Roman" w:cs="Times New Roman"/>
          <w:sz w:val="24"/>
          <w:szCs w:val="24"/>
        </w:rPr>
        <w:footnoteReference w:id="54"/>
      </w:r>
      <w:r w:rsidRPr="00115A35">
        <w:rPr>
          <w:rFonts w:ascii="Times New Roman" w:eastAsia="Calibri" w:hAnsi="Times New Roman" w:cs="Times New Roman"/>
          <w:sz w:val="24"/>
          <w:szCs w:val="24"/>
          <w:lang w:val="en-US"/>
        </w:rPr>
        <w:t xml:space="preserve"> with 142,874 people detained and 81,417 people arrested.</w:t>
      </w:r>
      <w:r w:rsidRPr="00115A35">
        <w:rPr>
          <w:rStyle w:val="FootnoteReference"/>
          <w:rFonts w:ascii="Times New Roman" w:eastAsiaTheme="minorEastAsia" w:hAnsi="Times New Roman" w:cs="Times New Roman"/>
          <w:sz w:val="24"/>
          <w:szCs w:val="24"/>
        </w:rPr>
        <w:footnoteReference w:id="55"/>
      </w:r>
      <w:r w:rsidRPr="00115A35">
        <w:rPr>
          <w:rFonts w:ascii="Times New Roman" w:eastAsia="Calibri" w:hAnsi="Times New Roman" w:cs="Times New Roman"/>
          <w:sz w:val="24"/>
          <w:szCs w:val="24"/>
          <w:lang w:val="en-US"/>
        </w:rPr>
        <w:t xml:space="preserve"> These negative legislative and judicial developments have been demonstrated to be disproportionate, in breach of Article 4(1) of ICCPR,</w:t>
      </w:r>
      <w:r w:rsidRPr="00115A35">
        <w:rPr>
          <w:rStyle w:val="FootnoteReference"/>
          <w:rFonts w:ascii="Times New Roman" w:eastAsiaTheme="minorEastAsia" w:hAnsi="Times New Roman" w:cs="Times New Roman"/>
          <w:sz w:val="24"/>
          <w:szCs w:val="24"/>
        </w:rPr>
        <w:footnoteReference w:id="56"/>
      </w:r>
      <w:r w:rsidRPr="00115A35">
        <w:rPr>
          <w:rFonts w:ascii="Times New Roman" w:eastAsia="Calibri" w:hAnsi="Times New Roman" w:cs="Times New Roman"/>
          <w:sz w:val="24"/>
          <w:szCs w:val="24"/>
          <w:lang w:val="en-US"/>
        </w:rPr>
        <w:t xml:space="preserve"> and hav</w:t>
      </w:r>
      <w:r>
        <w:rPr>
          <w:rFonts w:ascii="Times New Roman" w:eastAsia="Calibri" w:hAnsi="Times New Roman" w:cs="Times New Roman"/>
          <w:sz w:val="24"/>
          <w:szCs w:val="24"/>
          <w:lang w:val="en-US"/>
        </w:rPr>
        <w:t>e had</w:t>
      </w:r>
      <w:r w:rsidRPr="00115A35">
        <w:rPr>
          <w:rFonts w:ascii="Times New Roman" w:eastAsia="Calibri" w:hAnsi="Times New Roman" w:cs="Times New Roman"/>
          <w:sz w:val="24"/>
          <w:szCs w:val="24"/>
          <w:lang w:val="en-US"/>
        </w:rPr>
        <w:t xml:space="preserve"> an extremely negative impact on the rule of law and individual liberties in Turkey. </w:t>
      </w:r>
    </w:p>
    <w:p w14:paraId="3EA2EC38" w14:textId="2457DC48" w:rsidR="00153F3A" w:rsidRPr="001D4337"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In parallel with the regressive judicial and legislative developments, exploiting public concern and social tensions in the aftermath of the failed coup attempt, pro-AKP media and influential AKP figures constructed a ‘</w:t>
      </w:r>
      <w:proofErr w:type="spellStart"/>
      <w:r w:rsidRPr="00115A35">
        <w:rPr>
          <w:rFonts w:ascii="Times New Roman" w:eastAsia="Calibri" w:hAnsi="Times New Roman" w:cs="Times New Roman"/>
          <w:sz w:val="24"/>
          <w:szCs w:val="24"/>
          <w:lang w:val="en-US"/>
        </w:rPr>
        <w:t>Gulenist</w:t>
      </w:r>
      <w:proofErr w:type="spellEnd"/>
      <w:r w:rsidRPr="00115A35">
        <w:rPr>
          <w:rFonts w:ascii="Times New Roman" w:eastAsia="Calibri" w:hAnsi="Times New Roman" w:cs="Times New Roman"/>
          <w:sz w:val="24"/>
          <w:szCs w:val="24"/>
          <w:lang w:val="en-US"/>
        </w:rPr>
        <w:t xml:space="preserve">’ narrative: covert terrorists and plotters infiltrated into society and the state, trying to demolish the state from within. Anyone suspected of being a GM member, supporter or sympathizer is a traitor and a terrorist. In this context, any activities performed by GM-affiliated individuals, such as charity work, donations, working in GM-linked institutions, organizing religious meetings or even simply </w:t>
      </w:r>
      <w:r w:rsidRPr="00115A35">
        <w:rPr>
          <w:rFonts w:ascii="Times New Roman" w:eastAsia="Calibri" w:hAnsi="Times New Roman" w:cs="Times New Roman"/>
          <w:i/>
          <w:sz w:val="24"/>
          <w:szCs w:val="24"/>
          <w:lang w:val="en-US"/>
        </w:rPr>
        <w:t>communicating with each other</w:t>
      </w:r>
      <w:r w:rsidRPr="00115A35">
        <w:rPr>
          <w:rFonts w:ascii="Times New Roman" w:eastAsia="Calibri" w:hAnsi="Times New Roman" w:cs="Times New Roman"/>
          <w:sz w:val="24"/>
          <w:szCs w:val="24"/>
          <w:lang w:val="en-US"/>
        </w:rPr>
        <w:t xml:space="preserve"> have been ostracized and criminalized. This was exacerbated by Erdogan’s presidential pleas for spying on family members and friends who are suspected to be </w:t>
      </w:r>
      <w:proofErr w:type="spellStart"/>
      <w:r w:rsidRPr="00115A35">
        <w:rPr>
          <w:rFonts w:ascii="Times New Roman" w:eastAsia="Calibri" w:hAnsi="Times New Roman" w:cs="Times New Roman"/>
          <w:sz w:val="24"/>
          <w:szCs w:val="24"/>
          <w:lang w:val="en-US"/>
        </w:rPr>
        <w:t>Gulenists</w:t>
      </w:r>
      <w:proofErr w:type="spellEnd"/>
      <w:r w:rsidRPr="00115A35">
        <w:rPr>
          <w:rFonts w:ascii="Times New Roman" w:eastAsia="Calibri" w:hAnsi="Times New Roman" w:cs="Times New Roman"/>
          <w:sz w:val="24"/>
          <w:szCs w:val="24"/>
          <w:lang w:val="en-US"/>
        </w:rPr>
        <w:t xml:space="preserve"> and reporting them to authorities.</w:t>
      </w:r>
      <w:r w:rsidRPr="00115A35">
        <w:rPr>
          <w:rStyle w:val="FootnoteReference"/>
          <w:rFonts w:ascii="Times New Roman" w:eastAsiaTheme="minorEastAsia" w:hAnsi="Times New Roman" w:cs="Times New Roman"/>
          <w:sz w:val="24"/>
          <w:szCs w:val="24"/>
        </w:rPr>
        <w:footnoteReference w:id="57"/>
      </w:r>
      <w:r w:rsidRPr="00115A35">
        <w:rPr>
          <w:rFonts w:ascii="Times New Roman" w:eastAsia="Calibri" w:hAnsi="Times New Roman" w:cs="Times New Roman"/>
          <w:sz w:val="24"/>
          <w:szCs w:val="24"/>
          <w:lang w:val="en-US"/>
        </w:rPr>
        <w:t xml:space="preserve"> Drawing on moral panic theory, we can see that the coup attempt has acted as a trigger event and the GM have been effectively declared the folk devils –’a category of people who, presumably, engage in evil practices and are blamed for menacing a society’s culture, way of life, and central values’ in the aftermath.</w:t>
      </w:r>
      <w:r w:rsidRPr="00115A35">
        <w:rPr>
          <w:rStyle w:val="FootnoteReference"/>
          <w:rFonts w:ascii="Times New Roman" w:eastAsiaTheme="minorEastAsia" w:hAnsi="Times New Roman" w:cs="Times New Roman"/>
          <w:sz w:val="24"/>
          <w:szCs w:val="24"/>
        </w:rPr>
        <w:footnoteReference w:id="58"/>
      </w:r>
      <w:r w:rsidRPr="00115A35">
        <w:rPr>
          <w:rFonts w:ascii="Times New Roman" w:eastAsia="Calibri" w:hAnsi="Times New Roman" w:cs="Times New Roman"/>
          <w:sz w:val="24"/>
          <w:szCs w:val="24"/>
          <w:lang w:val="en-US"/>
        </w:rPr>
        <w:t xml:space="preserve"> AKP government took advantage of public </w:t>
      </w:r>
      <w:r w:rsidRPr="00115A35">
        <w:rPr>
          <w:rFonts w:ascii="Times New Roman" w:eastAsia="Calibri" w:hAnsi="Times New Roman" w:cs="Times New Roman"/>
          <w:i/>
          <w:sz w:val="24"/>
          <w:szCs w:val="24"/>
          <w:lang w:val="en-US"/>
        </w:rPr>
        <w:t>concern</w:t>
      </w:r>
      <w:r w:rsidRPr="00115A35">
        <w:rPr>
          <w:rFonts w:ascii="Times New Roman" w:eastAsia="Calibri" w:hAnsi="Times New Roman" w:cs="Times New Roman"/>
          <w:sz w:val="24"/>
          <w:szCs w:val="24"/>
          <w:lang w:val="en-US"/>
        </w:rPr>
        <w:t xml:space="preserve"> in the aftermath of the coup attempt aimed to construct a narrative to achieve </w:t>
      </w:r>
      <w:r w:rsidRPr="00115A35">
        <w:rPr>
          <w:rFonts w:ascii="Times New Roman" w:eastAsia="Calibri" w:hAnsi="Times New Roman" w:cs="Times New Roman"/>
          <w:i/>
          <w:sz w:val="24"/>
          <w:szCs w:val="24"/>
          <w:lang w:val="en-US"/>
        </w:rPr>
        <w:t>consensus</w:t>
      </w:r>
      <w:r w:rsidRPr="00115A35">
        <w:rPr>
          <w:rFonts w:ascii="Times New Roman" w:eastAsia="Calibri" w:hAnsi="Times New Roman" w:cs="Times New Roman"/>
          <w:sz w:val="24"/>
          <w:szCs w:val="24"/>
          <w:lang w:val="en-US"/>
        </w:rPr>
        <w:t xml:space="preserve"> of </w:t>
      </w:r>
      <w:r w:rsidRPr="00115A35">
        <w:rPr>
          <w:rFonts w:ascii="Times New Roman" w:eastAsia="Calibri" w:hAnsi="Times New Roman" w:cs="Times New Roman"/>
          <w:i/>
          <w:sz w:val="24"/>
          <w:szCs w:val="24"/>
          <w:lang w:val="en-US"/>
        </w:rPr>
        <w:t>hostility</w:t>
      </w:r>
      <w:r w:rsidRPr="00115A35">
        <w:rPr>
          <w:rFonts w:ascii="Times New Roman" w:eastAsia="Calibri" w:hAnsi="Times New Roman" w:cs="Times New Roman"/>
          <w:sz w:val="24"/>
          <w:szCs w:val="24"/>
          <w:lang w:val="en-US"/>
        </w:rPr>
        <w:t xml:space="preserve"> against GM. This was </w:t>
      </w:r>
      <w:r w:rsidRPr="00115A35">
        <w:rPr>
          <w:rFonts w:ascii="Times New Roman" w:eastAsia="Calibri" w:hAnsi="Times New Roman" w:cs="Times New Roman"/>
          <w:sz w:val="24"/>
          <w:szCs w:val="24"/>
          <w:lang w:val="en-US"/>
        </w:rPr>
        <w:lastRenderedPageBreak/>
        <w:t xml:space="preserve">followed by disproportionate social, legislative, and judicial reactions. In this </w:t>
      </w:r>
      <w:r w:rsidRPr="00115A35">
        <w:rPr>
          <w:rFonts w:ascii="Times New Roman" w:eastAsia="Calibri" w:hAnsi="Times New Roman" w:cs="Times New Roman"/>
          <w:i/>
          <w:sz w:val="24"/>
          <w:szCs w:val="24"/>
          <w:lang w:val="en-US"/>
        </w:rPr>
        <w:t xml:space="preserve">volatile </w:t>
      </w:r>
      <w:r w:rsidRPr="00115A35">
        <w:rPr>
          <w:rFonts w:ascii="Times New Roman" w:eastAsia="Calibri" w:hAnsi="Times New Roman" w:cs="Times New Roman"/>
          <w:sz w:val="24"/>
          <w:szCs w:val="24"/>
          <w:lang w:val="en-US"/>
        </w:rPr>
        <w:t xml:space="preserve">social and political environment, it was relatively easy for the AKP government to weaken the established legal norms and individual safeguards their political enemies. It is fair to argue that, rather than the coup attempt, it was the AKP government’s exorbitant and vindictive reactions to the coup attempt which resulted in mass human rights breaches, the eradication of the rule of law and individual liberties in Turkey. </w:t>
      </w:r>
    </w:p>
    <w:p w14:paraId="0B4D0547" w14:textId="77777777" w:rsidR="00153F3A" w:rsidRPr="00161A04" w:rsidRDefault="00153F3A" w:rsidP="005B6E0C">
      <w:pPr>
        <w:pStyle w:val="Heading2"/>
      </w:pPr>
      <w:proofErr w:type="spellStart"/>
      <w:r w:rsidRPr="00161A04">
        <w:t>ByLock</w:t>
      </w:r>
      <w:proofErr w:type="spellEnd"/>
      <w:r w:rsidRPr="00161A04">
        <w:t xml:space="preserve"> Prosecutions: Mass Arrest of Perceived Opponents on Terrorism Charges over Encrypted App Usage</w:t>
      </w:r>
    </w:p>
    <w:p w14:paraId="24D01B9C" w14:textId="77777777" w:rsidR="00153F3A" w:rsidRPr="00115A35" w:rsidRDefault="00153F3A" w:rsidP="00153F3A">
      <w:pPr>
        <w:rPr>
          <w:rFonts w:ascii="Times New Roman" w:eastAsia="Calibri" w:hAnsi="Times New Roman" w:cs="Times New Roman"/>
          <w:sz w:val="24"/>
          <w:szCs w:val="24"/>
          <w:lang w:val="en-US"/>
        </w:rPr>
      </w:pP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prosecutions were built on inaccurate claims and proceeded with disrespect to established legal standards and individual protections. Shortly after the coup attempt, AKP-linked media outlets published stories that coup plotters and their supporters communicated over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during the coup attempt.</w:t>
      </w:r>
      <w:r w:rsidRPr="00115A35">
        <w:rPr>
          <w:rStyle w:val="FootnoteReference"/>
          <w:rFonts w:ascii="Times New Roman" w:hAnsi="Times New Roman" w:cs="Times New Roman"/>
          <w:sz w:val="24"/>
          <w:szCs w:val="24"/>
        </w:rPr>
        <w:footnoteReference w:id="59"/>
      </w:r>
      <w:r w:rsidRPr="00115A35">
        <w:rPr>
          <w:rFonts w:ascii="Times New Roman" w:eastAsia="Calibri" w:hAnsi="Times New Roman" w:cs="Times New Roman"/>
          <w:sz w:val="24"/>
          <w:szCs w:val="24"/>
          <w:lang w:val="en-US"/>
        </w:rPr>
        <w:t xml:space="preserve"> However, this claim is false, as Fox-IT clearly illustrated that</w:t>
      </w:r>
      <w:r>
        <w:rPr>
          <w:rFonts w:ascii="Times New Roman" w:eastAsia="Calibri" w:hAnsi="Times New Roman" w:cs="Times New Roman"/>
          <w:sz w:val="24"/>
          <w:szCs w:val="24"/>
          <w:lang w:val="en-US"/>
        </w:rPr>
        <w:t xml:space="preserve"> the</w:t>
      </w:r>
      <w:r w:rsidRPr="00115A35">
        <w:rPr>
          <w:rFonts w:ascii="Times New Roman" w:eastAsia="Calibri" w:hAnsi="Times New Roman" w:cs="Times New Roman"/>
          <w:sz w:val="24"/>
          <w:szCs w:val="24"/>
          <w:lang w:val="en-US"/>
        </w:rPr>
        <w:t xml:space="preserve"> Bylock.net domain was deactivated in March 2016, hence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w:t>
      </w:r>
      <w:r w:rsidRPr="00115A35">
        <w:rPr>
          <w:rFonts w:ascii="Tahoma" w:eastAsia="Calibri" w:hAnsi="Tahoma" w:cs="Tahoma"/>
          <w:sz w:val="24"/>
          <w:szCs w:val="24"/>
          <w:lang w:val="en-US"/>
        </w:rPr>
        <w:t>﻿</w:t>
      </w:r>
      <w:r w:rsidRPr="00115A35">
        <w:rPr>
          <w:rFonts w:ascii="Times New Roman" w:eastAsia="Calibri" w:hAnsi="Times New Roman" w:cs="Times New Roman"/>
          <w:sz w:val="24"/>
          <w:szCs w:val="24"/>
          <w:lang w:val="en-US"/>
        </w:rPr>
        <w:t>could not have been used in the period from April 2016 leading up to 15 July 2016’.</w:t>
      </w:r>
      <w:r w:rsidRPr="00115A35">
        <w:rPr>
          <w:rStyle w:val="FootnoteReference"/>
          <w:rFonts w:ascii="Times New Roman" w:hAnsi="Times New Roman" w:cs="Times New Roman"/>
          <w:sz w:val="24"/>
          <w:szCs w:val="24"/>
        </w:rPr>
        <w:footnoteReference w:id="60"/>
      </w:r>
      <w:r w:rsidRPr="00115A35">
        <w:rPr>
          <w:rFonts w:ascii="Times New Roman" w:eastAsia="Calibri" w:hAnsi="Times New Roman" w:cs="Times New Roman"/>
          <w:sz w:val="24"/>
          <w:szCs w:val="24"/>
          <w:lang w:val="en-US"/>
        </w:rPr>
        <w:t xml:space="preserve"> The Turkish government also claimed that MIT identified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user lists using ‘special cyber methods’ i.e. hacking Baltic/Cherry Servers in Lithuania which w</w:t>
      </w:r>
      <w:r>
        <w:rPr>
          <w:rFonts w:ascii="Times New Roman" w:eastAsia="Calibri" w:hAnsi="Times New Roman" w:cs="Times New Roman"/>
          <w:sz w:val="24"/>
          <w:szCs w:val="24"/>
          <w:lang w:val="en-US"/>
        </w:rPr>
        <w:t>ere</w:t>
      </w:r>
      <w:r w:rsidRPr="00115A35">
        <w:rPr>
          <w:rFonts w:ascii="Times New Roman" w:eastAsia="Calibri" w:hAnsi="Times New Roman" w:cs="Times New Roman"/>
          <w:sz w:val="24"/>
          <w:szCs w:val="24"/>
          <w:lang w:val="en-US"/>
        </w:rPr>
        <w:t xml:space="preserve"> hosting</w:t>
      </w:r>
      <w:r>
        <w:rPr>
          <w:rFonts w:ascii="Times New Roman" w:eastAsia="Calibri" w:hAnsi="Times New Roman" w:cs="Times New Roman"/>
          <w:sz w:val="24"/>
          <w:szCs w:val="24"/>
          <w:lang w:val="en-US"/>
        </w:rPr>
        <w:t xml:space="preserve"> the</w:t>
      </w:r>
      <w:r w:rsidRPr="00115A35">
        <w:rPr>
          <w:rFonts w:ascii="Times New Roman" w:eastAsia="Calibri" w:hAnsi="Times New Roman" w:cs="Times New Roman"/>
          <w:sz w:val="24"/>
          <w:szCs w:val="24"/>
          <w:lang w:val="en-US"/>
        </w:rPr>
        <w:t xml:space="preserve">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app.</w:t>
      </w:r>
      <w:r w:rsidRPr="00115A35">
        <w:rPr>
          <w:rStyle w:val="FootnoteReference"/>
          <w:rFonts w:ascii="Times New Roman" w:hAnsi="Times New Roman" w:cs="Times New Roman"/>
          <w:sz w:val="24"/>
          <w:szCs w:val="24"/>
        </w:rPr>
        <w:footnoteReference w:id="61"/>
      </w:r>
      <w:r w:rsidRPr="00115A35">
        <w:rPr>
          <w:rFonts w:ascii="Times New Roman" w:eastAsia="Calibri" w:hAnsi="Times New Roman" w:cs="Times New Roman"/>
          <w:sz w:val="24"/>
          <w:szCs w:val="24"/>
          <w:lang w:val="en-US"/>
        </w:rPr>
        <w:t xml:space="preserve"> This means that MIT’s access to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server data was unlawful and such unlawfully acquired data ‘shall not be presented before a court’ and ‘shall not constitute a factual ground for a possible conviction’ under Turkish criminal law.</w:t>
      </w:r>
      <w:r w:rsidRPr="00115A35">
        <w:rPr>
          <w:rStyle w:val="FootnoteReference"/>
          <w:rFonts w:ascii="Times New Roman" w:hAnsi="Times New Roman" w:cs="Times New Roman"/>
          <w:sz w:val="24"/>
          <w:szCs w:val="24"/>
        </w:rPr>
        <w:footnoteReference w:id="62"/>
      </w:r>
      <w:r w:rsidRPr="00115A35">
        <w:rPr>
          <w:rFonts w:ascii="Times New Roman" w:eastAsia="Calibri" w:hAnsi="Times New Roman" w:cs="Times New Roman"/>
          <w:sz w:val="24"/>
          <w:szCs w:val="24"/>
          <w:lang w:val="en-US"/>
        </w:rPr>
        <w:t xml:space="preserve"> Both Lithuanian authorities</w:t>
      </w:r>
      <w:r w:rsidRPr="00115A35">
        <w:rPr>
          <w:rStyle w:val="FootnoteReference"/>
          <w:rFonts w:ascii="Times New Roman" w:hAnsi="Times New Roman" w:cs="Times New Roman"/>
          <w:sz w:val="24"/>
          <w:szCs w:val="24"/>
        </w:rPr>
        <w:footnoteReference w:id="63"/>
      </w:r>
      <w:r w:rsidRPr="00115A35">
        <w:rPr>
          <w:rFonts w:ascii="Times New Roman" w:eastAsia="Calibri" w:hAnsi="Times New Roman" w:cs="Times New Roman"/>
          <w:sz w:val="24"/>
          <w:szCs w:val="24"/>
          <w:lang w:val="en-US"/>
        </w:rPr>
        <w:t xml:space="preserve"> and Baltic/Cherry Servers</w:t>
      </w:r>
      <w:r w:rsidRPr="00115A35">
        <w:rPr>
          <w:rStyle w:val="FootnoteReference"/>
          <w:rFonts w:ascii="Times New Roman" w:hAnsi="Times New Roman" w:cs="Times New Roman"/>
          <w:sz w:val="24"/>
          <w:szCs w:val="24"/>
        </w:rPr>
        <w:footnoteReference w:id="64"/>
      </w:r>
      <w:r w:rsidRPr="00115A35">
        <w:rPr>
          <w:rFonts w:ascii="Times New Roman" w:eastAsia="Calibri" w:hAnsi="Times New Roman" w:cs="Times New Roman"/>
          <w:sz w:val="24"/>
          <w:szCs w:val="24"/>
          <w:lang w:val="en-US"/>
        </w:rPr>
        <w:t xml:space="preserve"> declared that they neither received a legal request from nor shared data with Turkish authorities, confirming </w:t>
      </w:r>
      <w:proofErr w:type="spellStart"/>
      <w:r w:rsidRPr="00115A35">
        <w:rPr>
          <w:rFonts w:ascii="Times New Roman" w:eastAsia="Calibri" w:hAnsi="Times New Roman" w:cs="Times New Roman"/>
          <w:sz w:val="24"/>
          <w:szCs w:val="24"/>
          <w:lang w:val="en-US"/>
        </w:rPr>
        <w:t>Gokce’s</w:t>
      </w:r>
      <w:proofErr w:type="spellEnd"/>
      <w:r w:rsidRPr="00115A35">
        <w:rPr>
          <w:rFonts w:ascii="Times New Roman" w:eastAsia="Calibri" w:hAnsi="Times New Roman" w:cs="Times New Roman"/>
          <w:sz w:val="24"/>
          <w:szCs w:val="24"/>
          <w:lang w:val="en-US"/>
        </w:rPr>
        <w:t xml:space="preserve"> unlawful access observation. This is especially egregious because the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prosecutions, which led to the arrest of tens of thousands of perceived GM members, were built on communication (meta)data accessed unlawfully.</w:t>
      </w:r>
    </w:p>
    <w:p w14:paraId="5EBFE698" w14:textId="77777777" w:rsidR="00153F3A" w:rsidRPr="00115A35"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 xml:space="preserve">Once the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prosecutions started, MIT submitted a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technical report’ to trial courts, and this report constituted the technical basis of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prosecutions.</w:t>
      </w:r>
      <w:r w:rsidRPr="00115A35">
        <w:rPr>
          <w:rStyle w:val="FootnoteReference"/>
          <w:rFonts w:ascii="Times New Roman" w:hAnsi="Times New Roman" w:cs="Times New Roman"/>
          <w:sz w:val="24"/>
          <w:szCs w:val="24"/>
        </w:rPr>
        <w:footnoteReference w:id="65"/>
      </w:r>
      <w:r w:rsidRPr="00115A3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 xml:space="preserve">MIT report claimed that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(1) offered strong cryptography; (2)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 xml:space="preserve">disguised as a global application (i.e. presenting itself deceptively as a global application while the aim </w:t>
      </w:r>
      <w:r>
        <w:rPr>
          <w:rFonts w:ascii="Times New Roman" w:eastAsia="Calibri" w:hAnsi="Times New Roman" w:cs="Times New Roman"/>
          <w:sz w:val="24"/>
          <w:szCs w:val="24"/>
          <w:lang w:val="en-US"/>
        </w:rPr>
        <w:t>was</w:t>
      </w:r>
      <w:r w:rsidRPr="00115A35">
        <w:rPr>
          <w:rFonts w:ascii="Times New Roman" w:eastAsia="Calibri" w:hAnsi="Times New Roman" w:cs="Times New Roman"/>
          <w:sz w:val="24"/>
          <w:szCs w:val="24"/>
          <w:lang w:val="en-US"/>
        </w:rPr>
        <w:t xml:space="preserve"> to provide GM with an intra-organizational communication app); (3)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 xml:space="preserve">aimed at security and anonymity; (4) used a self-signed certificate; (5) offered communication only suitable for a cell-structure (as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did not ask for a phone number to register, MIT argued that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users could only exchange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contact details after</w:t>
      </w:r>
      <w:r>
        <w:rPr>
          <w:rFonts w:ascii="Times New Roman" w:eastAsia="Calibri" w:hAnsi="Times New Roman" w:cs="Times New Roman"/>
          <w:sz w:val="24"/>
          <w:szCs w:val="24"/>
          <w:lang w:val="en-US"/>
        </w:rPr>
        <w:t xml:space="preserve"> initially</w:t>
      </w:r>
      <w:r w:rsidRPr="00115A35">
        <w:rPr>
          <w:rFonts w:ascii="Times New Roman" w:eastAsia="Calibri" w:hAnsi="Times New Roman" w:cs="Times New Roman"/>
          <w:sz w:val="24"/>
          <w:szCs w:val="24"/>
          <w:lang w:val="en-US"/>
        </w:rPr>
        <w:t xml:space="preserve"> meeting face-to-face); (6)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 xml:space="preserve">designed to prevent access in case of legal confiscation; (7) offered identity hiding features (such as an automatic self-destruct, using long passwords features); and thus, </w:t>
      </w:r>
      <w:r w:rsidRPr="00115A35">
        <w:rPr>
          <w:rFonts w:ascii="Times New Roman" w:eastAsia="Calibri" w:hAnsi="Times New Roman" w:cs="Times New Roman"/>
          <w:sz w:val="24"/>
          <w:szCs w:val="24"/>
          <w:lang w:val="en-US"/>
        </w:rPr>
        <w:lastRenderedPageBreak/>
        <w:t xml:space="preserve">concluded that </w:t>
      </w:r>
      <w:r w:rsidRPr="00115A35">
        <w:rPr>
          <w:rFonts w:ascii="Times New Roman" w:hAnsi="Times New Roman" w:cs="Times New Roman"/>
          <w:sz w:val="24"/>
          <w:szCs w:val="24"/>
          <w:lang w:val="en-US"/>
        </w:rPr>
        <w:t>‘</w:t>
      </w:r>
      <w:proofErr w:type="spellStart"/>
      <w:r w:rsidRPr="00115A35">
        <w:rPr>
          <w:rFonts w:ascii="Times New Roman" w:hAnsi="Times New Roman" w:cs="Times New Roman"/>
          <w:sz w:val="24"/>
          <w:szCs w:val="24"/>
          <w:lang w:val="en-US"/>
        </w:rPr>
        <w:t>ByLock</w:t>
      </w:r>
      <w:proofErr w:type="spellEnd"/>
      <w:r w:rsidRPr="00115A35">
        <w:rPr>
          <w:rFonts w:ascii="Times New Roman" w:hAnsi="Times New Roman" w:cs="Times New Roman"/>
          <w:sz w:val="24"/>
          <w:szCs w:val="24"/>
          <w:lang w:val="en-US"/>
        </w:rPr>
        <w:t xml:space="preserve"> has been offered to the exclusive use of the ‘FTÖ/PDY’ members [</w:t>
      </w:r>
      <w:proofErr w:type="spellStart"/>
      <w:r w:rsidRPr="00115A35">
        <w:rPr>
          <w:rFonts w:ascii="Times New Roman" w:hAnsi="Times New Roman" w:cs="Times New Roman"/>
          <w:sz w:val="24"/>
          <w:szCs w:val="24"/>
          <w:lang w:val="en-US"/>
        </w:rPr>
        <w:t>Gulenists</w:t>
      </w:r>
      <w:proofErr w:type="spellEnd"/>
      <w:r w:rsidRPr="00115A35">
        <w:rPr>
          <w:rFonts w:ascii="Times New Roman" w:hAnsi="Times New Roman" w:cs="Times New Roman"/>
          <w:sz w:val="24"/>
          <w:szCs w:val="24"/>
          <w:lang w:val="en-US"/>
        </w:rPr>
        <w:t>]’.</w:t>
      </w:r>
      <w:r w:rsidRPr="00115A35">
        <w:rPr>
          <w:rStyle w:val="FootnoteReference"/>
          <w:rFonts w:ascii="Times New Roman" w:hAnsi="Times New Roman" w:cs="Times New Roman"/>
          <w:sz w:val="24"/>
          <w:szCs w:val="24"/>
        </w:rPr>
        <w:footnoteReference w:id="66"/>
      </w:r>
      <w:r w:rsidRPr="00115A35">
        <w:rPr>
          <w:rFonts w:ascii="Times New Roman" w:hAnsi="Times New Roman" w:cs="Times New Roman"/>
          <w:sz w:val="24"/>
          <w:szCs w:val="24"/>
          <w:lang w:val="en-US"/>
        </w:rPr>
        <w:t xml:space="preserve"> Citing this report amongst evidence, f</w:t>
      </w:r>
      <w:r w:rsidRPr="00115A35">
        <w:rPr>
          <w:rFonts w:ascii="Times New Roman" w:eastAsia="Calibri" w:hAnsi="Times New Roman" w:cs="Times New Roman"/>
          <w:sz w:val="24"/>
          <w:szCs w:val="24"/>
          <w:lang w:val="en-US"/>
        </w:rPr>
        <w:t xml:space="preserve">irst instance courts sentenced thousands of alleged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users on terrorism charges (over alleged links to GM), ranging from 6 to 15 years.</w:t>
      </w:r>
      <w:r w:rsidRPr="00115A35">
        <w:rPr>
          <w:rStyle w:val="FootnoteReference"/>
          <w:rFonts w:ascii="Times New Roman" w:hAnsi="Times New Roman" w:cs="Times New Roman"/>
          <w:sz w:val="24"/>
          <w:szCs w:val="24"/>
        </w:rPr>
        <w:footnoteReference w:id="67"/>
      </w:r>
      <w:r w:rsidRPr="00115A35">
        <w:rPr>
          <w:rFonts w:ascii="Times New Roman" w:eastAsia="Calibri" w:hAnsi="Times New Roman" w:cs="Times New Roman"/>
          <w:sz w:val="24"/>
          <w:szCs w:val="24"/>
          <w:lang w:val="en-US"/>
        </w:rPr>
        <w:t xml:space="preserve"> The court of cassation, which acts as the unifying court of appeals in criminal prosecutions in Turkey, approved the evidential status of the alleged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usage,</w:t>
      </w:r>
      <w:r w:rsidRPr="00115A35">
        <w:rPr>
          <w:rStyle w:val="FootnoteReference"/>
          <w:rFonts w:ascii="Times New Roman" w:hAnsi="Times New Roman" w:cs="Times New Roman"/>
          <w:sz w:val="24"/>
          <w:szCs w:val="24"/>
        </w:rPr>
        <w:footnoteReference w:id="68"/>
      </w:r>
      <w:r w:rsidRPr="00115A35">
        <w:rPr>
          <w:rFonts w:ascii="Times New Roman" w:eastAsia="Calibri" w:hAnsi="Times New Roman" w:cs="Times New Roman"/>
          <w:sz w:val="24"/>
          <w:szCs w:val="24"/>
          <w:lang w:val="en-US"/>
        </w:rPr>
        <w:t xml:space="preserve"> permitting the collective punishment of alleged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users based on dubious lists created by MIT. </w:t>
      </w:r>
    </w:p>
    <w:p w14:paraId="02FE3488" w14:textId="77777777" w:rsidR="00153F3A" w:rsidRPr="00115A35" w:rsidRDefault="00153F3A" w:rsidP="00153F3A">
      <w:pPr>
        <w:rPr>
          <w:rFonts w:ascii="Times New Roman" w:hAnsi="Times New Roman" w:cs="Times New Roman"/>
          <w:sz w:val="24"/>
          <w:szCs w:val="24"/>
          <w:lang w:val="en-US"/>
        </w:rPr>
      </w:pPr>
      <w:r w:rsidRPr="00115A35">
        <w:rPr>
          <w:rFonts w:ascii="Times New Roman" w:eastAsia="Calibri" w:hAnsi="Times New Roman" w:cs="Times New Roman"/>
          <w:sz w:val="24"/>
          <w:szCs w:val="24"/>
          <w:lang w:val="en-US"/>
        </w:rPr>
        <w:t xml:space="preserve">Despite the grave consequences for alleged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users, the MIT report was found to be biased, insubstantial and unreliable when scrutinized by the Dutch cyber security firm Fox-IT.</w:t>
      </w:r>
      <w:r>
        <w:rPr>
          <w:rStyle w:val="FootnoteReference"/>
          <w:rFonts w:ascii="Times New Roman" w:eastAsia="Calibri" w:hAnsi="Times New Roman" w:cs="Times New Roman"/>
          <w:sz w:val="24"/>
          <w:szCs w:val="24"/>
          <w:lang w:val="en-US"/>
        </w:rPr>
        <w:footnoteReference w:id="69"/>
      </w:r>
      <w:r w:rsidRPr="00115A35">
        <w:rPr>
          <w:rFonts w:ascii="Times New Roman" w:eastAsia="Calibri" w:hAnsi="Times New Roman" w:cs="Times New Roman"/>
          <w:sz w:val="24"/>
          <w:szCs w:val="24"/>
          <w:lang w:val="en-US"/>
        </w:rPr>
        <w:t xml:space="preserve"> By reverse engineering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app’s source code and online fact-checking, Fox-IT addressed claims put forward in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MIT report and found that: (1) ‘</w:t>
      </w:r>
      <w:r w:rsidRPr="00115A35">
        <w:rPr>
          <w:rFonts w:ascii="Times New Roman" w:hAnsi="Times New Roman" w:cs="Times New Roman"/>
          <w:sz w:val="24"/>
          <w:szCs w:val="24"/>
          <w:lang w:val="en-US"/>
        </w:rPr>
        <w:t xml:space="preserve">security measures implemented in </w:t>
      </w:r>
      <w:proofErr w:type="spellStart"/>
      <w:r w:rsidRPr="00115A35">
        <w:rPr>
          <w:rFonts w:ascii="Times New Roman" w:hAnsi="Times New Roman" w:cs="Times New Roman"/>
          <w:sz w:val="24"/>
          <w:szCs w:val="24"/>
          <w:lang w:val="en-US"/>
        </w:rPr>
        <w:t>ByLock</w:t>
      </w:r>
      <w:proofErr w:type="spellEnd"/>
      <w:r w:rsidRPr="00115A35">
        <w:rPr>
          <w:rFonts w:ascii="Times New Roman" w:hAnsi="Times New Roman" w:cs="Times New Roman"/>
          <w:sz w:val="24"/>
          <w:szCs w:val="24"/>
          <w:lang w:val="en-US"/>
        </w:rPr>
        <w:t xml:space="preserve"> are not exceptional and actually on par with widely used chat applications’;</w:t>
      </w:r>
      <w:r w:rsidRPr="00115A35">
        <w:rPr>
          <w:rStyle w:val="FootnoteReference"/>
          <w:rFonts w:ascii="Times New Roman" w:hAnsi="Times New Roman" w:cs="Times New Roman"/>
          <w:sz w:val="24"/>
          <w:szCs w:val="24"/>
        </w:rPr>
        <w:footnoteReference w:id="70"/>
      </w:r>
      <w:r w:rsidRPr="00115A35">
        <w:rPr>
          <w:rFonts w:ascii="Times New Roman" w:hAnsi="Times New Roman" w:cs="Times New Roman"/>
          <w:sz w:val="24"/>
          <w:szCs w:val="24"/>
          <w:lang w:val="en-US"/>
        </w:rPr>
        <w:t xml:space="preserve"> (2) </w:t>
      </w:r>
      <w:r>
        <w:rPr>
          <w:rFonts w:ascii="Times New Roman" w:hAnsi="Times New Roman" w:cs="Times New Roman"/>
          <w:sz w:val="24"/>
          <w:szCs w:val="24"/>
          <w:lang w:val="en-US"/>
        </w:rPr>
        <w:t xml:space="preserve">the </w:t>
      </w:r>
      <w:r w:rsidRPr="00115A35">
        <w:rPr>
          <w:rFonts w:ascii="Times New Roman" w:hAnsi="Times New Roman" w:cs="Times New Roman"/>
          <w:sz w:val="24"/>
          <w:szCs w:val="24"/>
          <w:lang w:val="en-US"/>
        </w:rPr>
        <w:t>disguise of global application argument is ‘not backed by evidence, questionable or incorrect’;</w:t>
      </w:r>
      <w:r w:rsidRPr="00115A35">
        <w:rPr>
          <w:rStyle w:val="FootnoteReference"/>
          <w:rFonts w:ascii="Times New Roman" w:hAnsi="Times New Roman" w:cs="Times New Roman"/>
          <w:sz w:val="24"/>
          <w:szCs w:val="24"/>
        </w:rPr>
        <w:footnoteReference w:id="71"/>
      </w:r>
      <w:r w:rsidRPr="00115A35">
        <w:rPr>
          <w:rFonts w:ascii="Times New Roman" w:hAnsi="Times New Roman" w:cs="Times New Roman"/>
          <w:sz w:val="24"/>
          <w:szCs w:val="24"/>
          <w:lang w:val="en-US"/>
        </w:rPr>
        <w:t xml:space="preserve"> (3) </w:t>
      </w:r>
      <w:proofErr w:type="spellStart"/>
      <w:r w:rsidRPr="00115A35">
        <w:rPr>
          <w:rFonts w:ascii="Times New Roman" w:hAnsi="Times New Roman" w:cs="Times New Roman"/>
          <w:sz w:val="24"/>
          <w:szCs w:val="24"/>
          <w:lang w:val="en-US"/>
        </w:rPr>
        <w:t>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w:t>
      </w:r>
      <w:proofErr w:type="spellEnd"/>
      <w:r w:rsidRPr="00115A35">
        <w:rPr>
          <w:rFonts w:ascii="Times New Roman" w:hAnsi="Times New Roman" w:cs="Times New Roman"/>
          <w:sz w:val="24"/>
          <w:szCs w:val="24"/>
          <w:lang w:val="en-US"/>
        </w:rPr>
        <w:t xml:space="preserve"> developer’s aim for security and anonymity ‘does not imply an intent for use in illegal activities’</w:t>
      </w:r>
      <w:r>
        <w:rPr>
          <w:rFonts w:ascii="Times New Roman" w:hAnsi="Times New Roman" w:cs="Times New Roman"/>
          <w:sz w:val="24"/>
          <w:szCs w:val="24"/>
          <w:lang w:val="en-US"/>
        </w:rPr>
        <w:t>,</w:t>
      </w:r>
      <w:r w:rsidRPr="00115A35">
        <w:rPr>
          <w:rStyle w:val="FootnoteReference"/>
          <w:rFonts w:ascii="Times New Roman" w:hAnsi="Times New Roman" w:cs="Times New Roman"/>
          <w:sz w:val="24"/>
          <w:szCs w:val="24"/>
        </w:rPr>
        <w:footnoteReference w:id="72"/>
      </w:r>
      <w:r w:rsidRPr="00115A35">
        <w:rPr>
          <w:rFonts w:ascii="Times New Roman" w:hAnsi="Times New Roman" w:cs="Times New Roman"/>
          <w:sz w:val="24"/>
          <w:szCs w:val="24"/>
          <w:lang w:val="en-US"/>
        </w:rPr>
        <w:t xml:space="preserve"> and ‘in no way an indication that </w:t>
      </w:r>
      <w:proofErr w:type="spellStart"/>
      <w:r w:rsidRPr="00115A35">
        <w:rPr>
          <w:rFonts w:ascii="Times New Roman" w:hAnsi="Times New Roman" w:cs="Times New Roman"/>
          <w:sz w:val="24"/>
          <w:szCs w:val="24"/>
          <w:lang w:val="en-US"/>
        </w:rPr>
        <w:t>ByLock</w:t>
      </w:r>
      <w:proofErr w:type="spellEnd"/>
      <w:r w:rsidRPr="00115A35">
        <w:rPr>
          <w:rFonts w:ascii="Times New Roman" w:hAnsi="Times New Roman" w:cs="Times New Roman"/>
          <w:sz w:val="24"/>
          <w:szCs w:val="24"/>
          <w:lang w:val="en-US"/>
        </w:rPr>
        <w:t xml:space="preserve"> is aimed at a specific user group’;</w:t>
      </w:r>
      <w:r w:rsidRPr="00115A35">
        <w:rPr>
          <w:rStyle w:val="FootnoteReference"/>
          <w:rFonts w:ascii="Times New Roman" w:hAnsi="Times New Roman" w:cs="Times New Roman"/>
          <w:sz w:val="24"/>
          <w:szCs w:val="24"/>
        </w:rPr>
        <w:footnoteReference w:id="73"/>
      </w:r>
      <w:r w:rsidRPr="00115A35">
        <w:rPr>
          <w:rFonts w:ascii="Times New Roman" w:hAnsi="Times New Roman" w:cs="Times New Roman"/>
          <w:sz w:val="24"/>
          <w:szCs w:val="24"/>
          <w:lang w:val="en-US"/>
        </w:rPr>
        <w:t xml:space="preserve"> (4) the incentive behind using a self-signed certificate is not</w:t>
      </w:r>
      <w:r>
        <w:rPr>
          <w:rFonts w:ascii="Times New Roman" w:hAnsi="Times New Roman" w:cs="Times New Roman"/>
          <w:sz w:val="24"/>
          <w:szCs w:val="24"/>
          <w:lang w:val="en-US"/>
        </w:rPr>
        <w:t xml:space="preserve"> necessarily</w:t>
      </w:r>
      <w:r w:rsidRPr="00115A35">
        <w:rPr>
          <w:rFonts w:ascii="Times New Roman" w:hAnsi="Times New Roman" w:cs="Times New Roman"/>
          <w:sz w:val="24"/>
          <w:szCs w:val="24"/>
          <w:lang w:val="en-US"/>
        </w:rPr>
        <w:t xml:space="preserve"> to prevent authorities accessing the </w:t>
      </w:r>
      <w:proofErr w:type="spellStart"/>
      <w:r w:rsidRPr="00115A35">
        <w:rPr>
          <w:rFonts w:ascii="Times New Roman" w:hAnsi="Times New Roman" w:cs="Times New Roman"/>
          <w:sz w:val="24"/>
          <w:szCs w:val="24"/>
          <w:lang w:val="en-US"/>
        </w:rPr>
        <w:t>ByLock</w:t>
      </w:r>
      <w:proofErr w:type="spellEnd"/>
      <w:r w:rsidRPr="00115A35">
        <w:rPr>
          <w:rFonts w:ascii="Times New Roman" w:hAnsi="Times New Roman" w:cs="Times New Roman"/>
          <w:sz w:val="24"/>
          <w:szCs w:val="24"/>
          <w:lang w:val="en-US"/>
        </w:rPr>
        <w:t xml:space="preserve"> data</w:t>
      </w:r>
      <w:r>
        <w:rPr>
          <w:rFonts w:ascii="Times New Roman" w:hAnsi="Times New Roman" w:cs="Times New Roman"/>
          <w:sz w:val="24"/>
          <w:szCs w:val="24"/>
          <w:lang w:val="en-US"/>
        </w:rPr>
        <w:t>, as</w:t>
      </w:r>
      <w:r w:rsidRPr="00115A35">
        <w:rPr>
          <w:rFonts w:ascii="Times New Roman" w:hAnsi="Times New Roman" w:cs="Times New Roman"/>
          <w:sz w:val="24"/>
          <w:szCs w:val="24"/>
          <w:lang w:val="en-US"/>
        </w:rPr>
        <w:t xml:space="preserve"> self-signed certificates ‘are easier to implement and are free of cost’; (5) rather than meeting face-to-face, users could have exchanged </w:t>
      </w:r>
      <w:proofErr w:type="spellStart"/>
      <w:r w:rsidRPr="00115A35">
        <w:rPr>
          <w:rFonts w:ascii="Times New Roman" w:hAnsi="Times New Roman" w:cs="Times New Roman"/>
          <w:sz w:val="24"/>
          <w:szCs w:val="24"/>
          <w:lang w:val="en-US"/>
        </w:rPr>
        <w:t>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w:t>
      </w:r>
      <w:proofErr w:type="spellEnd"/>
      <w:r w:rsidRPr="00115A35">
        <w:rPr>
          <w:rFonts w:ascii="Times New Roman" w:hAnsi="Times New Roman" w:cs="Times New Roman"/>
          <w:sz w:val="24"/>
          <w:szCs w:val="24"/>
          <w:lang w:val="en-US"/>
        </w:rPr>
        <w:t xml:space="preserve"> details using another communication method (e g. WhatsApp, Facebook, phone call), casting</w:t>
      </w:r>
      <w:r>
        <w:rPr>
          <w:rFonts w:ascii="Times New Roman" w:hAnsi="Times New Roman" w:cs="Times New Roman"/>
          <w:sz w:val="24"/>
          <w:szCs w:val="24"/>
          <w:lang w:val="en-US"/>
        </w:rPr>
        <w:t xml:space="preserve"> a</w:t>
      </w:r>
      <w:r w:rsidRPr="00115A35">
        <w:rPr>
          <w:rFonts w:ascii="Times New Roman" w:hAnsi="Times New Roman" w:cs="Times New Roman"/>
          <w:sz w:val="24"/>
          <w:szCs w:val="24"/>
          <w:lang w:val="en-US"/>
        </w:rPr>
        <w:t xml:space="preserve"> shadow o</w:t>
      </w:r>
      <w:r>
        <w:rPr>
          <w:rFonts w:ascii="Times New Roman" w:hAnsi="Times New Roman" w:cs="Times New Roman"/>
          <w:sz w:val="24"/>
          <w:szCs w:val="24"/>
          <w:lang w:val="en-US"/>
        </w:rPr>
        <w:t>ver</w:t>
      </w:r>
      <w:r w:rsidRPr="00115A35">
        <w:rPr>
          <w:rFonts w:ascii="Times New Roman" w:hAnsi="Times New Roman" w:cs="Times New Roman"/>
          <w:sz w:val="24"/>
          <w:szCs w:val="24"/>
          <w:lang w:val="en-US"/>
        </w:rPr>
        <w:t xml:space="preserve"> MIT’s ‘</w:t>
      </w:r>
      <w:proofErr w:type="spellStart"/>
      <w:r w:rsidRPr="00115A35">
        <w:rPr>
          <w:rFonts w:ascii="Times New Roman" w:hAnsi="Times New Roman" w:cs="Times New Roman"/>
          <w:sz w:val="24"/>
          <w:szCs w:val="24"/>
          <w:lang w:val="en-US"/>
        </w:rPr>
        <w:t>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w:t>
      </w:r>
      <w:proofErr w:type="spellEnd"/>
      <w:r w:rsidRPr="00115A35">
        <w:rPr>
          <w:rFonts w:ascii="Times New Roman" w:hAnsi="Times New Roman" w:cs="Times New Roman"/>
          <w:sz w:val="24"/>
          <w:szCs w:val="24"/>
          <w:lang w:val="en-US"/>
        </w:rPr>
        <w:t xml:space="preserve"> was designed for communications in a cell structure argument’; (6) MIT is ‘jumping to conclusions on the intent of the developer’ when concluding </w:t>
      </w:r>
      <w:proofErr w:type="spellStart"/>
      <w:r w:rsidRPr="00115A35">
        <w:rPr>
          <w:rFonts w:ascii="Times New Roman" w:hAnsi="Times New Roman" w:cs="Times New Roman"/>
          <w:sz w:val="24"/>
          <w:szCs w:val="24"/>
          <w:lang w:val="en-US"/>
        </w:rPr>
        <w:t>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w:t>
      </w:r>
      <w:proofErr w:type="spellEnd"/>
      <w:r w:rsidRPr="00115A35">
        <w:rPr>
          <w:rFonts w:ascii="Times New Roman" w:hAnsi="Times New Roman" w:cs="Times New Roman"/>
          <w:sz w:val="24"/>
          <w:szCs w:val="24"/>
          <w:lang w:val="en-US"/>
        </w:rPr>
        <w:t xml:space="preserve"> was designed to ‘prevent access in case of legal confusion’;</w:t>
      </w:r>
      <w:r w:rsidRPr="00115A35">
        <w:rPr>
          <w:rStyle w:val="FootnoteReference"/>
          <w:rFonts w:ascii="Times New Roman" w:hAnsi="Times New Roman" w:cs="Times New Roman"/>
          <w:sz w:val="24"/>
          <w:szCs w:val="24"/>
        </w:rPr>
        <w:footnoteReference w:id="74"/>
      </w:r>
      <w:r w:rsidRPr="00115A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115A35">
        <w:rPr>
          <w:rFonts w:ascii="Times New Roman" w:hAnsi="Times New Roman" w:cs="Times New Roman"/>
          <w:sz w:val="24"/>
          <w:szCs w:val="24"/>
          <w:lang w:val="en-US"/>
        </w:rPr>
        <w:t xml:space="preserve">(7) measures such as self-destruct and using long passwords is a common feature also found in other communication applications such as Snapchat and Signal. As a result, </w:t>
      </w:r>
      <w:r w:rsidRPr="00115A35">
        <w:rPr>
          <w:rFonts w:ascii="Times New Roman" w:eastAsia="Calibri" w:hAnsi="Times New Roman" w:cs="Times New Roman"/>
          <w:sz w:val="24"/>
          <w:szCs w:val="24"/>
          <w:lang w:val="en-US"/>
        </w:rPr>
        <w:t>Fox-IT concluded that MIT report is ‘biased towards a predefined outcome’, ‘does not adhere to forensic principles’, and is ‘fundamentally flawed due to the contradicted and unfounded findings, lack of objectivity and lack of transparency’.</w:t>
      </w:r>
      <w:r w:rsidRPr="00115A35">
        <w:rPr>
          <w:rStyle w:val="FootnoteReference"/>
          <w:rFonts w:ascii="Times New Roman" w:hAnsi="Times New Roman" w:cs="Times New Roman"/>
          <w:sz w:val="24"/>
          <w:szCs w:val="24"/>
        </w:rPr>
        <w:footnoteReference w:id="75"/>
      </w:r>
      <w:r w:rsidRPr="00115A35">
        <w:rPr>
          <w:rFonts w:ascii="Times New Roman" w:eastAsia="Calibri" w:hAnsi="Times New Roman" w:cs="Times New Roman"/>
          <w:sz w:val="24"/>
          <w:szCs w:val="24"/>
          <w:lang w:val="en-US"/>
        </w:rPr>
        <w:t xml:space="preserve"> </w:t>
      </w:r>
    </w:p>
    <w:p w14:paraId="6A4F0462" w14:textId="25496B30" w:rsidR="00153F3A" w:rsidRPr="005B6E0C"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 xml:space="preserve">MIT report also raised serious doubts about the integrity of data cited as evidence in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prosecutions. Fox-IT noted that it is impossible to verify whether MIT tempered with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server data or not because MIT did not calculate ‘cryptographic hashes’ of server data and did not ‘generate an audit trail’.</w:t>
      </w:r>
      <w:r w:rsidRPr="00115A35">
        <w:rPr>
          <w:rStyle w:val="FootnoteReference"/>
          <w:rFonts w:ascii="Times New Roman" w:hAnsi="Times New Roman" w:cs="Times New Roman"/>
          <w:sz w:val="24"/>
          <w:szCs w:val="24"/>
        </w:rPr>
        <w:footnoteReference w:id="76"/>
      </w:r>
      <w:r w:rsidRPr="00115A35">
        <w:rPr>
          <w:rFonts w:ascii="Times New Roman" w:eastAsia="Calibri" w:hAnsi="Times New Roman" w:cs="Times New Roman"/>
          <w:sz w:val="24"/>
          <w:szCs w:val="24"/>
          <w:lang w:val="en-US"/>
        </w:rPr>
        <w:t xml:space="preserve"> Given that MIT </w:t>
      </w:r>
      <w:r>
        <w:rPr>
          <w:rFonts w:ascii="Times New Roman" w:eastAsia="Calibri" w:hAnsi="Times New Roman" w:cs="Times New Roman"/>
          <w:sz w:val="24"/>
          <w:szCs w:val="24"/>
          <w:lang w:val="en-US"/>
        </w:rPr>
        <w:t xml:space="preserve">is </w:t>
      </w:r>
      <w:r w:rsidRPr="00115A35">
        <w:rPr>
          <w:rFonts w:ascii="Times New Roman" w:eastAsia="Calibri" w:hAnsi="Times New Roman" w:cs="Times New Roman"/>
          <w:sz w:val="24"/>
          <w:szCs w:val="24"/>
          <w:lang w:val="en-US"/>
        </w:rPr>
        <w:t xml:space="preserve">reported to have hacked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servers, this is a crucial point that casts a great doubt over the evidential status of </w:t>
      </w:r>
      <w:proofErr w:type="spellStart"/>
      <w:r w:rsidRPr="00115A35">
        <w:rPr>
          <w:rFonts w:ascii="Times New Roman" w:eastAsia="Calibri" w:hAnsi="Times New Roman" w:cs="Times New Roman"/>
          <w:sz w:val="24"/>
          <w:szCs w:val="24"/>
          <w:lang w:val="en-US"/>
        </w:rPr>
        <w:lastRenderedPageBreak/>
        <w:t>ByLock</w:t>
      </w:r>
      <w:proofErr w:type="spellEnd"/>
      <w:r w:rsidRPr="00115A35">
        <w:rPr>
          <w:rFonts w:ascii="Times New Roman" w:eastAsia="Calibri" w:hAnsi="Times New Roman" w:cs="Times New Roman"/>
          <w:sz w:val="24"/>
          <w:szCs w:val="24"/>
          <w:lang w:val="en-US"/>
        </w:rPr>
        <w:t xml:space="preserve"> server data cited in prosecutions. In fact, screenshots used in the MIT report detailing the so-called investigation of the server data contain multiple inconsistencies ‘that indicate manipulation of results and/or screenshots by MIT’.</w:t>
      </w:r>
      <w:r w:rsidRPr="00115A35">
        <w:rPr>
          <w:rStyle w:val="FootnoteReference"/>
          <w:rFonts w:ascii="Times New Roman" w:hAnsi="Times New Roman" w:cs="Times New Roman"/>
          <w:sz w:val="24"/>
          <w:szCs w:val="24"/>
        </w:rPr>
        <w:footnoteReference w:id="77"/>
      </w:r>
      <w:r w:rsidRPr="00115A35">
        <w:rPr>
          <w:rFonts w:ascii="Times New Roman" w:eastAsia="Calibri" w:hAnsi="Times New Roman" w:cs="Times New Roman"/>
          <w:sz w:val="24"/>
          <w:szCs w:val="24"/>
          <w:lang w:val="en-US"/>
        </w:rPr>
        <w:t xml:space="preserve"> In Figure</w:t>
      </w:r>
      <w:r>
        <w:rPr>
          <w:rFonts w:ascii="Times New Roman" w:eastAsia="Calibri" w:hAnsi="Times New Roman" w:cs="Times New Roman"/>
          <w:sz w:val="24"/>
          <w:szCs w:val="24"/>
          <w:lang w:val="en-US"/>
        </w:rPr>
        <w:t xml:space="preserve"> </w:t>
      </w:r>
      <w:r w:rsidRPr="00115A35">
        <w:rPr>
          <w:rFonts w:ascii="Times New Roman" w:eastAsia="Calibri" w:hAnsi="Times New Roman" w:cs="Times New Roman"/>
          <w:sz w:val="24"/>
          <w:szCs w:val="24"/>
          <w:lang w:val="en-US"/>
        </w:rPr>
        <w:t xml:space="preserve">1, </w:t>
      </w:r>
      <w:proofErr w:type="spellStart"/>
      <w:r w:rsidRPr="00115A35">
        <w:rPr>
          <w:rFonts w:ascii="Times New Roman" w:eastAsia="Calibri" w:hAnsi="Times New Roman" w:cs="Times New Roman"/>
          <w:sz w:val="24"/>
          <w:szCs w:val="24"/>
          <w:lang w:val="en-US"/>
        </w:rPr>
        <w:t>Gokce</w:t>
      </w:r>
      <w:proofErr w:type="spellEnd"/>
      <w:r w:rsidRPr="00115A35">
        <w:rPr>
          <w:rFonts w:ascii="Times New Roman" w:eastAsia="Calibri" w:hAnsi="Times New Roman" w:cs="Times New Roman"/>
          <w:sz w:val="24"/>
          <w:szCs w:val="24"/>
          <w:lang w:val="en-US"/>
        </w:rPr>
        <w:t xml:space="preserve"> illustrates that the SQL query result screenshots presented in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 xml:space="preserve">MIT report (allegedly from data acquired from </w:t>
      </w:r>
      <w:proofErr w:type="spellStart"/>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w:t>
      </w:r>
      <w:proofErr w:type="spellEnd"/>
      <w:r w:rsidRPr="00115A35">
        <w:rPr>
          <w:rFonts w:ascii="Times New Roman" w:eastAsia="Calibri" w:hAnsi="Times New Roman" w:cs="Times New Roman"/>
          <w:sz w:val="24"/>
          <w:szCs w:val="24"/>
          <w:lang w:val="en-US"/>
        </w:rPr>
        <w:t xml:space="preserve"> servers) are deliberately manipulated by MIT which ‘</w:t>
      </w:r>
      <w:r w:rsidRPr="00115A35">
        <w:rPr>
          <w:rFonts w:ascii="Tahoma" w:eastAsia="Calibri" w:hAnsi="Tahoma" w:cs="Tahoma"/>
          <w:sz w:val="24"/>
          <w:szCs w:val="24"/>
          <w:lang w:val="en-US"/>
        </w:rPr>
        <w:t>﻿</w:t>
      </w:r>
      <w:r w:rsidRPr="00115A35">
        <w:rPr>
          <w:rFonts w:ascii="Times New Roman" w:eastAsia="Calibri" w:hAnsi="Times New Roman" w:cs="Times New Roman"/>
          <w:sz w:val="24"/>
          <w:szCs w:val="24"/>
          <w:lang w:val="en-US"/>
        </w:rPr>
        <w:t xml:space="preserve">points out the great likelihood that MIT and other Turkish authorities manipulated the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database and fabricated false </w:t>
      </w:r>
      <w:proofErr w:type="spellStart"/>
      <w:r w:rsidRPr="00115A35">
        <w:rPr>
          <w:rFonts w:ascii="Times New Roman" w:eastAsia="Calibri" w:hAnsi="Times New Roman" w:cs="Times New Roman"/>
          <w:sz w:val="24"/>
          <w:szCs w:val="24"/>
          <w:lang w:val="en-US"/>
        </w:rPr>
        <w:t>Bylock</w:t>
      </w:r>
      <w:proofErr w:type="spellEnd"/>
      <w:r w:rsidRPr="00115A35">
        <w:rPr>
          <w:rFonts w:ascii="Times New Roman" w:eastAsia="Calibri" w:hAnsi="Times New Roman" w:cs="Times New Roman"/>
          <w:sz w:val="24"/>
          <w:szCs w:val="24"/>
          <w:lang w:val="en-US"/>
        </w:rPr>
        <w:t xml:space="preserve"> records’.</w:t>
      </w:r>
      <w:r w:rsidRPr="00115A35">
        <w:rPr>
          <w:rStyle w:val="FootnoteReference"/>
          <w:rFonts w:ascii="Times New Roman" w:hAnsi="Times New Roman" w:cs="Times New Roman"/>
          <w:sz w:val="24"/>
          <w:szCs w:val="24"/>
        </w:rPr>
        <w:footnoteReference w:id="78"/>
      </w:r>
      <w:r w:rsidRPr="00115A35">
        <w:rPr>
          <w:rFonts w:ascii="Times New Roman" w:eastAsia="Calibri" w:hAnsi="Times New Roman" w:cs="Times New Roman"/>
          <w:sz w:val="24"/>
          <w:szCs w:val="24"/>
          <w:lang w:val="en-US"/>
        </w:rPr>
        <w:t xml:space="preserve"> </w:t>
      </w:r>
    </w:p>
    <w:p w14:paraId="74681A6F" w14:textId="77777777" w:rsidR="00153F3A" w:rsidRPr="00161A04" w:rsidRDefault="00153F3A" w:rsidP="00153F3A">
      <w:pPr>
        <w:rPr>
          <w:rFonts w:ascii="Times New Roman" w:eastAsia="Calibri" w:hAnsi="Times New Roman" w:cs="Times New Roman"/>
          <w:color w:val="000000" w:themeColor="text1"/>
          <w:lang w:val="en-US"/>
        </w:rPr>
      </w:pPr>
      <w:r w:rsidRPr="00171957">
        <w:rPr>
          <w:rFonts w:ascii="Times New Roman" w:hAnsi="Times New Roman" w:cs="Times New Roman"/>
          <w:i/>
          <w:color w:val="000000" w:themeColor="text1"/>
          <w:sz w:val="24"/>
          <w:szCs w:val="24"/>
          <w:lang w:val="en-US"/>
        </w:rPr>
        <w:t xml:space="preserve">Figure </w:t>
      </w:r>
      <w:r w:rsidRPr="00171957">
        <w:rPr>
          <w:rFonts w:ascii="Times New Roman" w:hAnsi="Times New Roman" w:cs="Times New Roman"/>
          <w:i/>
          <w:color w:val="000000" w:themeColor="text1"/>
          <w:sz w:val="24"/>
          <w:szCs w:val="24"/>
          <w:lang w:val="en-US"/>
        </w:rPr>
        <w:fldChar w:fldCharType="begin"/>
      </w:r>
      <w:r w:rsidRPr="00171957">
        <w:rPr>
          <w:rFonts w:ascii="Times New Roman" w:hAnsi="Times New Roman" w:cs="Times New Roman"/>
          <w:i/>
          <w:color w:val="000000" w:themeColor="text1"/>
          <w:sz w:val="24"/>
          <w:szCs w:val="24"/>
          <w:lang w:val="en-US"/>
        </w:rPr>
        <w:instrText xml:space="preserve"> SEQ Figure \* ARABIC </w:instrText>
      </w:r>
      <w:r w:rsidRPr="00171957">
        <w:rPr>
          <w:rFonts w:ascii="Times New Roman" w:hAnsi="Times New Roman" w:cs="Times New Roman"/>
          <w:i/>
          <w:color w:val="000000" w:themeColor="text1"/>
          <w:sz w:val="24"/>
          <w:szCs w:val="24"/>
          <w:lang w:val="en-US"/>
        </w:rPr>
        <w:fldChar w:fldCharType="separate"/>
      </w:r>
      <w:r w:rsidRPr="00171957">
        <w:rPr>
          <w:rFonts w:ascii="Times New Roman" w:hAnsi="Times New Roman" w:cs="Times New Roman"/>
          <w:i/>
          <w:noProof/>
          <w:color w:val="000000" w:themeColor="text1"/>
          <w:sz w:val="24"/>
          <w:szCs w:val="24"/>
          <w:lang w:val="en-US"/>
        </w:rPr>
        <w:t>1</w:t>
      </w:r>
      <w:r w:rsidRPr="00171957">
        <w:rPr>
          <w:rFonts w:ascii="Times New Roman" w:hAnsi="Times New Roman" w:cs="Times New Roman"/>
          <w:i/>
          <w:color w:val="000000" w:themeColor="text1"/>
          <w:sz w:val="24"/>
          <w:szCs w:val="24"/>
          <w:lang w:val="en-US"/>
        </w:rPr>
        <w:fldChar w:fldCharType="end"/>
      </w:r>
      <w:r w:rsidRPr="00171957">
        <w:rPr>
          <w:rFonts w:ascii="Times New Roman" w:hAnsi="Times New Roman" w:cs="Times New Roman"/>
          <w:i/>
          <w:color w:val="000000" w:themeColor="text1"/>
          <w:sz w:val="24"/>
          <w:szCs w:val="24"/>
          <w:lang w:val="en-US"/>
        </w:rPr>
        <w:t xml:space="preserve">: Screenshots from MIT report, allegedly from </w:t>
      </w:r>
      <w:proofErr w:type="spellStart"/>
      <w:r w:rsidRPr="00171957">
        <w:rPr>
          <w:rFonts w:ascii="Times New Roman" w:hAnsi="Times New Roman" w:cs="Times New Roman"/>
          <w:i/>
          <w:color w:val="000000" w:themeColor="text1"/>
          <w:sz w:val="24"/>
          <w:szCs w:val="24"/>
          <w:lang w:val="en-US"/>
        </w:rPr>
        <w:t>By</w:t>
      </w:r>
      <w:r>
        <w:rPr>
          <w:rFonts w:ascii="Times New Roman" w:hAnsi="Times New Roman" w:cs="Times New Roman"/>
          <w:i/>
          <w:color w:val="000000" w:themeColor="text1"/>
          <w:sz w:val="24"/>
          <w:szCs w:val="24"/>
          <w:lang w:val="en-US"/>
        </w:rPr>
        <w:t>L</w:t>
      </w:r>
      <w:r w:rsidRPr="00171957">
        <w:rPr>
          <w:rFonts w:ascii="Times New Roman" w:hAnsi="Times New Roman" w:cs="Times New Roman"/>
          <w:i/>
          <w:color w:val="000000" w:themeColor="text1"/>
          <w:sz w:val="24"/>
          <w:szCs w:val="24"/>
          <w:lang w:val="en-US"/>
        </w:rPr>
        <w:t>ock</w:t>
      </w:r>
      <w:proofErr w:type="spellEnd"/>
      <w:r w:rsidRPr="00171957">
        <w:rPr>
          <w:rFonts w:ascii="Times New Roman" w:hAnsi="Times New Roman" w:cs="Times New Roman"/>
          <w:i/>
          <w:color w:val="000000" w:themeColor="text1"/>
          <w:sz w:val="24"/>
          <w:szCs w:val="24"/>
          <w:lang w:val="en-US"/>
        </w:rPr>
        <w:t xml:space="preserve"> database. Total numbers of rows returned by the SQL queries (7 and 10 respectively) do not match total numbers of rows shown at the bottom of the query results (8 and 12 respectively). Figure taken from </w:t>
      </w:r>
      <w:proofErr w:type="spellStart"/>
      <w:r w:rsidRPr="00171957">
        <w:rPr>
          <w:rFonts w:ascii="Times New Roman" w:hAnsi="Times New Roman" w:cs="Times New Roman"/>
          <w:i/>
          <w:color w:val="000000" w:themeColor="text1"/>
          <w:sz w:val="24"/>
          <w:szCs w:val="24"/>
          <w:lang w:val="en-US"/>
        </w:rPr>
        <w:t>Gokce</w:t>
      </w:r>
      <w:proofErr w:type="spellEnd"/>
      <w:r w:rsidRPr="00171957">
        <w:rPr>
          <w:rFonts w:ascii="Times New Roman" w:hAnsi="Times New Roman" w:cs="Times New Roman"/>
          <w:i/>
          <w:color w:val="000000" w:themeColor="text1"/>
          <w:sz w:val="24"/>
          <w:szCs w:val="24"/>
          <w:lang w:val="en-US"/>
        </w:rPr>
        <w:t xml:space="preserve"> </w:t>
      </w:r>
      <w:r>
        <w:rPr>
          <w:rFonts w:ascii="Times New Roman" w:hAnsi="Times New Roman" w:cs="Times New Roman"/>
          <w:i/>
          <w:color w:val="000000" w:themeColor="text1"/>
          <w:sz w:val="24"/>
          <w:szCs w:val="24"/>
          <w:lang w:val="en-US"/>
        </w:rPr>
        <w:t>(</w:t>
      </w:r>
      <w:r w:rsidRPr="00171957">
        <w:rPr>
          <w:rFonts w:ascii="Times New Roman" w:hAnsi="Times New Roman" w:cs="Times New Roman"/>
          <w:i/>
          <w:color w:val="000000" w:themeColor="text1"/>
          <w:sz w:val="24"/>
          <w:szCs w:val="24"/>
          <w:lang w:val="en-US"/>
        </w:rPr>
        <w:t>2018</w:t>
      </w:r>
      <w:r>
        <w:rPr>
          <w:rFonts w:ascii="Times New Roman" w:hAnsi="Times New Roman" w:cs="Times New Roman"/>
          <w:i/>
          <w:color w:val="000000" w:themeColor="text1"/>
          <w:sz w:val="24"/>
          <w:szCs w:val="24"/>
          <w:lang w:val="en-US"/>
        </w:rPr>
        <w:t>)</w:t>
      </w:r>
      <w:r w:rsidRPr="00171957">
        <w:rPr>
          <w:rFonts w:ascii="Times New Roman" w:hAnsi="Times New Roman" w:cs="Times New Roman"/>
          <w:i/>
          <w:color w:val="000000" w:themeColor="text1"/>
          <w:sz w:val="24"/>
          <w:szCs w:val="24"/>
          <w:lang w:val="en-US"/>
        </w:rPr>
        <w:t>.</w:t>
      </w:r>
    </w:p>
    <w:p w14:paraId="58CB17AC" w14:textId="77777777" w:rsidR="00153F3A" w:rsidRPr="00161A04" w:rsidRDefault="00153F3A" w:rsidP="00153F3A">
      <w:pPr>
        <w:rPr>
          <w:rFonts w:ascii="Times New Roman" w:eastAsia="Calibri" w:hAnsi="Times New Roman" w:cs="Times New Roman"/>
          <w:lang w:val="en-US"/>
        </w:rPr>
      </w:pPr>
      <w:r w:rsidRPr="00B94039">
        <w:rPr>
          <w:rFonts w:ascii="Times New Roman" w:eastAsia="Calibri" w:hAnsi="Times New Roman" w:cs="Times New Roman"/>
          <w:sz w:val="24"/>
          <w:szCs w:val="24"/>
          <w:lang w:val="en-US"/>
        </w:rPr>
        <w:t xml:space="preserve">Although manipulation of evidence is a serious claim, </w:t>
      </w:r>
      <w:proofErr w:type="spellStart"/>
      <w:r w:rsidRPr="00B94039">
        <w:rPr>
          <w:rFonts w:ascii="Times New Roman" w:eastAsia="Calibri" w:hAnsi="Times New Roman" w:cs="Times New Roman"/>
          <w:sz w:val="24"/>
          <w:szCs w:val="24"/>
          <w:lang w:val="en-US"/>
        </w:rPr>
        <w:t>Gokce</w:t>
      </w:r>
      <w:proofErr w:type="spellEnd"/>
      <w:r w:rsidRPr="00B94039">
        <w:rPr>
          <w:rFonts w:ascii="Times New Roman" w:eastAsia="Calibri" w:hAnsi="Times New Roman" w:cs="Times New Roman"/>
          <w:sz w:val="24"/>
          <w:szCs w:val="24"/>
          <w:lang w:val="en-US"/>
        </w:rPr>
        <w:t xml:space="preserve"> makes a compelling argument that other not only MIT but also other Turkish authorities may also have ‘fabricated’ communications metadata (internet traffic records) to facilitate the sentencing of alleged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users.</w:t>
      </w:r>
      <w:r w:rsidRPr="00B94039">
        <w:rPr>
          <w:rStyle w:val="FootnoteReference"/>
          <w:rFonts w:ascii="Times New Roman" w:hAnsi="Times New Roman" w:cs="Times New Roman"/>
          <w:sz w:val="24"/>
          <w:szCs w:val="24"/>
        </w:rPr>
        <w:footnoteReference w:id="79"/>
      </w:r>
      <w:r w:rsidRPr="00B94039">
        <w:rPr>
          <w:rFonts w:ascii="Times New Roman" w:eastAsia="Calibri" w:hAnsi="Times New Roman" w:cs="Times New Roman"/>
          <w:sz w:val="24"/>
          <w:szCs w:val="24"/>
          <w:lang w:val="en-US"/>
        </w:rPr>
        <w:t xml:space="preserve"> MIT report claimed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users were identified by acquiring IP address logs from the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server database</w:t>
      </w:r>
      <w:r>
        <w:rPr>
          <w:rFonts w:ascii="Times New Roman" w:eastAsia="Calibri" w:hAnsi="Times New Roman" w:cs="Times New Roman"/>
          <w:sz w:val="24"/>
          <w:szCs w:val="24"/>
          <w:lang w:val="en-US"/>
        </w:rPr>
        <w:t>,</w:t>
      </w:r>
      <w:r w:rsidRPr="00B94039">
        <w:rPr>
          <w:rFonts w:ascii="Times New Roman" w:eastAsia="Calibri" w:hAnsi="Times New Roman" w:cs="Times New Roman"/>
          <w:sz w:val="24"/>
          <w:szCs w:val="24"/>
          <w:lang w:val="en-US"/>
        </w:rPr>
        <w:t xml:space="preserve"> but it omits methods used to attribute these IP addresses to individuals. During criminal proceedings, it was revealed that the state relied on internet traffic metadata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namely IAL which contain information about date/time, public and private IP address of the user, target IP of the server connected amongst others</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xml:space="preserve">- as evidence to identify individuals </w:t>
      </w:r>
      <w:r>
        <w:rPr>
          <w:rFonts w:ascii="Times New Roman" w:eastAsia="Calibri" w:hAnsi="Times New Roman" w:cs="Times New Roman"/>
          <w:sz w:val="24"/>
          <w:szCs w:val="24"/>
          <w:lang w:val="en-US"/>
        </w:rPr>
        <w:t xml:space="preserve">who </w:t>
      </w:r>
      <w:r w:rsidRPr="00B94039">
        <w:rPr>
          <w:rFonts w:ascii="Times New Roman" w:eastAsia="Calibri" w:hAnsi="Times New Roman" w:cs="Times New Roman"/>
          <w:sz w:val="24"/>
          <w:szCs w:val="24"/>
          <w:lang w:val="en-US"/>
        </w:rPr>
        <w:t xml:space="preserve">communicated with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ock’s</w:t>
      </w:r>
      <w:proofErr w:type="spellEnd"/>
      <w:r w:rsidRPr="00B94039">
        <w:rPr>
          <w:rFonts w:ascii="Times New Roman" w:eastAsia="Calibri" w:hAnsi="Times New Roman" w:cs="Times New Roman"/>
          <w:sz w:val="24"/>
          <w:szCs w:val="24"/>
          <w:lang w:val="en-US"/>
        </w:rPr>
        <w:t xml:space="preserve"> servers.</w:t>
      </w:r>
      <w:r w:rsidRPr="00B94039">
        <w:rPr>
          <w:rStyle w:val="FootnoteReference"/>
          <w:rFonts w:ascii="Times New Roman" w:hAnsi="Times New Roman" w:cs="Times New Roman"/>
          <w:sz w:val="24"/>
          <w:szCs w:val="24"/>
        </w:rPr>
        <w:footnoteReference w:id="80"/>
      </w:r>
      <w:r w:rsidRPr="00B94039">
        <w:rPr>
          <w:rFonts w:ascii="Times New Roman" w:eastAsia="Calibri" w:hAnsi="Times New Roman" w:cs="Times New Roman"/>
          <w:sz w:val="24"/>
          <w:szCs w:val="24"/>
          <w:lang w:val="en-US"/>
        </w:rPr>
        <w:t xml:space="preserve"> In Turkey, IAL are retained by the Information and Communication Technologies Authority (Bilgi </w:t>
      </w:r>
      <w:proofErr w:type="spellStart"/>
      <w:r w:rsidRPr="00B94039">
        <w:rPr>
          <w:rFonts w:ascii="Times New Roman" w:eastAsia="Calibri" w:hAnsi="Times New Roman" w:cs="Times New Roman"/>
          <w:sz w:val="24"/>
          <w:szCs w:val="24"/>
          <w:lang w:val="en-US"/>
        </w:rPr>
        <w:t>Teknolojileri</w:t>
      </w:r>
      <w:proofErr w:type="spellEnd"/>
      <w:r w:rsidRPr="00B94039">
        <w:rPr>
          <w:rFonts w:ascii="Times New Roman" w:eastAsia="Calibri" w:hAnsi="Times New Roman" w:cs="Times New Roman"/>
          <w:sz w:val="24"/>
          <w:szCs w:val="24"/>
          <w:lang w:val="en-US"/>
        </w:rPr>
        <w:t xml:space="preserve"> </w:t>
      </w:r>
      <w:proofErr w:type="spellStart"/>
      <w:r w:rsidRPr="00B94039">
        <w:rPr>
          <w:rFonts w:ascii="Times New Roman" w:eastAsia="Calibri" w:hAnsi="Times New Roman" w:cs="Times New Roman"/>
          <w:sz w:val="24"/>
          <w:szCs w:val="24"/>
          <w:lang w:val="en-US"/>
        </w:rPr>
        <w:t>Kurumu</w:t>
      </w:r>
      <w:proofErr w:type="spellEnd"/>
      <w:r w:rsidRPr="00B94039">
        <w:rPr>
          <w:rFonts w:ascii="Times New Roman" w:eastAsia="Calibri" w:hAnsi="Times New Roman" w:cs="Times New Roman"/>
          <w:sz w:val="24"/>
          <w:szCs w:val="24"/>
          <w:lang w:val="en-US"/>
        </w:rPr>
        <w:t xml:space="preserve"> in Turkish</w:t>
      </w:r>
      <w:r>
        <w:rPr>
          <w:rFonts w:ascii="Times New Roman" w:eastAsia="Calibri" w:hAnsi="Times New Roman" w:cs="Times New Roman"/>
          <w:sz w:val="24"/>
          <w:szCs w:val="24"/>
          <w:lang w:val="en-US"/>
        </w:rPr>
        <w:t>, henceforth BTK</w:t>
      </w:r>
      <w:r w:rsidRPr="00B94039">
        <w:rPr>
          <w:rFonts w:ascii="Times New Roman" w:eastAsia="Calibri" w:hAnsi="Times New Roman" w:cs="Times New Roman"/>
          <w:sz w:val="24"/>
          <w:szCs w:val="24"/>
          <w:lang w:val="en-US"/>
        </w:rPr>
        <w:t xml:space="preserve">) which is the government institution authorized to collect and store metadata provided from ISPs and MNOs, which are private companies. In one scathing example of metadata fabrication, </w:t>
      </w:r>
      <w:proofErr w:type="spellStart"/>
      <w:r w:rsidRPr="00B94039">
        <w:rPr>
          <w:rFonts w:ascii="Times New Roman" w:eastAsia="Calibri" w:hAnsi="Times New Roman" w:cs="Times New Roman"/>
          <w:sz w:val="24"/>
          <w:szCs w:val="24"/>
          <w:lang w:val="en-US"/>
        </w:rPr>
        <w:t>Gokce</w:t>
      </w:r>
      <w:proofErr w:type="spellEnd"/>
      <w:r w:rsidRPr="00B94039">
        <w:rPr>
          <w:rFonts w:ascii="Times New Roman" w:eastAsia="Calibri" w:hAnsi="Times New Roman" w:cs="Times New Roman"/>
          <w:sz w:val="24"/>
          <w:szCs w:val="24"/>
          <w:lang w:val="en-US"/>
        </w:rPr>
        <w:t xml:space="preserve"> presents an alleged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user’s mobile IAL, which w</w:t>
      </w:r>
      <w:r>
        <w:rPr>
          <w:rFonts w:ascii="Times New Roman" w:eastAsia="Calibri" w:hAnsi="Times New Roman" w:cs="Times New Roman"/>
          <w:sz w:val="24"/>
          <w:szCs w:val="24"/>
          <w:lang w:val="en-US"/>
        </w:rPr>
        <w:t>as</w:t>
      </w:r>
      <w:r w:rsidRPr="00B94039">
        <w:rPr>
          <w:rFonts w:ascii="Times New Roman" w:eastAsia="Calibri" w:hAnsi="Times New Roman" w:cs="Times New Roman"/>
          <w:sz w:val="24"/>
          <w:szCs w:val="24"/>
          <w:lang w:val="en-US"/>
        </w:rPr>
        <w:t xml:space="preserve"> exhibited to </w:t>
      </w:r>
      <w:r>
        <w:rPr>
          <w:rFonts w:ascii="Times New Roman" w:eastAsia="Calibri" w:hAnsi="Times New Roman" w:cs="Times New Roman"/>
          <w:sz w:val="24"/>
          <w:szCs w:val="24"/>
          <w:lang w:val="en-US"/>
        </w:rPr>
        <w:t xml:space="preserve">a </w:t>
      </w:r>
      <w:r w:rsidRPr="00B94039">
        <w:rPr>
          <w:rFonts w:ascii="Times New Roman" w:eastAsia="Calibri" w:hAnsi="Times New Roman" w:cs="Times New Roman"/>
          <w:sz w:val="24"/>
          <w:szCs w:val="24"/>
          <w:lang w:val="en-US"/>
        </w:rPr>
        <w:t>criminal court during proceedings.</w:t>
      </w:r>
      <w:r w:rsidRPr="00B94039">
        <w:rPr>
          <w:rStyle w:val="FootnoteReference"/>
          <w:rFonts w:ascii="Times New Roman" w:hAnsi="Times New Roman" w:cs="Times New Roman"/>
          <w:sz w:val="24"/>
          <w:szCs w:val="24"/>
        </w:rPr>
        <w:footnoteReference w:id="81"/>
      </w:r>
      <w:r w:rsidRPr="00B94039">
        <w:rPr>
          <w:rFonts w:ascii="Times New Roman" w:eastAsia="Calibri" w:hAnsi="Times New Roman" w:cs="Times New Roman"/>
          <w:sz w:val="24"/>
          <w:szCs w:val="24"/>
          <w:lang w:val="en-US"/>
        </w:rPr>
        <w:t xml:space="preserve"> While the IAL produced by the MNO contains no data in the ‘target IP’ column for the specified time frame, the IAL produced by the BTK lists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server’s IP address in the ‘target IP’ column for the specified time frame. As BTK can only store metadata provided by MNOs and ISPs, one would expect no variation between IAL from BTK and MNO over the same time frame. Given this, the fact that only the IAL provided by BTK had ‘target IP’ information (i.e. IP addresses of servers hosting the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app) indicates metadata manipulation and/or injection on BTK’s side. This is a crucial point that lends support for </w:t>
      </w:r>
      <w:proofErr w:type="spellStart"/>
      <w:r w:rsidRPr="00B94039">
        <w:rPr>
          <w:rFonts w:ascii="Times New Roman" w:eastAsia="Calibri" w:hAnsi="Times New Roman" w:cs="Times New Roman"/>
          <w:sz w:val="24"/>
          <w:szCs w:val="24"/>
          <w:lang w:val="en-US"/>
        </w:rPr>
        <w:t>Gokce’s</w:t>
      </w:r>
      <w:proofErr w:type="spellEnd"/>
      <w:r w:rsidRPr="00B94039">
        <w:rPr>
          <w:rFonts w:ascii="Times New Roman" w:eastAsia="Calibri" w:hAnsi="Times New Roman" w:cs="Times New Roman"/>
          <w:sz w:val="24"/>
          <w:szCs w:val="24"/>
          <w:lang w:val="en-US"/>
        </w:rPr>
        <w:t xml:space="preserve"> </w:t>
      </w:r>
      <w:proofErr w:type="gramStart"/>
      <w:r w:rsidRPr="00B94039">
        <w:rPr>
          <w:rFonts w:ascii="Tahoma" w:eastAsia="Calibri" w:hAnsi="Tahoma" w:cs="Tahoma"/>
          <w:sz w:val="24"/>
          <w:szCs w:val="24"/>
          <w:lang w:val="en-US"/>
        </w:rPr>
        <w:t>﻿</w:t>
      </w:r>
      <w:r w:rsidRPr="00B94039">
        <w:rPr>
          <w:rFonts w:ascii="Times New Roman" w:eastAsia="Calibri" w:hAnsi="Times New Roman" w:cs="Times New Roman"/>
          <w:sz w:val="24"/>
          <w:szCs w:val="24"/>
          <w:lang w:val="en-US"/>
        </w:rPr>
        <w:t>‘</w:t>
      </w:r>
      <w:proofErr w:type="gramEnd"/>
      <w:r w:rsidRPr="00B94039">
        <w:rPr>
          <w:rFonts w:ascii="Times New Roman" w:eastAsia="Calibri" w:hAnsi="Times New Roman" w:cs="Times New Roman"/>
          <w:sz w:val="24"/>
          <w:szCs w:val="24"/>
          <w:lang w:val="en-US"/>
        </w:rPr>
        <w:t>BTK doctored internet traffic records it received from telecommunication companies’ argument.</w:t>
      </w:r>
      <w:r w:rsidRPr="00B94039">
        <w:rPr>
          <w:rStyle w:val="FootnoteReference"/>
          <w:rFonts w:ascii="Times New Roman" w:hAnsi="Times New Roman" w:cs="Times New Roman"/>
          <w:sz w:val="24"/>
          <w:szCs w:val="24"/>
        </w:rPr>
        <w:footnoteReference w:id="82"/>
      </w:r>
      <w:r w:rsidRPr="00B94039">
        <w:rPr>
          <w:rFonts w:ascii="Times New Roman" w:eastAsia="Calibri" w:hAnsi="Times New Roman" w:cs="Times New Roman"/>
          <w:sz w:val="24"/>
          <w:szCs w:val="24"/>
          <w:lang w:val="en-US"/>
        </w:rPr>
        <w:t xml:space="preserve"> These, coupled with the fact that Turkish authorities reduced the reported total number of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lastRenderedPageBreak/>
        <w:t>users arbitrarily,</w:t>
      </w:r>
      <w:r w:rsidRPr="00B94039">
        <w:rPr>
          <w:rStyle w:val="FootnoteReference"/>
          <w:rFonts w:ascii="Times New Roman" w:hAnsi="Times New Roman" w:cs="Times New Roman"/>
          <w:sz w:val="24"/>
          <w:szCs w:val="24"/>
        </w:rPr>
        <w:footnoteReference w:id="83"/>
      </w:r>
      <w:r w:rsidRPr="00B94039">
        <w:rPr>
          <w:rFonts w:ascii="Times New Roman" w:eastAsia="Calibri" w:hAnsi="Times New Roman" w:cs="Times New Roman"/>
          <w:sz w:val="24"/>
          <w:szCs w:val="24"/>
          <w:lang w:val="en-US"/>
        </w:rPr>
        <w:t xml:space="preserve"> led critics to suggest that Turkish authorities have altered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user lists arbitrarily to target perceived GM supporters. </w:t>
      </w:r>
      <w:r w:rsidRPr="00B94039">
        <w:rPr>
          <w:rStyle w:val="FootnoteReference"/>
          <w:rFonts w:ascii="Times New Roman" w:hAnsi="Times New Roman" w:cs="Times New Roman"/>
          <w:sz w:val="24"/>
          <w:szCs w:val="24"/>
        </w:rPr>
        <w:footnoteReference w:id="84"/>
      </w:r>
    </w:p>
    <w:p w14:paraId="02580B5D"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Even if we were to set aside claims of metadata manipulation, citing communications metadata as evidence in criminal prosecutions is unreliable because of IP-based attribution challenges. Without corroborating offline evidence, using IP addresses alone to identify individuals that are suspected for a crime is unreliable.</w:t>
      </w:r>
      <w:r w:rsidRPr="00B94039">
        <w:rPr>
          <w:rStyle w:val="FootnoteReference"/>
          <w:rFonts w:ascii="Times New Roman" w:hAnsi="Times New Roman" w:cs="Times New Roman"/>
          <w:sz w:val="24"/>
          <w:szCs w:val="24"/>
        </w:rPr>
        <w:footnoteReference w:id="85"/>
      </w:r>
      <w:r w:rsidRPr="00B94039">
        <w:rPr>
          <w:rFonts w:ascii="Times New Roman" w:eastAsia="Calibri" w:hAnsi="Times New Roman" w:cs="Times New Roman"/>
          <w:sz w:val="24"/>
          <w:szCs w:val="24"/>
          <w:lang w:val="en-US"/>
        </w:rPr>
        <w:t xml:space="preserve"> This issue is more frequently observed for mobile device IPs which connect to internet over a network provided by MNOs. Around the world, 92% of MNOs use Carrier Grade Network Address Translation (CGNAT),</w:t>
      </w:r>
      <w:r w:rsidRPr="00B94039">
        <w:rPr>
          <w:rStyle w:val="FootnoteReference"/>
          <w:rFonts w:ascii="Times New Roman" w:hAnsi="Times New Roman" w:cs="Times New Roman"/>
          <w:sz w:val="24"/>
          <w:szCs w:val="24"/>
        </w:rPr>
        <w:footnoteReference w:id="86"/>
      </w:r>
      <w:r w:rsidRPr="00B94039">
        <w:rPr>
          <w:rFonts w:ascii="Times New Roman" w:eastAsia="Calibri" w:hAnsi="Times New Roman" w:cs="Times New Roman"/>
          <w:sz w:val="24"/>
          <w:szCs w:val="24"/>
          <w:lang w:val="en-US"/>
        </w:rPr>
        <w:t xml:space="preserve"> which are network designs that distribute a small number of global IP addresses to many private users. This means, same public IP address can be shared by hundreds of users at a particular time, making it almost impossible to identify individual users via communications metadata. Indeed, EUROPOL reported that ‘90% of European cybercrime investigators regularly encounter attribution problems related to CGN </w:t>
      </w:r>
      <w:proofErr w:type="gramStart"/>
      <w:r w:rsidRPr="00B94039">
        <w:rPr>
          <w:rFonts w:ascii="Times New Roman" w:eastAsia="Calibri" w:hAnsi="Times New Roman" w:cs="Times New Roman"/>
          <w:sz w:val="24"/>
          <w:szCs w:val="24"/>
          <w:lang w:val="en-US"/>
        </w:rPr>
        <w:t>technologies’</w:t>
      </w:r>
      <w:proofErr w:type="gramEnd"/>
      <w:r w:rsidRPr="00B94039">
        <w:rPr>
          <w:rFonts w:ascii="Times New Roman" w:eastAsia="Calibri" w:hAnsi="Times New Roman" w:cs="Times New Roman"/>
          <w:sz w:val="24"/>
          <w:szCs w:val="24"/>
          <w:lang w:val="en-US"/>
        </w:rPr>
        <w:t>.</w:t>
      </w:r>
      <w:r w:rsidRPr="00B94039">
        <w:rPr>
          <w:rStyle w:val="FootnoteReference"/>
          <w:rFonts w:ascii="Times New Roman" w:hAnsi="Times New Roman" w:cs="Times New Roman"/>
          <w:sz w:val="24"/>
          <w:szCs w:val="24"/>
        </w:rPr>
        <w:footnoteReference w:id="87"/>
      </w:r>
      <w:r w:rsidRPr="00B94039">
        <w:rPr>
          <w:rFonts w:ascii="Times New Roman" w:eastAsia="Calibri" w:hAnsi="Times New Roman" w:cs="Times New Roman"/>
          <w:sz w:val="24"/>
          <w:szCs w:val="24"/>
          <w:lang w:val="en-US"/>
        </w:rPr>
        <w:t xml:space="preserve"> Similarly, Turkish MNOs use CGNAT, which makes attempts to identify alleged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users using communications metadata exceptionally error prone. In addition, individuals might have relied on ‘Good Data’ practices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using a VPN, a proxy server or Tor - to hide their IP addresses.</w:t>
      </w:r>
      <w:r w:rsidRPr="00B94039">
        <w:rPr>
          <w:rStyle w:val="FootnoteReference"/>
          <w:rFonts w:ascii="Times New Roman" w:hAnsi="Times New Roman" w:cs="Times New Roman"/>
          <w:sz w:val="24"/>
          <w:szCs w:val="24"/>
        </w:rPr>
        <w:footnoteReference w:id="88"/>
      </w:r>
      <w:r w:rsidRPr="00B94039">
        <w:rPr>
          <w:rFonts w:ascii="Times New Roman" w:eastAsia="Calibri" w:hAnsi="Times New Roman" w:cs="Times New Roman"/>
          <w:sz w:val="24"/>
          <w:szCs w:val="24"/>
          <w:lang w:val="en-US"/>
        </w:rPr>
        <w:t xml:space="preserve"> This makes attribution of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usage based on communications metadata significantly unreliable. Furthermore, handing down lengthy prison sentences to individuals based on such unreliable metadata as evidence is likely to amount to </w:t>
      </w:r>
      <w:r>
        <w:rPr>
          <w:rFonts w:ascii="Times New Roman" w:eastAsia="Calibri" w:hAnsi="Times New Roman" w:cs="Times New Roman"/>
          <w:sz w:val="24"/>
          <w:szCs w:val="24"/>
          <w:lang w:val="en-US"/>
        </w:rPr>
        <w:t xml:space="preserve">a </w:t>
      </w:r>
      <w:r w:rsidRPr="00B94039">
        <w:rPr>
          <w:rFonts w:ascii="Times New Roman" w:eastAsia="Calibri" w:hAnsi="Times New Roman" w:cs="Times New Roman"/>
          <w:sz w:val="24"/>
          <w:szCs w:val="24"/>
          <w:lang w:val="en-US"/>
        </w:rPr>
        <w:t xml:space="preserve">miscarriage of justice. </w:t>
      </w:r>
    </w:p>
    <w:p w14:paraId="723EACA5" w14:textId="0CA1CF61" w:rsidR="00153F3A" w:rsidRPr="005B6E0C" w:rsidRDefault="00153F3A" w:rsidP="00153F3A">
      <w:pPr>
        <w:rPr>
          <w:rFonts w:ascii="Times New Roman" w:eastAsia="Calibri" w:hAnsi="Times New Roman" w:cs="Times New Roman"/>
          <w:sz w:val="24"/>
          <w:szCs w:val="24"/>
          <w:lang w:val="en-US"/>
        </w:rPr>
      </w:pPr>
      <w:bookmarkStart w:id="1" w:name="_1fob9te" w:colFirst="0" w:colLast="0"/>
      <w:bookmarkEnd w:id="1"/>
      <w:r w:rsidRPr="00B94039">
        <w:rPr>
          <w:rFonts w:ascii="Times New Roman" w:eastAsia="Calibri" w:hAnsi="Times New Roman" w:cs="Times New Roman"/>
          <w:sz w:val="24"/>
          <w:szCs w:val="24"/>
          <w:lang w:val="en-US"/>
        </w:rPr>
        <w:t xml:space="preserve">In their report scrutinizing the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prosecutions and the legality of actions of the Turkish state following the coup attempt, British criminal lawyers Clegg and Baker illustrated four significant breaches of </w:t>
      </w:r>
      <w:r>
        <w:rPr>
          <w:rFonts w:ascii="Times New Roman" w:eastAsia="Calibri" w:hAnsi="Times New Roman" w:cs="Times New Roman"/>
          <w:sz w:val="24"/>
          <w:szCs w:val="24"/>
          <w:lang w:val="en-US"/>
        </w:rPr>
        <w:t xml:space="preserve">the </w:t>
      </w:r>
      <w:r w:rsidRPr="00B94039">
        <w:rPr>
          <w:rFonts w:ascii="Times New Roman" w:eastAsia="Calibri" w:hAnsi="Times New Roman" w:cs="Times New Roman"/>
          <w:sz w:val="24"/>
          <w:szCs w:val="24"/>
          <w:lang w:val="en-US"/>
        </w:rPr>
        <w:t xml:space="preserve">ECHR. First, alleged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use does not satisfy the requirement of the ECHR Article 5:1(c)[reasonable suspicion of having committed and offence] and therefore, ‘detention of persons on the basis that they had downloaded the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App use is arbitrary and in breach of Article 5 of the convention [right to liberty and security]’.</w:t>
      </w:r>
      <w:r w:rsidRPr="00B94039">
        <w:rPr>
          <w:rStyle w:val="FootnoteReference"/>
          <w:rFonts w:ascii="Times New Roman" w:hAnsi="Times New Roman" w:cs="Times New Roman"/>
          <w:sz w:val="24"/>
          <w:szCs w:val="24"/>
        </w:rPr>
        <w:footnoteReference w:id="89"/>
      </w:r>
      <w:r w:rsidRPr="00B94039">
        <w:rPr>
          <w:rFonts w:ascii="Times New Roman" w:eastAsia="Calibri" w:hAnsi="Times New Roman" w:cs="Times New Roman"/>
          <w:sz w:val="24"/>
          <w:szCs w:val="24"/>
          <w:lang w:val="en-US"/>
        </w:rPr>
        <w:t xml:space="preserve"> Second, the MIT report is a clear breach of Article 6(3)(d) [right to examine or have </w:t>
      </w:r>
      <w:r w:rsidRPr="00B94039">
        <w:rPr>
          <w:rFonts w:ascii="Times New Roman" w:eastAsia="Calibri" w:hAnsi="Times New Roman" w:cs="Times New Roman"/>
          <w:sz w:val="24"/>
          <w:szCs w:val="24"/>
          <w:lang w:val="en-US"/>
        </w:rPr>
        <w:lastRenderedPageBreak/>
        <w:t>examined witnesses against him and to obtain the attendance and examination of witnesses on his behalf under the same conditions as witnesses against him], because ‘authors of [the MIT] report are not identified’ and ‘no questions can be asked to the authors of the report’.</w:t>
      </w:r>
      <w:r w:rsidRPr="00B94039">
        <w:rPr>
          <w:rStyle w:val="FootnoteReference"/>
          <w:rFonts w:ascii="Times New Roman" w:hAnsi="Times New Roman" w:cs="Times New Roman"/>
          <w:sz w:val="24"/>
          <w:szCs w:val="24"/>
        </w:rPr>
        <w:footnoteReference w:id="90"/>
      </w:r>
      <w:r w:rsidRPr="00B94039">
        <w:rPr>
          <w:rFonts w:ascii="Times New Roman" w:eastAsia="Calibri" w:hAnsi="Times New Roman" w:cs="Times New Roman"/>
          <w:sz w:val="24"/>
          <w:szCs w:val="24"/>
          <w:lang w:val="en-US"/>
        </w:rPr>
        <w:t xml:space="preserve">  Third, mass dismissal and arrest of members of judiciary ‘strikes at the heart of judicial independence and appears to be a further clear breach of Article 6 [the right to a fair trial]’.</w:t>
      </w:r>
      <w:r w:rsidRPr="00B94039">
        <w:rPr>
          <w:rStyle w:val="FootnoteReference"/>
          <w:rFonts w:ascii="Times New Roman" w:hAnsi="Times New Roman" w:cs="Times New Roman"/>
          <w:sz w:val="24"/>
          <w:szCs w:val="24"/>
        </w:rPr>
        <w:footnoteReference w:id="91"/>
      </w:r>
      <w:r w:rsidRPr="00B94039">
        <w:rPr>
          <w:rFonts w:ascii="Times New Roman" w:eastAsia="Calibri" w:hAnsi="Times New Roman" w:cs="Times New Roman"/>
          <w:sz w:val="24"/>
          <w:szCs w:val="24"/>
          <w:lang w:val="en-US"/>
        </w:rPr>
        <w:t xml:space="preserve">  Lastly, since both membership of GM and use of</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app was legal before the coup attempt, to convict persons of membership of a terrorist organization on alleged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use is ‘clearly retrospective criminality and a clear breach of Article 7’.</w:t>
      </w:r>
      <w:r w:rsidRPr="00B94039">
        <w:rPr>
          <w:rStyle w:val="FootnoteReference"/>
          <w:rFonts w:ascii="Times New Roman" w:hAnsi="Times New Roman" w:cs="Times New Roman"/>
          <w:sz w:val="24"/>
          <w:szCs w:val="24"/>
        </w:rPr>
        <w:footnoteReference w:id="92"/>
      </w:r>
      <w:r w:rsidRPr="00B94039">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w:t>
      </w:r>
      <w:r w:rsidRPr="00B94039">
        <w:rPr>
          <w:rFonts w:ascii="Times New Roman" w:eastAsia="Calibri" w:hAnsi="Times New Roman" w:cs="Times New Roman"/>
          <w:sz w:val="24"/>
          <w:szCs w:val="24"/>
          <w:lang w:val="en-US"/>
        </w:rPr>
        <w:t>Turkish regime’s breaches of the ECHR in the aftermath of the coup attempt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despite being a signatory of the ECHR</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demonstrates that supranational human rights legislation may be ineffective to prevent metadata abuses by states. In the context of unlawful access and metadata retention debates, this means that ‘broad mandatory [meta]data retention policies’</w:t>
      </w:r>
      <w:r w:rsidRPr="00B94039">
        <w:rPr>
          <w:rStyle w:val="FootnoteReference"/>
          <w:rFonts w:ascii="Times New Roman" w:hAnsi="Times New Roman" w:cs="Times New Roman"/>
          <w:color w:val="000000" w:themeColor="text1"/>
          <w:sz w:val="24"/>
          <w:szCs w:val="24"/>
          <w:lang w:val="en-US"/>
        </w:rPr>
        <w:footnoteReference w:id="93"/>
      </w:r>
      <w:r w:rsidRPr="00B94039">
        <w:rPr>
          <w:rFonts w:ascii="Times New Roman" w:eastAsia="Calibri" w:hAnsi="Times New Roman" w:cs="Times New Roman"/>
          <w:sz w:val="24"/>
          <w:szCs w:val="24"/>
          <w:lang w:val="en-US"/>
        </w:rPr>
        <w:t xml:space="preserve"> and ‘A priori [meta]data retention or collection’</w:t>
      </w:r>
      <w:r w:rsidRPr="00B94039">
        <w:rPr>
          <w:rStyle w:val="FootnoteReference"/>
          <w:rFonts w:ascii="Times New Roman" w:hAnsi="Times New Roman" w:cs="Times New Roman"/>
          <w:color w:val="000000" w:themeColor="text1"/>
          <w:sz w:val="24"/>
          <w:szCs w:val="24"/>
          <w:lang w:val="en-US"/>
        </w:rPr>
        <w:footnoteReference w:id="94"/>
      </w:r>
      <w:r w:rsidRPr="00B94039">
        <w:rPr>
          <w:rFonts w:ascii="Times New Roman" w:eastAsia="Calibri" w:hAnsi="Times New Roman" w:cs="Times New Roman"/>
          <w:sz w:val="24"/>
          <w:szCs w:val="24"/>
          <w:lang w:val="en-US"/>
        </w:rPr>
        <w:t xml:space="preserve"> capabilities of states leave dissidents and political enemies of the states extremely vulnerable. </w:t>
      </w:r>
    </w:p>
    <w:p w14:paraId="69721E9B" w14:textId="77777777" w:rsidR="00153F3A" w:rsidRPr="00161A04" w:rsidRDefault="00153F3A" w:rsidP="005B6E0C">
      <w:pPr>
        <w:pStyle w:val="Heading2"/>
      </w:pPr>
      <w:r w:rsidRPr="00161A04">
        <w:t xml:space="preserve">Lessons from the </w:t>
      </w:r>
      <w:proofErr w:type="spellStart"/>
      <w:r w:rsidRPr="00161A04">
        <w:t>ByLock</w:t>
      </w:r>
      <w:proofErr w:type="spellEnd"/>
      <w:r w:rsidRPr="00161A04">
        <w:t xml:space="preserve"> Case: Good Data Practices</w:t>
      </w:r>
    </w:p>
    <w:p w14:paraId="5A0D07C9"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In this chapter, by critically engaging with</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prosecutions I detailed the material effects of metadata exploitation for political purposes outside of doctrinal analyses. This case study contributes to the metadata retention and lawful access debates, demonstrating both how existing capabilities of DCTs can be abused, and how extrajudicial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even illegal</w:t>
      </w:r>
      <w:r>
        <w:rPr>
          <w:rFonts w:ascii="Times New Roman" w:eastAsia="Calibri" w:hAnsi="Times New Roman" w:cs="Times New Roman"/>
          <w:sz w:val="24"/>
          <w:szCs w:val="24"/>
          <w:lang w:val="en-US"/>
        </w:rPr>
        <w:t xml:space="preserve"> - </w:t>
      </w:r>
      <w:r w:rsidRPr="00B94039">
        <w:rPr>
          <w:rFonts w:ascii="Times New Roman" w:eastAsia="Calibri" w:hAnsi="Times New Roman" w:cs="Times New Roman"/>
          <w:sz w:val="24"/>
          <w:szCs w:val="24"/>
          <w:lang w:val="en-US"/>
        </w:rPr>
        <w:t xml:space="preserve">investigative techniques can be introduced to oppress dissidents. Authoritarian governments like Turkey can and/or will take advantage of moral panics following political upheavals. ‘Bad data’ practices such as unlawful access and large-scale (meta)data retention and (meta)data manipulation can be instrumental to confer criminality on dissidents and political enemies, as observed in the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case. Although regimes frequently spy on and surveil dissidents and activists in normal times, moral panics certainly help regimes to justify unlawful, extrajudicial even illegal measures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criminalizing encryption usage</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xml:space="preserve">- that would have been harder to implement in normal times. </w:t>
      </w:r>
    </w:p>
    <w:p w14:paraId="40F07DF1"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Even though the scale and scope of mass arbitrary arrest of dissidents in</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w:t>
      </w:r>
      <w:proofErr w:type="spellStart"/>
      <w:r w:rsidRPr="00B94039">
        <w:rPr>
          <w:rFonts w:ascii="Times New Roman" w:eastAsia="Calibri" w:hAnsi="Times New Roman" w:cs="Times New Roman"/>
          <w:sz w:val="24"/>
          <w:szCs w:val="24"/>
          <w:lang w:val="en-US"/>
        </w:rPr>
        <w:t>ByLock</w:t>
      </w:r>
      <w:proofErr w:type="spellEnd"/>
      <w:r w:rsidRPr="00B94039">
        <w:rPr>
          <w:rFonts w:ascii="Times New Roman" w:eastAsia="Calibri" w:hAnsi="Times New Roman" w:cs="Times New Roman"/>
          <w:sz w:val="24"/>
          <w:szCs w:val="24"/>
          <w:lang w:val="en-US"/>
        </w:rPr>
        <w:t xml:space="preserve"> prosecutions are unprecedented, the threat of (meta)data abuse is not unique to dissidents in authoritarian regimes like Turkey. As metadata are being collected in ‘bulk’ globally, the very availability of metadata can be tempting for states to surveil dissidents, minority populations, activists, whistleblowers and government critics. On the other hand, although supranational human rights legislation and supranational judicial mechanisms have provided a degree of protection for </w:t>
      </w:r>
      <w:r>
        <w:rPr>
          <w:rFonts w:ascii="Times New Roman" w:eastAsia="Calibri" w:hAnsi="Times New Roman" w:cs="Times New Roman"/>
          <w:sz w:val="24"/>
          <w:szCs w:val="24"/>
          <w:lang w:val="en-US"/>
        </w:rPr>
        <w:t>human rights</w:t>
      </w:r>
      <w:r w:rsidRPr="00B94039">
        <w:rPr>
          <w:rFonts w:ascii="Times New Roman" w:eastAsia="Calibri" w:hAnsi="Times New Roman" w:cs="Times New Roman"/>
          <w:sz w:val="24"/>
          <w:szCs w:val="24"/>
          <w:lang w:val="en-US"/>
        </w:rPr>
        <w:t xml:space="preserve">, their effectiveness </w:t>
      </w:r>
      <w:r>
        <w:rPr>
          <w:rFonts w:ascii="Times New Roman" w:eastAsia="Calibri" w:hAnsi="Times New Roman" w:cs="Times New Roman"/>
          <w:sz w:val="24"/>
          <w:szCs w:val="24"/>
          <w:lang w:val="en-US"/>
        </w:rPr>
        <w:t>i</w:t>
      </w:r>
      <w:r w:rsidRPr="00B94039">
        <w:rPr>
          <w:rFonts w:ascii="Times New Roman" w:eastAsia="Calibri" w:hAnsi="Times New Roman" w:cs="Times New Roman"/>
          <w:sz w:val="24"/>
          <w:szCs w:val="24"/>
          <w:lang w:val="en-US"/>
        </w:rPr>
        <w:t>n the face of oppression is questionable. Despite being a signatory of ECHR and a member of ECtHR,</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Turkish regime has significantly breached</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ECHR without facing any significant repercussions since the failed coup attempt. The mass human rights breaches observed </w:t>
      </w:r>
      <w:r>
        <w:rPr>
          <w:rFonts w:ascii="Times New Roman" w:eastAsia="Calibri" w:hAnsi="Times New Roman" w:cs="Times New Roman"/>
          <w:sz w:val="24"/>
          <w:szCs w:val="24"/>
          <w:lang w:val="en-US"/>
        </w:rPr>
        <w:t xml:space="preserve">in </w:t>
      </w:r>
      <w:r w:rsidRPr="00B94039">
        <w:rPr>
          <w:rFonts w:ascii="Times New Roman" w:eastAsia="Calibri" w:hAnsi="Times New Roman" w:cs="Times New Roman"/>
          <w:sz w:val="24"/>
          <w:szCs w:val="24"/>
          <w:lang w:val="en-US"/>
        </w:rPr>
        <w:t xml:space="preserve">Turkey in the aftermath of the coup attempt call the credibility of supranational judicial mechanisms into </w:t>
      </w:r>
      <w:r w:rsidRPr="00B94039">
        <w:rPr>
          <w:rFonts w:ascii="Times New Roman" w:eastAsia="Calibri" w:hAnsi="Times New Roman" w:cs="Times New Roman"/>
          <w:sz w:val="24"/>
          <w:szCs w:val="24"/>
          <w:lang w:val="en-US"/>
        </w:rPr>
        <w:lastRenderedPageBreak/>
        <w:t xml:space="preserve">question. Regimes can simply ignore or suspend the supranational judicial legislation citing perceived or even imagined national security concerns, as observed in the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case. Given the possibility of the further rise of more authoritarian regimes in previously liberal countries, this case may be a grim precedent for things to come.</w:t>
      </w:r>
    </w:p>
    <w:p w14:paraId="651C4ACF" w14:textId="77777777" w:rsidR="00153F3A" w:rsidRPr="00B94039" w:rsidRDefault="00153F3A" w:rsidP="00153F3A">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case illustrates how critical ‘Good Data’ principles and the integrity of encrypted and secure communication channels are for ‘Good Democracy’. In the age of DCTs, in order to exercise fundamental human rights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the freedom of speech, the freedom of political thought, the freedom of religion, and the freedom of association</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strong and secure encrypted communications are essential. If we are not mindful and do not uphold, promote and defend ‘Good Data’ principles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whether they be more comprehensive and practical human rights legislation or technological solutions such as encrypted communications and anonymization tools</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xml:space="preserve">- globally, regimes can and will compromise DCTs for ‘bad’ purposes, and the consequences for dissidents and governments critics are severe, as observed in the </w:t>
      </w:r>
      <w:proofErr w:type="spellStart"/>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w:t>
      </w:r>
      <w:proofErr w:type="spellEnd"/>
      <w:r w:rsidRPr="00B94039">
        <w:rPr>
          <w:rFonts w:ascii="Times New Roman" w:eastAsia="Calibri" w:hAnsi="Times New Roman" w:cs="Times New Roman"/>
          <w:sz w:val="24"/>
          <w:szCs w:val="24"/>
          <w:lang w:val="en-US"/>
        </w:rPr>
        <w:t xml:space="preserve"> case. Therefore, we should remember that the ultimate promise of the ‘Good Data’ principles are not staying outside states</w:t>
      </w:r>
      <w:r>
        <w:rPr>
          <w:rFonts w:ascii="Times New Roman" w:eastAsia="Calibri" w:hAnsi="Times New Roman" w:cs="Times New Roman"/>
          <w:sz w:val="24"/>
          <w:szCs w:val="24"/>
          <w:lang w:val="en-US"/>
        </w:rPr>
        <w:t>’</w:t>
      </w:r>
      <w:r w:rsidRPr="00B94039">
        <w:rPr>
          <w:rFonts w:ascii="Times New Roman" w:eastAsia="Calibri" w:hAnsi="Times New Roman" w:cs="Times New Roman"/>
          <w:sz w:val="24"/>
          <w:szCs w:val="24"/>
          <w:lang w:val="en-US"/>
        </w:rPr>
        <w:t xml:space="preserve"> surveillance net</w:t>
      </w:r>
      <w:r>
        <w:rPr>
          <w:rFonts w:ascii="Times New Roman" w:eastAsia="Calibri" w:hAnsi="Times New Roman" w:cs="Times New Roman"/>
          <w:sz w:val="24"/>
          <w:szCs w:val="24"/>
          <w:lang w:val="en-US"/>
        </w:rPr>
        <w:t>s</w:t>
      </w:r>
      <w:r w:rsidRPr="00B94039">
        <w:rPr>
          <w:rFonts w:ascii="Times New Roman" w:eastAsia="Calibri" w:hAnsi="Times New Roman" w:cs="Times New Roman"/>
          <w:sz w:val="24"/>
          <w:szCs w:val="24"/>
          <w:lang w:val="en-US"/>
        </w:rPr>
        <w:t xml:space="preserve"> or communicat</w:t>
      </w:r>
      <w:r>
        <w:rPr>
          <w:rFonts w:ascii="Times New Roman" w:eastAsia="Calibri" w:hAnsi="Times New Roman" w:cs="Times New Roman"/>
          <w:sz w:val="24"/>
          <w:szCs w:val="24"/>
          <w:lang w:val="en-US"/>
        </w:rPr>
        <w:t>ing</w:t>
      </w:r>
      <w:r w:rsidRPr="00B94039">
        <w:rPr>
          <w:rFonts w:ascii="Times New Roman" w:eastAsia="Calibri" w:hAnsi="Times New Roman" w:cs="Times New Roman"/>
          <w:sz w:val="24"/>
          <w:szCs w:val="24"/>
          <w:lang w:val="en-US"/>
        </w:rPr>
        <w:t xml:space="preserve"> secretly; it is democracy</w:t>
      </w:r>
      <w:r>
        <w:rPr>
          <w:rFonts w:ascii="Times New Roman" w:eastAsia="Calibri" w:hAnsi="Times New Roman" w:cs="Times New Roman"/>
          <w:sz w:val="24"/>
          <w:szCs w:val="24"/>
          <w:lang w:val="en-US"/>
        </w:rPr>
        <w:t xml:space="preserve"> itself</w:t>
      </w:r>
      <w:r w:rsidRPr="00B94039">
        <w:rPr>
          <w:rFonts w:ascii="Times New Roman" w:eastAsia="Calibri" w:hAnsi="Times New Roman" w:cs="Times New Roman"/>
          <w:sz w:val="24"/>
          <w:szCs w:val="24"/>
          <w:lang w:val="en-US"/>
        </w:rPr>
        <w:t>.</w:t>
      </w:r>
    </w:p>
    <w:p w14:paraId="679B0328" w14:textId="3CAEEFC6" w:rsidR="00153F3A" w:rsidRPr="00360F6C" w:rsidRDefault="00153F3A" w:rsidP="00360F6C">
      <w:pPr>
        <w:pStyle w:val="Heading2"/>
        <w:rPr>
          <w:color w:val="auto"/>
          <w:sz w:val="26"/>
          <w:szCs w:val="26"/>
          <w:lang w:eastAsia="en-GB"/>
        </w:rPr>
      </w:pPr>
      <w:bookmarkStart w:id="2" w:name="_GoBack"/>
      <w:bookmarkEnd w:id="2"/>
      <w:r w:rsidRPr="00161A04">
        <w:t>Reference</w:t>
      </w:r>
      <w:r>
        <w:t>s</w:t>
      </w:r>
    </w:p>
    <w:p w14:paraId="40D4F211" w14:textId="369D85E5"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eastAsia="Calibri" w:hAnsi="Times New Roman" w:cs="Times New Roman"/>
          <w:color w:val="000000" w:themeColor="text1"/>
          <w:sz w:val="24"/>
          <w:szCs w:val="24"/>
          <w:lang w:val="en-US"/>
        </w:rPr>
        <w:fldChar w:fldCharType="begin" w:fldLock="1"/>
      </w:r>
      <w:r w:rsidRPr="00B94039">
        <w:rPr>
          <w:rFonts w:ascii="Times New Roman" w:eastAsia="Calibri" w:hAnsi="Times New Roman" w:cs="Times New Roman"/>
          <w:color w:val="000000" w:themeColor="text1"/>
          <w:sz w:val="24"/>
          <w:szCs w:val="24"/>
          <w:lang w:val="en-US"/>
        </w:rPr>
        <w:instrText xml:space="preserve">ADDIN Mendeley Bibliography CSL_BIBLIOGRAPHY </w:instrText>
      </w:r>
      <w:r w:rsidRPr="00B94039">
        <w:rPr>
          <w:rFonts w:ascii="Times New Roman" w:eastAsia="Calibri" w:hAnsi="Times New Roman" w:cs="Times New Roman"/>
          <w:color w:val="000000" w:themeColor="text1"/>
          <w:sz w:val="24"/>
          <w:szCs w:val="24"/>
          <w:lang w:val="en-US"/>
        </w:rPr>
        <w:fldChar w:fldCharType="separate"/>
      </w:r>
      <w:r w:rsidRPr="00B94039">
        <w:rPr>
          <w:rFonts w:ascii="Times New Roman" w:hAnsi="Times New Roman" w:cs="Times New Roman"/>
          <w:noProof/>
          <w:sz w:val="24"/>
          <w:szCs w:val="24"/>
          <w:lang w:val="en-US"/>
        </w:rPr>
        <w:t>Amnesty International. ‘BRIEFING: Prosecution Of 11 Human Rights Defenders’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https://www.amnesty.org/download/Documents/EUR4473292017ENGLISH.pdf.</w:t>
      </w:r>
    </w:p>
    <w:p w14:paraId="54266ADF"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4575C87" w14:textId="26C621BB"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‘Encryption. A Matter of Human Rights’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 http://www.amnestyusa.org/sites/default/files/encryption_-_a_matter_of_human_rights_-_pol_40-3682-2016.pdf.</w:t>
      </w:r>
    </w:p>
    <w:p w14:paraId="1A08CED7"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6858587" w14:textId="5EF3C1A8"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‘NO END IN SIGHT: Purged Public Sector Workers Denied a Future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https://www.amnesty.org/download/Documents/EUR4462722017ENGLISH.PDF.</w:t>
      </w:r>
    </w:p>
    <w:p w14:paraId="485922AC"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B6067C2" w14:textId="1E93F5C1"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Austin, Lisa M. ‘Lawful Illegality: What Snowden Has Taught Us About the Legal Infrastructure of the Surveillance State.’ </w:t>
      </w:r>
      <w:r w:rsidRPr="00B94039">
        <w:rPr>
          <w:rFonts w:ascii="Times New Roman" w:hAnsi="Times New Roman" w:cs="Times New Roman"/>
          <w:i/>
          <w:iCs/>
          <w:noProof/>
          <w:sz w:val="24"/>
          <w:szCs w:val="24"/>
          <w:lang w:val="en-US"/>
        </w:rPr>
        <w:t>S</w:t>
      </w:r>
      <w:r>
        <w:rPr>
          <w:rFonts w:ascii="Times New Roman" w:hAnsi="Times New Roman" w:cs="Times New Roman"/>
          <w:i/>
          <w:iCs/>
          <w:noProof/>
          <w:sz w:val="24"/>
          <w:szCs w:val="24"/>
          <w:lang w:val="en-US"/>
        </w:rPr>
        <w:t xml:space="preserve">SRN </w:t>
      </w:r>
      <w:r w:rsidRPr="00B94039">
        <w:rPr>
          <w:rFonts w:ascii="Times New Roman" w:hAnsi="Times New Roman" w:cs="Times New Roman"/>
          <w:noProof/>
          <w:sz w:val="24"/>
          <w:szCs w:val="24"/>
          <w:lang w:val="en-US"/>
        </w:rPr>
        <w:t>(2014): 1–25</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https://doi.org/10.2139/ssrn.2524653.</w:t>
      </w:r>
    </w:p>
    <w:p w14:paraId="2D47BBB7"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C793D8B" w14:textId="33F923B6"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Buono, Isabella, and Aaron Taylor. ‘</w:t>
      </w:r>
      <w:r>
        <w:rPr>
          <w:rFonts w:ascii="Times New Roman" w:hAnsi="Times New Roman" w:cs="Times New Roman"/>
          <w:noProof/>
          <w:sz w:val="24"/>
          <w:szCs w:val="24"/>
          <w:lang w:val="en-US"/>
        </w:rPr>
        <w:t>Mass Surveillance in the CJEU: Forming a European Consensus</w:t>
      </w:r>
      <w:r w:rsidRPr="00B94039">
        <w:rPr>
          <w:rFonts w:ascii="Times New Roman" w:hAnsi="Times New Roman" w:cs="Times New Roman"/>
          <w:noProof/>
          <w:sz w:val="24"/>
          <w:szCs w:val="24"/>
          <w:lang w:val="en-US"/>
        </w:rPr>
        <w: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The Cambridge Law Journal</w:t>
      </w:r>
      <w:r w:rsidRPr="00B94039">
        <w:rPr>
          <w:rFonts w:ascii="Times New Roman" w:hAnsi="Times New Roman" w:cs="Times New Roman"/>
          <w:noProof/>
          <w:sz w:val="24"/>
          <w:szCs w:val="24"/>
          <w:lang w:val="en-US"/>
        </w:rPr>
        <w:t xml:space="preserve"> 76</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2017): 250–53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https://doi.org/doi:10.1017/S0008197317000526.</w:t>
      </w:r>
    </w:p>
    <w:p w14:paraId="77DBDAD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23ABC96" w14:textId="4867BFF3"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Clegg, William, and Simon Baker. ‘Opinion on the Legality of the Actions of the Turkish State in the Aftermath of the Failed Coup Attempt in 2016 and the Reliance on Use of the Bylock App as Evidence of Membership of a Terrorist Organisation.’ London, 2017. http://2oq5cg28288838bmfu32g94v-wpengine.netdna-ssl.com/wp-content/uploads/2017/09/Redacted-Opinion.pdf.</w:t>
      </w:r>
    </w:p>
    <w:p w14:paraId="4F3BB6B3"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2619E15" w14:textId="40DCE0AC"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CNBC. ‘Facebook-Cambridge Analytica: A Timeline of the Data Hijacking Scandal,’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https://www.cnbc.com/2018/04/10/facebook-cambridge-analytica-a-timeline-of-the-data-hijacking-scandal.html.</w:t>
      </w:r>
    </w:p>
    <w:p w14:paraId="74A3F2AF" w14:textId="77777777" w:rsidR="005B6E0C"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5FA726E" w14:textId="50A2195C"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Cockburn</w:t>
      </w:r>
      <w:r>
        <w:rPr>
          <w:rFonts w:ascii="Times New Roman" w:hAnsi="Times New Roman" w:cs="Times New Roman"/>
          <w:noProof/>
          <w:sz w:val="24"/>
          <w:szCs w:val="24"/>
          <w:lang w:val="en-US"/>
        </w:rPr>
        <w:t>, Harry.</w:t>
      </w:r>
      <w:r w:rsidRPr="00B94039">
        <w:rPr>
          <w:rFonts w:ascii="Times New Roman" w:hAnsi="Times New Roman" w:cs="Times New Roman"/>
          <w:noProof/>
          <w:sz w:val="24"/>
          <w:szCs w:val="24"/>
          <w:lang w:val="en-US"/>
        </w:rPr>
        <w:t xml:space="preserve"> ‘Turkey Coup: 2,700 Judges Removed from Duty Following Failed Overthrow Attempt’ </w:t>
      </w:r>
      <w:r w:rsidRPr="00187522">
        <w:rPr>
          <w:rFonts w:ascii="Times New Roman" w:hAnsi="Times New Roman" w:cs="Times New Roman"/>
          <w:i/>
          <w:noProof/>
          <w:sz w:val="24"/>
          <w:szCs w:val="24"/>
          <w:lang w:val="en-US"/>
        </w:rPr>
        <w:t>The Independent</w:t>
      </w:r>
      <w:r w:rsidRPr="00B94039">
        <w:rPr>
          <w:rFonts w:ascii="Times New Roman" w:hAnsi="Times New Roman" w:cs="Times New Roman"/>
          <w:noProof/>
          <w:sz w:val="24"/>
          <w:szCs w:val="24"/>
          <w:lang w:val="en-US"/>
        </w:rPr>
        <w:t xml:space="preserve">, 2016. </w:t>
      </w:r>
      <w:r w:rsidRPr="00B94039">
        <w:rPr>
          <w:rFonts w:ascii="Times New Roman" w:hAnsi="Times New Roman" w:cs="Times New Roman"/>
          <w:noProof/>
          <w:sz w:val="24"/>
          <w:szCs w:val="24"/>
          <w:lang w:val="en-US"/>
        </w:rPr>
        <w:lastRenderedPageBreak/>
        <w:t>https://www.independent.co.uk/news/world/europe/turkey-coup-latest-news-erdogan-istanbul-judges-removed-from-duty-failed-government-overthrow-a7140661.html.</w:t>
      </w:r>
    </w:p>
    <w:p w14:paraId="75B3CCF0"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404C7E5" w14:textId="0DCA1052"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Cohen, Stanley. </w:t>
      </w:r>
      <w:r w:rsidRPr="00B94039">
        <w:rPr>
          <w:rFonts w:ascii="Times New Roman" w:hAnsi="Times New Roman" w:cs="Times New Roman"/>
          <w:i/>
          <w:iCs/>
          <w:noProof/>
          <w:sz w:val="24"/>
          <w:szCs w:val="24"/>
          <w:lang w:val="en-US"/>
        </w:rPr>
        <w:t>Folk Devils and Moral Panics: The Creation of the Mods and Rockers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third</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edition, </w:t>
      </w:r>
      <w:r w:rsidRPr="00B94039">
        <w:rPr>
          <w:rFonts w:ascii="Times New Roman" w:hAnsi="Times New Roman" w:cs="Times New Roman"/>
          <w:noProof/>
          <w:sz w:val="24"/>
          <w:szCs w:val="24"/>
          <w:lang w:val="en-US"/>
        </w:rPr>
        <w:t>London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New York: Routledge, 2002.</w:t>
      </w:r>
    </w:p>
    <w:p w14:paraId="1BE0DA7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6755F2D" w14:textId="1C29649E"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Dencik, Lina, Arne Hintz, and Jonathan Cable. ‘Towards Data Justice? The Ambiguity of Anti-Surveillance Resistance in Political Activism’</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Big Data &amp; Society</w:t>
      </w:r>
      <w:r w:rsidRPr="00B94039">
        <w:rPr>
          <w:rFonts w:ascii="Times New Roman" w:hAnsi="Times New Roman" w:cs="Times New Roman"/>
          <w:noProof/>
          <w:sz w:val="24"/>
          <w:szCs w:val="24"/>
          <w:lang w:val="en-US"/>
        </w:rPr>
        <w:t xml:space="preserve"> 3</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2016)</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https://doi.org/10.1177/2053951716679678.</w:t>
      </w:r>
    </w:p>
    <w:p w14:paraId="7B05B805"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FD12A06" w14:textId="2571819E"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Dumovich, Liza. ‘Pious Creativity: Negotiating Hizmet in South America after July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Politics, Religion and Ideology</w:t>
      </w:r>
      <w:r w:rsidRPr="00B94039">
        <w:rPr>
          <w:rFonts w:ascii="Times New Roman" w:hAnsi="Times New Roman" w:cs="Times New Roman"/>
          <w:noProof/>
          <w:sz w:val="24"/>
          <w:szCs w:val="24"/>
          <w:lang w:val="en-US"/>
        </w:rPr>
        <w:t xml:space="preserve"> 19</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2018): 81–94</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https://doi.org/10.1080/21567689.2018.1453267.</w:t>
      </w:r>
    </w:p>
    <w:p w14:paraId="0E86502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645F881" w14:textId="51BDEC7E"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Emre Celik. ‘Fethullah Gülen: ‘I Call For An International Investigation Into The Failed Putsch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4C3F9E">
        <w:rPr>
          <w:rFonts w:ascii="Times New Roman" w:hAnsi="Times New Roman" w:cs="Times New Roman"/>
          <w:i/>
          <w:noProof/>
          <w:sz w:val="24"/>
          <w:szCs w:val="24"/>
          <w:lang w:val="en-US"/>
        </w:rPr>
        <w:t>Huffington Post</w:t>
      </w:r>
      <w:r w:rsidRPr="00B94039">
        <w:rPr>
          <w:rFonts w:ascii="Times New Roman" w:hAnsi="Times New Roman" w:cs="Times New Roman"/>
          <w:noProof/>
          <w:sz w:val="24"/>
          <w:szCs w:val="24"/>
          <w:lang w:val="en-US"/>
        </w:rPr>
        <w:t>, 2016. https://www.huffingtonpost.com/emre-celik/fethullah-guelen-i-call-f_b_11480974.html.</w:t>
      </w:r>
    </w:p>
    <w:p w14:paraId="7E266F11"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55B3BEA" w14:textId="237FE274"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EN.DELFI. ‘Lithuania Didn’t Provide Turkey with ByLock User Data - Lithuania - m.En.Delfi.Lt,’ 2017</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http://m.en.delfi.lt/lithuania/article.php?id=76099973.</w:t>
      </w:r>
    </w:p>
    <w:p w14:paraId="7C1F389B"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8164BB0" w14:textId="54CB828D"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European Union. ‘Charter of Fundamental Rights of the European Union,’ 2012, 391–407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DOI: </w:t>
      </w:r>
      <w:r w:rsidRPr="00B94039">
        <w:rPr>
          <w:rFonts w:ascii="Times New Roman" w:hAnsi="Times New Roman" w:cs="Times New Roman"/>
          <w:noProof/>
          <w:sz w:val="24"/>
          <w:szCs w:val="24"/>
          <w:lang w:val="en-US"/>
        </w:rPr>
        <w:t>https://doi.org/10.1108/03090550310770974.</w:t>
      </w:r>
    </w:p>
    <w:p w14:paraId="1E5C38F6"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A6263F2" w14:textId="5301F1C2"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Europol. ‘IOCTA 2016: Internet Organised Crime Threat Assessment’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The Hague,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DOI: </w:t>
      </w:r>
      <w:r w:rsidRPr="00B94039">
        <w:rPr>
          <w:rFonts w:ascii="Times New Roman" w:hAnsi="Times New Roman" w:cs="Times New Roman"/>
          <w:noProof/>
          <w:sz w:val="24"/>
          <w:szCs w:val="24"/>
          <w:lang w:val="en-US"/>
        </w:rPr>
        <w:t>https://doi.org/10.2813/275589.</w:t>
      </w:r>
    </w:p>
    <w:p w14:paraId="0CA488C1"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BA11FEC" w14:textId="1F1F0F75"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Ferdinand, Peter. ‘The Internet, Democracy and Democratization’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Democratization</w:t>
      </w:r>
      <w:r w:rsidRPr="00B94039">
        <w:rPr>
          <w:rFonts w:ascii="Times New Roman" w:hAnsi="Times New Roman" w:cs="Times New Roman"/>
          <w:noProof/>
          <w:sz w:val="24"/>
          <w:szCs w:val="24"/>
          <w:lang w:val="en-US"/>
        </w:rPr>
        <w:t xml:space="preserve"> 7</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2000): 1–17</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https://doi.org/10.1080/13510340008403642.</w:t>
      </w:r>
    </w:p>
    <w:p w14:paraId="05A0CFF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F524E84" w14:textId="05566BF5"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nl-NL"/>
        </w:rPr>
      </w:pPr>
      <w:r w:rsidRPr="00B94039">
        <w:rPr>
          <w:rFonts w:ascii="Times New Roman" w:hAnsi="Times New Roman" w:cs="Times New Roman"/>
          <w:noProof/>
          <w:sz w:val="24"/>
          <w:szCs w:val="24"/>
          <w:lang w:val="en-US"/>
        </w:rPr>
        <w:t xml:space="preserve">Fox-IT. ‘Expert Witness Report on ByLock Investigation.’ </w:t>
      </w:r>
      <w:r w:rsidRPr="00CC0697">
        <w:rPr>
          <w:rFonts w:ascii="Times New Roman" w:hAnsi="Times New Roman" w:cs="Times New Roman"/>
          <w:noProof/>
          <w:sz w:val="24"/>
          <w:szCs w:val="24"/>
          <w:lang w:val="nl-NL"/>
        </w:rPr>
        <w:t>Delft, 2017, https://foxitsecurity.files.wordpress.com/2017/09/bylock-fox-it-expert-witness-report-english.pdf.</w:t>
      </w:r>
    </w:p>
    <w:p w14:paraId="5F783ED7" w14:textId="77777777" w:rsidR="005B6E0C" w:rsidRPr="00CC0697"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nl-NL"/>
        </w:rPr>
      </w:pPr>
    </w:p>
    <w:p w14:paraId="539AF71E" w14:textId="2CFB4636"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Freedom House. ‘Freedom on the Net 2017 Report,’ 2017. https://freedomhouse.org/sites/default/files/FOTN 2017_Turkey.pdf.</w:t>
      </w:r>
    </w:p>
    <w:p w14:paraId="3EC152B8"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7B071994" w14:textId="198F332A"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Gokce, Yasir. ‘The Bylock Fallacy: An In-Depth Analysis of the Bylock Investigations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Digital Investigation</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March</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2018): 1–11</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https://doi.org/10.1016/j.diin.2018.06.002.</w:t>
      </w:r>
    </w:p>
    <w:p w14:paraId="25AA8F5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A6D413E" w14:textId="1B493E6B"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Goode, Erich, and Nachman Ben-Yehuda. </w:t>
      </w:r>
      <w:r w:rsidRPr="00B94039">
        <w:rPr>
          <w:rFonts w:ascii="Times New Roman" w:hAnsi="Times New Roman" w:cs="Times New Roman"/>
          <w:i/>
          <w:iCs/>
          <w:noProof/>
          <w:sz w:val="24"/>
          <w:szCs w:val="24"/>
          <w:lang w:val="en-US"/>
        </w:rPr>
        <w:t>Moral Panics The Social Construction of Deviance</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seco</w:t>
      </w:r>
      <w:r w:rsidRPr="00B94039">
        <w:rPr>
          <w:rFonts w:ascii="Times New Roman" w:hAnsi="Times New Roman" w:cs="Times New Roman"/>
          <w:noProof/>
          <w:sz w:val="24"/>
          <w:szCs w:val="24"/>
          <w:lang w:val="en-US"/>
        </w:rPr>
        <w:t xml:space="preserve">nd </w:t>
      </w:r>
      <w:r>
        <w:rPr>
          <w:rFonts w:ascii="Times New Roman" w:hAnsi="Times New Roman" w:cs="Times New Roman"/>
          <w:noProof/>
          <w:sz w:val="24"/>
          <w:szCs w:val="24"/>
          <w:lang w:val="en-US"/>
        </w:rPr>
        <w:t>e</w:t>
      </w:r>
      <w:r w:rsidRPr="00B94039">
        <w:rPr>
          <w:rFonts w:ascii="Times New Roman" w:hAnsi="Times New Roman" w:cs="Times New Roman"/>
          <w:noProof/>
          <w:sz w:val="24"/>
          <w:szCs w:val="24"/>
          <w:lang w:val="en-US"/>
        </w:rPr>
        <w:t>d</w:t>
      </w:r>
      <w:r>
        <w:rPr>
          <w:rFonts w:ascii="Times New Roman" w:hAnsi="Times New Roman" w:cs="Times New Roman"/>
          <w:noProof/>
          <w:sz w:val="24"/>
          <w:szCs w:val="24"/>
          <w:lang w:val="en-US"/>
        </w:rPr>
        <w:t>ition,</w:t>
      </w:r>
      <w:r w:rsidRPr="00B94039">
        <w:rPr>
          <w:rFonts w:ascii="Times New Roman" w:hAnsi="Times New Roman" w:cs="Times New Roman"/>
          <w:noProof/>
          <w:sz w:val="24"/>
          <w:szCs w:val="24"/>
          <w:lang w:val="en-US"/>
        </w:rPr>
        <w:t xml:space="preserve"> Chichester: Wiley-Blackwell, 2009.</w:t>
      </w:r>
    </w:p>
    <w:p w14:paraId="63EC4B7C"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C6CD8BE" w14:textId="7B18D239"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Gourlay, William. ‘Oppression, Solidarity, Resistance: The Forging of Kurdish Identity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Ethnopolitics</w:t>
      </w:r>
      <w:r w:rsidRPr="00B94039">
        <w:rPr>
          <w:rFonts w:ascii="Times New Roman" w:hAnsi="Times New Roman" w:cs="Times New Roman"/>
          <w:noProof/>
          <w:sz w:val="24"/>
          <w:szCs w:val="24"/>
          <w:lang w:val="en-US"/>
        </w:rPr>
        <w:t xml:space="preserve"> 17</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130–46</w:t>
      </w:r>
      <w:r>
        <w:rPr>
          <w:rFonts w:ascii="Times New Roman" w:hAnsi="Times New Roman" w:cs="Times New Roman"/>
          <w:noProof/>
          <w:sz w:val="24"/>
          <w:szCs w:val="24"/>
          <w:lang w:val="en-US"/>
        </w:rPr>
        <w:t xml:space="preserve">, DOI: </w:t>
      </w:r>
      <w:r w:rsidRPr="00B94039">
        <w:rPr>
          <w:rFonts w:ascii="Times New Roman" w:hAnsi="Times New Roman" w:cs="Times New Roman"/>
          <w:noProof/>
          <w:sz w:val="24"/>
          <w:szCs w:val="24"/>
          <w:lang w:val="en-US"/>
        </w:rPr>
        <w:t>https://doi.org/10.1080/17449057.2017.1339425.</w:t>
      </w:r>
    </w:p>
    <w:p w14:paraId="0245D06B"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6C3B61B" w14:textId="4B594827"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Greenwald, G, and R Gallagher. ‘Snowden Documents Reveal Covert Surveillance and Pressure Tactics Aimed at WikiLeaks and Its Supporters’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4C3F9E">
        <w:rPr>
          <w:rFonts w:ascii="Times New Roman" w:hAnsi="Times New Roman" w:cs="Times New Roman"/>
          <w:i/>
          <w:noProof/>
          <w:sz w:val="24"/>
          <w:szCs w:val="24"/>
          <w:lang w:val="en-US"/>
        </w:rPr>
        <w:t>The Intercept</w:t>
      </w:r>
      <w:r w:rsidRPr="00B94039">
        <w:rPr>
          <w:rFonts w:ascii="Times New Roman" w:hAnsi="Times New Roman" w:cs="Times New Roman"/>
          <w:noProof/>
          <w:sz w:val="24"/>
          <w:szCs w:val="24"/>
          <w:lang w:val="en-US"/>
        </w:rPr>
        <w:t>, 2014</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lastRenderedPageBreak/>
        <w:t>https://theintercept.com/2014/02/18/snowden-docs-reveal-covert-surveillance-and-pressure-tactics-aimed-at-wikileaks-and-its-supporters/.</w:t>
      </w:r>
    </w:p>
    <w:p w14:paraId="3B31CB40"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7D2E15C7" w14:textId="004F20E2"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Haber7.com. ‘Darbeciler ByLock’tan Bu Mesajı Gönderdi! [English: Putchists Sent This Message on Bylock]’</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http://www.haber7.com/guncel/haber/2144267-darbeciler-bylocktan-bu-mesaji-gonderdi.</w:t>
      </w:r>
    </w:p>
    <w:p w14:paraId="76AD2E47"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C0669AD" w14:textId="6CD55220"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Human Rights Watch. ‘A BLANK CHECK: Turkey’s Post-Coup Suspension of Safeguards Against Torture,’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https://www.hrw.org/sites/default/files/report_pdf/turkey1016_web.pdf.</w:t>
      </w:r>
    </w:p>
    <w:p w14:paraId="4EBC9946"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8A29BF6" w14:textId="433EB3F6" w:rsidR="005B6E0C" w:rsidRDefault="00153F3A" w:rsidP="005B6E0C">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King, R D, and G M Sutton. ‘High Times for Hate Crime: Explaining the Temporal Clustering of Hate Motivated Offending</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Criminology</w:t>
      </w:r>
      <w:r w:rsidRPr="00B94039">
        <w:rPr>
          <w:rFonts w:ascii="Times New Roman" w:hAnsi="Times New Roman" w:cs="Times New Roman"/>
          <w:noProof/>
          <w:sz w:val="24"/>
          <w:szCs w:val="24"/>
          <w:lang w:val="en-US"/>
        </w:rPr>
        <w:t xml:space="preserve"> 51 (2013)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https://doi.org/10.1111/1745-9125.12022.</w:t>
      </w:r>
    </w:p>
    <w:p w14:paraId="578AC1F4" w14:textId="77777777" w:rsidR="005B6E0C" w:rsidRPr="00B94039" w:rsidRDefault="005B6E0C" w:rsidP="005B6E0C">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2E2CEF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Laura Pitel. ‘Erdogan’s Informers: Turkey’s Descent into Fear and Betrayal.’ </w:t>
      </w:r>
      <w:r w:rsidRPr="00F03D39">
        <w:rPr>
          <w:rFonts w:ascii="Times New Roman" w:hAnsi="Times New Roman" w:cs="Times New Roman"/>
          <w:i/>
          <w:noProof/>
          <w:sz w:val="24"/>
          <w:szCs w:val="24"/>
          <w:lang w:val="en-US"/>
        </w:rPr>
        <w:t>The Financial Times</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https://www.ft.com/content/6af8aaea-0906-11e7-97d1-5e720a26771b.</w:t>
      </w:r>
    </w:p>
    <w:p w14:paraId="722B8A63" w14:textId="013F8277"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Lotan, Gilad, Erhardt Graeff, Mike Ananny, Devin Gaffney, Ian Pearce and </w:t>
      </w:r>
      <w:r>
        <w:rPr>
          <w:rFonts w:ascii="Times New Roman" w:hAnsi="Times New Roman" w:cs="Times New Roman"/>
          <w:noProof/>
          <w:sz w:val="24"/>
          <w:szCs w:val="24"/>
          <w:lang w:val="en-US"/>
        </w:rPr>
        <w:t>d</w:t>
      </w:r>
      <w:r w:rsidRPr="00B94039">
        <w:rPr>
          <w:rFonts w:ascii="Times New Roman" w:hAnsi="Times New Roman" w:cs="Times New Roman"/>
          <w:noProof/>
          <w:sz w:val="24"/>
          <w:szCs w:val="24"/>
          <w:lang w:val="en-US"/>
        </w:rPr>
        <w:t xml:space="preserve">anah </w:t>
      </w:r>
      <w:r>
        <w:rPr>
          <w:rFonts w:ascii="Times New Roman" w:hAnsi="Times New Roman" w:cs="Times New Roman"/>
          <w:noProof/>
          <w:sz w:val="24"/>
          <w:szCs w:val="24"/>
          <w:lang w:val="en-US"/>
        </w:rPr>
        <w:t>b</w:t>
      </w:r>
      <w:r w:rsidRPr="00B94039">
        <w:rPr>
          <w:rFonts w:ascii="Times New Roman" w:hAnsi="Times New Roman" w:cs="Times New Roman"/>
          <w:noProof/>
          <w:sz w:val="24"/>
          <w:szCs w:val="24"/>
          <w:lang w:val="en-US"/>
        </w:rPr>
        <w:t>oyd. ‘The Arab Spring| The Revolutions Were Tweeted: Information Flows during the 2011 Tunisian and Egyptian Revolutions’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Journal of Communication</w:t>
      </w:r>
      <w:r w:rsidRPr="00B94039">
        <w:rPr>
          <w:rFonts w:ascii="Times New Roman" w:hAnsi="Times New Roman" w:cs="Times New Roman"/>
          <w:noProof/>
          <w:sz w:val="24"/>
          <w:szCs w:val="24"/>
          <w:lang w:val="en-US"/>
        </w:rPr>
        <w:t xml:space="preserve"> 5 (2011): 31.</w:t>
      </w:r>
    </w:p>
    <w:p w14:paraId="7C7CB40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B68E6F0" w14:textId="571304C6"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Lyon, D. </w:t>
      </w:r>
      <w:r w:rsidRPr="00B94039">
        <w:rPr>
          <w:rFonts w:ascii="Times New Roman" w:hAnsi="Times New Roman" w:cs="Times New Roman"/>
          <w:i/>
          <w:iCs/>
          <w:noProof/>
          <w:sz w:val="24"/>
          <w:szCs w:val="24"/>
          <w:lang w:val="en-US"/>
        </w:rPr>
        <w:t>Surveillance After Snowden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Cambridg</w:t>
      </w:r>
      <w:r>
        <w:rPr>
          <w:rFonts w:ascii="Times New Roman" w:hAnsi="Times New Roman" w:cs="Times New Roman"/>
          <w:noProof/>
          <w:sz w:val="24"/>
          <w:szCs w:val="24"/>
          <w:lang w:val="en-US"/>
        </w:rPr>
        <w:t>e</w:t>
      </w:r>
      <w:r w:rsidRPr="00B94039">
        <w:rPr>
          <w:rFonts w:ascii="Times New Roman" w:hAnsi="Times New Roman" w:cs="Times New Roman"/>
          <w:noProof/>
          <w:sz w:val="24"/>
          <w:szCs w:val="24"/>
          <w:lang w:val="en-US"/>
        </w:rPr>
        <w:t>: Polity Press, 2015.</w:t>
      </w:r>
    </w:p>
    <w:p w14:paraId="0FAB06F6"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270391D" w14:textId="2F36B57A"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Mackey, Aaron, Seth Schoen and Cindy Cohn. ‘Unreliable Informants: IP Addresses, Digital Tips and Police Raids. How Police and Courts Are Misusing Unreliable IP Address Information and What They Can Do to Better Verify Electronic Tips’</w:t>
      </w:r>
      <w:r>
        <w:rPr>
          <w:rFonts w:ascii="Times New Roman" w:hAnsi="Times New Roman" w:cs="Times New Roman"/>
          <w:noProof/>
          <w:sz w:val="24"/>
          <w:szCs w:val="24"/>
          <w:lang w:val="en-US"/>
        </w:rPr>
        <w:t xml:space="preserve">, </w:t>
      </w:r>
      <w:r w:rsidRPr="00F03D39">
        <w:rPr>
          <w:rFonts w:ascii="Times New Roman" w:hAnsi="Times New Roman" w:cs="Times New Roman"/>
          <w:i/>
          <w:noProof/>
          <w:sz w:val="24"/>
          <w:szCs w:val="24"/>
          <w:lang w:val="en-US"/>
        </w:rPr>
        <w:t>Electronic Frontier Foundation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https://www.eff.org/files/2016/09/22/2016.09.20_final_formatted_ip_address_white_paper.pdf.</w:t>
      </w:r>
    </w:p>
    <w:p w14:paraId="60DCE64E"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64BE2A8" w14:textId="157C2823"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Mann, Monique, Angela Daly, Michael Wilson and Nicolas Suzor. ‘The Limits of (Digital) Constitutionalism: Exploring the Privacy-Security (Im)Balance in Australia’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Communication Gazette</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in press, </w:t>
      </w:r>
      <w:r w:rsidRPr="00B94039">
        <w:rPr>
          <w:rFonts w:ascii="Times New Roman" w:hAnsi="Times New Roman" w:cs="Times New Roman"/>
          <w:noProof/>
          <w:sz w:val="24"/>
          <w:szCs w:val="24"/>
          <w:lang w:val="en-US"/>
        </w:rPr>
        <w:t xml:space="preserve">2018): </w:t>
      </w:r>
      <w:r>
        <w:rPr>
          <w:rFonts w:ascii="Times New Roman" w:hAnsi="Times New Roman" w:cs="Times New Roman"/>
          <w:noProof/>
          <w:sz w:val="24"/>
          <w:szCs w:val="24"/>
          <w:lang w:val="en-US"/>
        </w:rPr>
        <w:t>DOI:</w:t>
      </w:r>
      <w:r w:rsidRPr="00B94039">
        <w:rPr>
          <w:rFonts w:ascii="Times New Roman" w:hAnsi="Times New Roman" w:cs="Times New Roman"/>
          <w:noProof/>
          <w:sz w:val="24"/>
          <w:szCs w:val="24"/>
          <w:lang w:val="en-US"/>
        </w:rPr>
        <w:t xml:space="preserve"> https://doi.org/10.1177/1748048518757141.</w:t>
      </w:r>
    </w:p>
    <w:p w14:paraId="571C8C7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84307B2" w14:textId="7D45DBEA"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Marc Pierini. ‘Turkey’s Gift From God’ </w:t>
      </w:r>
      <w:r w:rsidRPr="00F03D39">
        <w:rPr>
          <w:rFonts w:ascii="Times New Roman" w:hAnsi="Times New Roman" w:cs="Times New Roman"/>
          <w:i/>
          <w:noProof/>
          <w:sz w:val="24"/>
          <w:szCs w:val="24"/>
          <w:lang w:val="en-US"/>
        </w:rPr>
        <w:t>Carnegie Europe</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http://carnegieeurope.eu/strategiceurope/?fa=67826.</w:t>
      </w:r>
    </w:p>
    <w:p w14:paraId="7C1297AA"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E8B0823" w14:textId="7051581B"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Michaelsen, Marcus. ‘Exit and Voice in a Digital Age: Iran’s Exiled Activists and the Authoritarian State’</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Globalizations</w:t>
      </w:r>
      <w:r w:rsidRPr="00B94039">
        <w:rPr>
          <w:rFonts w:ascii="Times New Roman" w:hAnsi="Times New Roman" w:cs="Times New Roman"/>
          <w:noProof/>
          <w:sz w:val="24"/>
          <w:szCs w:val="24"/>
          <w:lang w:val="en-US"/>
        </w:rPr>
        <w:t xml:space="preserve"> 15</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248–64</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https://doi.org/10.1080/14747731.2016.1263078.</w:t>
      </w:r>
    </w:p>
    <w:p w14:paraId="7BADEDAE"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6C403B4" w14:textId="5A841F60"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Milanovic, M. ‘ECtHR Judgment in Big Brother Watch v. UK.’ EJIL:Talk!,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https://www.ejiltalk.org/ecthr-judgment-in-big-brother-watch-v-uk/.</w:t>
      </w:r>
    </w:p>
    <w:p w14:paraId="19B486C3"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78CED3D3" w14:textId="3DA294FF"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Ni Loideain, Nora. ‘EU Law and Mass Internet Metadata Surveillance in the Post-Snowden Era’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Media and Communication</w:t>
      </w:r>
      <w:r w:rsidRPr="00B94039">
        <w:rPr>
          <w:rFonts w:ascii="Times New Roman" w:hAnsi="Times New Roman" w:cs="Times New Roman"/>
          <w:noProof/>
          <w:sz w:val="24"/>
          <w:szCs w:val="24"/>
          <w:lang w:val="en-US"/>
        </w:rPr>
        <w:t xml:space="preserve"> 3</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2015): 53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https://doi.org/10.17645/mac.v3i2.297.</w:t>
      </w:r>
    </w:p>
    <w:p w14:paraId="213AD048"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1A131C6" w14:textId="6855253B"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lastRenderedPageBreak/>
        <w:t>Nieminen, Hannu. ‘Digital Divide and beyond: What Do We Know of Information and Communications Technology’s Long-Term Social Effects? Some Uncomfortable Questions’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European Journal of Communication</w:t>
      </w:r>
      <w:r w:rsidRPr="00B94039">
        <w:rPr>
          <w:rFonts w:ascii="Times New Roman" w:hAnsi="Times New Roman" w:cs="Times New Roman"/>
          <w:noProof/>
          <w:sz w:val="24"/>
          <w:szCs w:val="24"/>
          <w:lang w:val="en-US"/>
        </w:rPr>
        <w:t xml:space="preserve"> 31</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2016): 19–32</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https://doi.org/10.1177/0267323115614198.</w:t>
      </w:r>
    </w:p>
    <w:p w14:paraId="258248CA"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FFF56F8" w14:textId="122F26A2"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Nugraha, Ignatius Yordan. ‘Human Rights Derogation during Coup Situations’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Journal of Human Rights</w:t>
      </w:r>
      <w:r w:rsidRPr="00B94039">
        <w:rPr>
          <w:rFonts w:ascii="Times New Roman" w:hAnsi="Times New Roman" w:cs="Times New Roman"/>
          <w:noProof/>
          <w:sz w:val="24"/>
          <w:szCs w:val="24"/>
          <w:lang w:val="en-US"/>
        </w:rPr>
        <w:t xml:space="preserve"> 22</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194–206</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https://doi.org/10.1080/13642987.2017.1359551.</w:t>
      </w:r>
    </w:p>
    <w:p w14:paraId="35E9BFA3"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1B819FF" w14:textId="63699F30"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Önderoglu, Erol. ‘Turkey: State of Emergency State of Arbitrary’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Reporters Without Borders</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September</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2016): 15</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https://rsf.org/sites/default/files/turquie.etatdurgence.eng_.def_.pdf.</w:t>
      </w:r>
    </w:p>
    <w:p w14:paraId="660CDF82"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ECA246E" w14:textId="16E76DB9"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Privacy International. ‘Encryption At The Centre Of Mass Arrests : One Year On From Turkey’s Failed Coup.’ </w:t>
      </w:r>
      <w:r w:rsidRPr="00F03D39">
        <w:rPr>
          <w:rFonts w:ascii="Times New Roman" w:hAnsi="Times New Roman" w:cs="Times New Roman"/>
          <w:i/>
          <w:noProof/>
          <w:sz w:val="24"/>
          <w:szCs w:val="24"/>
          <w:lang w:val="en-US"/>
        </w:rPr>
        <w:t>Privacy International</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https://medium.com/@privacyint/encryption-at-the-centre-of-mass-arrests-one-year-on-from-turkeys-failed-coup-e6ecd0ef77c9.</w:t>
      </w:r>
    </w:p>
    <w:p w14:paraId="4769107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BE44CCD" w14:textId="24A9C9A0"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‘Press Release: UK Intelligence Agency Admits Unlawfully Spying on Privacy International | Privacy International,’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https://privacyinternational.org/press-release/2283/press-release-uk-intelligence-agency-admits-unlawfully-spying-privacy.</w:t>
      </w:r>
    </w:p>
    <w:p w14:paraId="20A8C68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0634132" w14:textId="05D52D38"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Raley, R. ‘Dataveillance and Countervailance’</w:t>
      </w:r>
      <w:r>
        <w:rPr>
          <w:rFonts w:ascii="Times New Roman" w:hAnsi="Times New Roman" w:cs="Times New Roman"/>
          <w:noProof/>
          <w:sz w:val="24"/>
          <w:szCs w:val="24"/>
          <w:lang w:val="en-US"/>
        </w:rPr>
        <w:t xml:space="preserve"> in L Gitelman,</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Raw Data’ Is an Oxymoron</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Cambridge, MA: MIT Press, 2013.</w:t>
      </w:r>
    </w:p>
    <w:p w14:paraId="5E3480B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AC8E425" w14:textId="1F3A5E8C"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Reporters Without Borders. ‘Journalists in New Wave of Arrests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https://rsf.org/en/news/journalists-new-wave-arrests-turkey.</w:t>
      </w:r>
    </w:p>
    <w:p w14:paraId="1D49DC9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17E53623" w14:textId="359FEAB0"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Richter, Philipp, Florian Wohlfart, Narseo Vallina-</w:t>
      </w:r>
      <w:r>
        <w:rPr>
          <w:rFonts w:ascii="Times New Roman" w:hAnsi="Times New Roman" w:cs="Times New Roman"/>
          <w:noProof/>
          <w:sz w:val="24"/>
          <w:szCs w:val="24"/>
          <w:lang w:val="en-US"/>
        </w:rPr>
        <w:t>R</w:t>
      </w:r>
      <w:r w:rsidRPr="00B94039">
        <w:rPr>
          <w:rFonts w:ascii="Times New Roman" w:hAnsi="Times New Roman" w:cs="Times New Roman"/>
          <w:noProof/>
          <w:sz w:val="24"/>
          <w:szCs w:val="24"/>
          <w:lang w:val="en-US"/>
        </w:rPr>
        <w:t>odriguez, Mark Allman, Randy Bush, Anja Feldmann, Christian Kreibich, Nicholas Weaver and Vern Paxson. ‘A Multi-Perspective Analysis of Carrier-Grade NAT Deployment’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IMC ’16 Proceedings of the 2016 Internet Measurement Conference</w:t>
      </w:r>
      <w:r w:rsidRPr="00B94039">
        <w:rPr>
          <w:rFonts w:ascii="Times New Roman" w:hAnsi="Times New Roman" w:cs="Times New Roman"/>
          <w:noProof/>
          <w:sz w:val="24"/>
          <w:szCs w:val="24"/>
          <w:lang w:val="en-US"/>
        </w:rPr>
        <w:t>, 2016, 215–29</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https://doi.org/10.1145/2987443.2987474.</w:t>
      </w:r>
    </w:p>
    <w:p w14:paraId="52FB425F"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4F5A9642" w14:textId="0C2E0796"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Starr, Amory, Luis A. Fernandez, Randall Amster, Lesley J. Wood,and Manuel J. Caro. ‘The Impacts of State Surveillance on Political Assembly and Association: A Socio-Legal Analysis’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Qualitative Sociology</w:t>
      </w:r>
      <w:r w:rsidRPr="00B94039">
        <w:rPr>
          <w:rFonts w:ascii="Times New Roman" w:hAnsi="Times New Roman" w:cs="Times New Roman"/>
          <w:noProof/>
          <w:sz w:val="24"/>
          <w:szCs w:val="24"/>
          <w:lang w:val="en-US"/>
        </w:rPr>
        <w:t xml:space="preserve"> 31</w:t>
      </w:r>
      <w:r>
        <w:rPr>
          <w:rFonts w:ascii="Times New Roman" w:hAnsi="Times New Roman" w:cs="Times New Roman"/>
          <w:noProof/>
          <w:sz w:val="24"/>
          <w:szCs w:val="24"/>
          <w:lang w:val="en-US"/>
        </w:rPr>
        <w:t>.3 (</w:t>
      </w:r>
      <w:r w:rsidRPr="00B94039">
        <w:rPr>
          <w:rFonts w:ascii="Times New Roman" w:hAnsi="Times New Roman" w:cs="Times New Roman"/>
          <w:noProof/>
          <w:sz w:val="24"/>
          <w:szCs w:val="24"/>
          <w:lang w:val="en-US"/>
        </w:rPr>
        <w:t>2008): 251–70</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https://doi.org/10.1007/s11133-008-9107-z.</w:t>
      </w:r>
    </w:p>
    <w:p w14:paraId="5CE5CD7F"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1434EFF" w14:textId="77097054"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Stepanovich, Amie, and Drew Mitnick. ‘Universal Implementation Guide for the International Principles on the Application of Human Rights to Communications Surveillance’</w:t>
      </w:r>
      <w:r>
        <w:rPr>
          <w:rFonts w:ascii="Times New Roman" w:hAnsi="Times New Roman" w:cs="Times New Roman"/>
          <w:noProof/>
          <w:sz w:val="24"/>
          <w:szCs w:val="24"/>
          <w:lang w:val="en-US"/>
        </w:rPr>
        <w:t xml:space="preserve"> </w:t>
      </w:r>
      <w:r w:rsidRPr="00F03D39">
        <w:rPr>
          <w:rFonts w:ascii="Times New Roman" w:hAnsi="Times New Roman" w:cs="Times New Roman"/>
          <w:i/>
          <w:noProof/>
          <w:sz w:val="24"/>
          <w:szCs w:val="24"/>
          <w:lang w:val="en-US"/>
        </w:rPr>
        <w:t>Access Now</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2015</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https://www.accessnow.org/cms/assets/uploads/archive/docs/Implementation_guide_-_July_10_print.pdf.</w:t>
      </w:r>
    </w:p>
    <w:p w14:paraId="402735A2"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6E3A717D" w14:textId="3B417014"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The Arrested Lawyers Initiative. ‘Ever-Changing Evidence ByLock: Turkish Government’s Favourite Tool to Arrest Its Critics’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https://arrestedlawyers.files.wordpress.com/2018/01/bylock_report_by_the_arrested_lawyers.pdf.</w:t>
      </w:r>
    </w:p>
    <w:p w14:paraId="58757C24"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320B4FB" w14:textId="2E2858DB"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lastRenderedPageBreak/>
        <w:t>The International Institute for Strategic Studies. ‘Turkey: The Attempted Coup and Its Troubling Aftermath’</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Strategic Comments</w:t>
      </w:r>
      <w:r w:rsidRPr="00B94039">
        <w:rPr>
          <w:rFonts w:ascii="Times New Roman" w:hAnsi="Times New Roman" w:cs="Times New Roman"/>
          <w:noProof/>
          <w:sz w:val="24"/>
          <w:szCs w:val="24"/>
          <w:lang w:val="en-US"/>
        </w:rPr>
        <w:t xml:space="preserve"> 22</w:t>
      </w:r>
      <w:r>
        <w:rPr>
          <w:rFonts w:ascii="Times New Roman" w:hAnsi="Times New Roman" w:cs="Times New Roman"/>
          <w:noProof/>
          <w:sz w:val="24"/>
          <w:szCs w:val="24"/>
          <w:lang w:val="en-US"/>
        </w:rPr>
        <w:t>.5 (</w:t>
      </w:r>
      <w:r w:rsidRPr="00B94039">
        <w:rPr>
          <w:rFonts w:ascii="Times New Roman" w:hAnsi="Times New Roman" w:cs="Times New Roman"/>
          <w:noProof/>
          <w:sz w:val="24"/>
          <w:szCs w:val="24"/>
          <w:lang w:val="en-US"/>
        </w:rPr>
        <w:t>2016): v–vii</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https://doi.org/10.1080/13567888.2016.1217082.</w:t>
      </w:r>
    </w:p>
    <w:p w14:paraId="5CE592FD"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8CBE2AB" w14:textId="6E44CE0C"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Tittensor, David. ‘The Gülen Movement and Surviving in Exile: The Case of Australia’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Politics, Religion &amp; Ideology</w:t>
      </w:r>
      <w:r w:rsidRPr="00B94039">
        <w:rPr>
          <w:rFonts w:ascii="Times New Roman" w:hAnsi="Times New Roman" w:cs="Times New Roman"/>
          <w:noProof/>
          <w:sz w:val="24"/>
          <w:szCs w:val="24"/>
          <w:lang w:val="en-US"/>
        </w:rPr>
        <w:t xml:space="preserve"> 19</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2018): 123–38</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https://doi.org/10.1080/21567689.2018.1453272.</w:t>
      </w:r>
    </w:p>
    <w:p w14:paraId="60A18FE7"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30C379A9" w14:textId="311A8056"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Turkey Purge. ‘Turkey Purge | Monitoring Human Rights Abuses in Turkey’s Post-Coup Crackdown’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https://turkeypurge.com/.</w:t>
      </w:r>
    </w:p>
    <w:p w14:paraId="60BA40E7"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561F236E" w14:textId="6458B9B4"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UN Human Rights Council. ‘Report of the Special Rapporteur on the Promotion and Protection of the Right to Freedom of Opinion and Expression, David Kaye.’ </w:t>
      </w:r>
      <w:r w:rsidRPr="00B94039">
        <w:rPr>
          <w:rFonts w:ascii="Times New Roman" w:hAnsi="Times New Roman" w:cs="Times New Roman"/>
          <w:i/>
          <w:iCs/>
          <w:noProof/>
          <w:sz w:val="24"/>
          <w:szCs w:val="24"/>
          <w:lang w:val="en-US"/>
        </w:rPr>
        <w:t>Human Rights Council</w:t>
      </w:r>
      <w:r w:rsidRPr="00B94039">
        <w:rPr>
          <w:rFonts w:ascii="Times New Roman" w:hAnsi="Times New Roman" w:cs="Times New Roman"/>
          <w:noProof/>
          <w:sz w:val="24"/>
          <w:szCs w:val="24"/>
          <w:lang w:val="en-US"/>
        </w:rPr>
        <w:t>. A/HRC/29/32: UN Human Rights Council, 2015.</w:t>
      </w:r>
    </w:p>
    <w:p w14:paraId="3AD91BC9"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39F2767" w14:textId="360BCF5A"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‘Report of the Special Rapporteur on the Promotion and Protection of the Right to Freedom of Opinion and Expression on His Mission to Turkey.’ A/HRC/35/22/Add.3, 2017. http://www.refworld.org/docid/59394c904.html.</w:t>
      </w:r>
    </w:p>
    <w:p w14:paraId="7E1E87A8" w14:textId="77777777" w:rsidR="005B6E0C" w:rsidRPr="00B94039" w:rsidRDefault="005B6E0C"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0BB7583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94039">
        <w:rPr>
          <w:rFonts w:ascii="Times New Roman" w:hAnsi="Times New Roman" w:cs="Times New Roman"/>
          <w:noProof/>
          <w:sz w:val="24"/>
          <w:szCs w:val="24"/>
          <w:lang w:val="en-US"/>
        </w:rPr>
        <w:t xml:space="preserve">United Nations Human Rights Committee. ‘International Covenant on Civil and Political Rights - General Comment No. 29.’ </w:t>
      </w:r>
      <w:r w:rsidRPr="00B94039">
        <w:rPr>
          <w:rFonts w:ascii="Times New Roman" w:hAnsi="Times New Roman" w:cs="Times New Roman"/>
          <w:i/>
          <w:iCs/>
          <w:noProof/>
          <w:sz w:val="24"/>
          <w:szCs w:val="24"/>
          <w:lang w:val="en-US"/>
        </w:rPr>
        <w:t>Annual Review of Population Law</w:t>
      </w:r>
      <w:r w:rsidRPr="00B94039">
        <w:rPr>
          <w:rFonts w:ascii="Times New Roman" w:hAnsi="Times New Roman" w:cs="Times New Roman"/>
          <w:noProof/>
          <w:sz w:val="24"/>
          <w:szCs w:val="24"/>
          <w:lang w:val="en-US"/>
        </w:rPr>
        <w:t xml:space="preserve"> 44470</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29 (2001): 8</w:t>
      </w:r>
      <w:r>
        <w:rPr>
          <w:rFonts w:ascii="Times New Roman" w:hAnsi="Times New Roman" w:cs="Times New Roman"/>
          <w:noProof/>
          <w:sz w:val="24"/>
          <w:szCs w:val="24"/>
          <w:lang w:val="en-US"/>
        </w:rPr>
        <w:t xml:space="preserve">, DOI: </w:t>
      </w:r>
      <w:r w:rsidRPr="00B94039">
        <w:rPr>
          <w:rFonts w:ascii="Times New Roman" w:hAnsi="Times New Roman" w:cs="Times New Roman"/>
          <w:noProof/>
          <w:sz w:val="24"/>
          <w:szCs w:val="24"/>
          <w:lang w:val="en-US"/>
        </w:rPr>
        <w:t>https://doi.org/10.1007/978-1-4020-9160-5_533.</w:t>
      </w:r>
    </w:p>
    <w:p w14:paraId="13C0CA05" w14:textId="77777777" w:rsidR="00153F3A" w:rsidRDefault="00153F3A" w:rsidP="00153F3A">
      <w:pPr>
        <w:spacing w:after="0" w:line="240" w:lineRule="auto"/>
        <w:jc w:val="both"/>
        <w:rPr>
          <w:rFonts w:ascii="Times New Roman" w:eastAsia="Calibri" w:hAnsi="Times New Roman" w:cs="Times New Roman"/>
          <w:color w:val="000000" w:themeColor="text1"/>
          <w:sz w:val="24"/>
          <w:szCs w:val="24"/>
          <w:lang w:val="en-US"/>
        </w:rPr>
      </w:pPr>
      <w:r w:rsidRPr="00B94039">
        <w:rPr>
          <w:rFonts w:ascii="Times New Roman" w:eastAsia="Calibri" w:hAnsi="Times New Roman" w:cs="Times New Roman"/>
          <w:color w:val="000000" w:themeColor="text1"/>
          <w:sz w:val="24"/>
          <w:szCs w:val="24"/>
          <w:lang w:val="en-US"/>
        </w:rPr>
        <w:fldChar w:fldCharType="end"/>
      </w:r>
    </w:p>
    <w:p w14:paraId="60099797" w14:textId="23D590A8" w:rsidR="002031BE" w:rsidRPr="00153F3A" w:rsidRDefault="00FE4DEC">
      <w:pPr>
        <w:rPr>
          <w:rFonts w:ascii="Times New Roman" w:eastAsia="Calibri" w:hAnsi="Times New Roman" w:cs="Times New Roman"/>
          <w:color w:val="000000" w:themeColor="text1"/>
          <w:sz w:val="24"/>
          <w:szCs w:val="24"/>
          <w:lang w:val="en-US"/>
        </w:rPr>
      </w:pPr>
    </w:p>
    <w:sectPr w:rsidR="002031BE" w:rsidRPr="00153F3A"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F5B6" w14:textId="77777777" w:rsidR="00FE4DEC" w:rsidRDefault="00FE4DEC" w:rsidP="00153F3A">
      <w:pPr>
        <w:spacing w:after="0" w:line="240" w:lineRule="auto"/>
      </w:pPr>
      <w:r>
        <w:separator/>
      </w:r>
    </w:p>
  </w:endnote>
  <w:endnote w:type="continuationSeparator" w:id="0">
    <w:p w14:paraId="2458F506" w14:textId="77777777" w:rsidR="00FE4DEC" w:rsidRDefault="00FE4DEC" w:rsidP="0015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6C557" w14:textId="77777777" w:rsidR="00FE4DEC" w:rsidRDefault="00FE4DEC" w:rsidP="00153F3A">
      <w:pPr>
        <w:spacing w:after="0" w:line="240" w:lineRule="auto"/>
      </w:pPr>
      <w:r>
        <w:separator/>
      </w:r>
    </w:p>
  </w:footnote>
  <w:footnote w:type="continuationSeparator" w:id="0">
    <w:p w14:paraId="69D195E4" w14:textId="77777777" w:rsidR="00FE4DEC" w:rsidRDefault="00FE4DEC" w:rsidP="00153F3A">
      <w:pPr>
        <w:spacing w:after="0" w:line="240" w:lineRule="auto"/>
      </w:pPr>
      <w:r>
        <w:continuationSeparator/>
      </w:r>
    </w:p>
  </w:footnote>
  <w:footnote w:id="1">
    <w:p w14:paraId="71094F2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{"citationItems":[{"id":"ITEM-1","itemData":{"DOI":"10.1177/2053951716679678","ISBN":"9780415891608","ISSN":"2053-9517","abstract":"The Snowden leaks, first published in June 2013, provided unprecedented insights into the operations of state-corporate surveillance, highlighting the extent to which everyday communication is integrated into an extensive regime of control that relies on the ‘datafication’ of social life. Whilst such data-driven forms of governance have significant implications for citizenship and society, resistance to surveillance in the wake of the Snowden leaks has predominantly centred on techno-legal responses relating to the development and use of encryption and policy advocacy around privacy and data protection. Based on in-depth interviews with a range of social justice activists, we argue that there is a significant level of ambiguity around this kind of anti-surveillance resistance in relation to broader activist practices, and critical responses to the Snowden leaks have been confined within particular expert communities. Introducing the notion of ‘data justice’, we therefore go on to make the case that resist...","author":[{"dropping-particle":"","family":"Dencik","given":"Lina","non-dropping-particle":"","parse-names":false,"suffix":""},{"dropping-particle":"","family":"Hintz","given":"Arne","non-dropping-particle":"","parse-names":false,"suffix":""},{"dropping-particle":"","family":"Cable","given":"Jonathan","non-dropping-particle":"","parse-names":false,"suffix":""}],"container-title":"Big Data &amp; Society","id":"ITEM-1","issue":"2","issued":{"date-parts":[["2016"]]},"page":"205395171667967","title":"Towards data justice? The ambiguity of anti-surveillance resistance in political activism","type":"article-journal","volume":"3"},"uris":["http://www.mendeley.com/documents/?uuid=2517de4f-00dd-4af1-a444-5d3e25198ec7"]}],"mendeley":{"formattedCitation":"Lina Dencik, Arne Hintz, and Jonathan Cable, “Towards Data Justice? The Ambiguity of Anti-Surveillance Resistance in Political Activism,” &lt;i&gt;Big Data &amp; Society&lt;/i&gt; 3, no. 2 (2016): 205395171667967, https://doi.org/10.1177/2053951716679678.","plainTextFormattedCitation":"Lina Dencik, Arne Hintz, and Jonathan Cable, “Towards Data Justice? The Ambiguity of Anti-Surveillance Resistance in Political Activism,” Big Data &amp; Society 3, no. 2 (2016): 205395171667967, https://doi.org/10.1177/2053951716679678.","previouslyFormattedCitation":"Lina Dencik, Arne Hintz, and Jonathan Cable, “Towards Data Justice? The Ambiguity of Anti-Surveillance Resistance in Political Activism,” &lt;i&gt;Big Data &amp; Society&lt;/i&gt; 3, no. 2 (2016): 205395171667967, https://doi.org/10.1177/2053951716679678."},"properties":{"noteIndex":1},"schema":"https://github.com/citation-style-language/schema/raw/master/csl-citation.json"}</w:instrText>
      </w:r>
      <w:r w:rsidRPr="008B2A01">
        <w:rPr>
          <w:rFonts w:cs="Times New Roman"/>
        </w:rPr>
        <w:fldChar w:fldCharType="separate"/>
      </w:r>
      <w:r w:rsidRPr="008B2A01">
        <w:rPr>
          <w:rFonts w:cs="Times New Roman"/>
          <w:noProof/>
        </w:rPr>
        <w:t xml:space="preserve">Lina Dencik, Arne Hintz, and Jonathan Cable, ‘Towards Data Justice? The Ambiguity of Anti-Surveillance Resistance in Political Activism,’ </w:t>
      </w:r>
      <w:r w:rsidRPr="008B2A01">
        <w:rPr>
          <w:rFonts w:cs="Times New Roman"/>
          <w:i/>
          <w:noProof/>
        </w:rPr>
        <w:t>Big Data &amp; Society</w:t>
      </w:r>
      <w:r w:rsidRPr="008B2A01">
        <w:rPr>
          <w:rFonts w:cs="Times New Roman"/>
          <w:noProof/>
        </w:rPr>
        <w:t xml:space="preserve"> 3</w:t>
      </w:r>
      <w:r>
        <w:rPr>
          <w:rFonts w:cs="Times New Roman"/>
          <w:noProof/>
        </w:rPr>
        <w:t>.2 (</w:t>
      </w:r>
      <w:r w:rsidRPr="008B2A01">
        <w:rPr>
          <w:rFonts w:cs="Times New Roman"/>
          <w:noProof/>
        </w:rPr>
        <w:t>2016)</w:t>
      </w:r>
      <w:r>
        <w:rPr>
          <w:rFonts w:cs="Times New Roman"/>
          <w:noProof/>
        </w:rPr>
        <w:t xml:space="preserve">, DOI: </w:t>
      </w:r>
      <w:r w:rsidRPr="008B2A01">
        <w:rPr>
          <w:rFonts w:cs="Times New Roman"/>
          <w:noProof/>
        </w:rPr>
        <w:t xml:space="preserve"> https://doi.org/10.1177/</w:t>
      </w:r>
      <w:r>
        <w:rPr>
          <w:rFonts w:cs="Times New Roman"/>
          <w:noProof/>
        </w:rPr>
        <w:t>f</w:t>
      </w:r>
      <w:r w:rsidRPr="008B2A01">
        <w:rPr>
          <w:rFonts w:cs="Times New Roman"/>
          <w:noProof/>
        </w:rPr>
        <w:t>2053951716679678.</w:t>
      </w:r>
      <w:r w:rsidRPr="008B2A01">
        <w:rPr>
          <w:rFonts w:cs="Times New Roman"/>
        </w:rPr>
        <w:fldChar w:fldCharType="end"/>
      </w:r>
    </w:p>
  </w:footnote>
  <w:footnote w:id="2">
    <w:p w14:paraId="0D2F28C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theintercept.com/2014/02/18/snowden-docs-reveal-covert-surveillance-and-pressure-tactics-aimed-at-wikileaks-and-its-supporters/","accessed":{"date-parts":[["2018","10","16"]]},"author":[{"dropping-particle":"","family":"Greenwald","given":"G","non-dropping-particle":"","parse-names":false,"suffix":""},{"dropping-particle":"","family":"Gallagher","given":"R","non-dropping-particle":"","parse-names":false,"suffix":""}],"container-title":"The Intercept","id":"ITEM-1","issued":{"date-parts":[["2014"]]},"title":"Snowden Documents Reveal Covert Surveillance and Pressure Tactics Aimed at WikiLeaks and Its Supporters","type":"webpage"},"uris":["http://www.mendeley.com/documents/?uuid=6e4c43b7-218a-3e7d-8fcb-34684b518b4a"]}],"mendeley":{"formattedCitation":"G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https://theintercept.com/2014/02/18/snowden-docs-reveal-covert-surveillance-and-pressure-tactics-aimed-at-wikileaks-and-its-supporters/.","plainTextFormattedCitation":"G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https://theintercept.com/2014/02/18/snowden-docs-reveal-covert-surveillance-and-pressure-tactics-aimed-at-wikileaks-and-its-supporters/.","previouslyFormattedCitation":"G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https://theintercept.com/2014/02/18/snowden-docs-reveal-covert-surveillance-and-pressure-tactics-aimed-at-wikileaks-and-its-supporters/."},"properties":{"noteIndex":2},"schema":"https://github.com/citation-style-language/schema/raw/master/csl-citation.json"}</w:instrText>
      </w:r>
      <w:r w:rsidRPr="008B2A01">
        <w:rPr>
          <w:rFonts w:cs="Times New Roman"/>
        </w:rPr>
        <w:fldChar w:fldCharType="separate"/>
      </w:r>
      <w:r w:rsidRPr="008B2A01">
        <w:rPr>
          <w:rFonts w:cs="Times New Roman"/>
          <w:noProof/>
        </w:rPr>
        <w:t xml:space="preserve">G Greenwald and R Gallagher, ‘Snowden Documents Reveal Covert Surveillance and Pressure Tactics Aimed at WikiLeaks and Its Supporters’ </w:t>
      </w:r>
      <w:r w:rsidRPr="00CC4A49">
        <w:rPr>
          <w:rFonts w:cs="Times New Roman"/>
          <w:i/>
          <w:noProof/>
        </w:rPr>
        <w:t>The Intercept,</w:t>
      </w:r>
      <w:r w:rsidRPr="008B2A01">
        <w:rPr>
          <w:rFonts w:cs="Times New Roman"/>
          <w:noProof/>
        </w:rPr>
        <w:t xml:space="preserve"> 2014, https://theintercept.com/2014/02/18/snowden-docs-reveal-covert-surveillance-and-pressure-tactics-aimed-at-wikileaks-and-its-supporters/.</w:t>
      </w:r>
      <w:r w:rsidRPr="008B2A01">
        <w:rPr>
          <w:rFonts w:cs="Times New Roman"/>
        </w:rPr>
        <w:fldChar w:fldCharType="end"/>
      </w:r>
    </w:p>
  </w:footnote>
  <w:footnote w:id="3">
    <w:p w14:paraId="653CDD7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{"citationItems":[{"id":"ITEM-1","itemData":{"DOI":"10.1108/03090550310770974","ISBN":"184113449X","ISSN":"0309-0558","PMID":"15003161","abstract":"This Charter became legally binding when the Treaty of Lisbon entered into force on 1 Dec. 2009, as the Treaty confers on the Charter the same legal value as the Treaties.","author":[{"dropping-particle":"","family":"European Union","given":"","non-dropping-particle":"","parse-names":false,"suffix":""}],"id":"ITEM-1","issued":{"date-parts":[["2012"]]},"page":"391-407","title":"Charter of Fundamental Rights of the European Union","type":"article-journal"},"uris":["http://www.mendeley.com/documents/?uuid=b1a44d82-04fe-4877-90bf-def12750e361"]}],"mendeley":{"formattedCitation":"European Union, “Charter of Fundamental Rights of the European Union,” 2012, 391–407, https://doi.org/10.1108/03090550310770974.","plainTextFormattedCitation":"European Union, “Charter of Fundamental Rights of the European Union,” 2012, 391–407, https://doi.org/10.1108/03090550310770974.","previouslyFormattedCitation":"European Union, “Charter of Fundamental Rights of the European Union,” 2012, 391–407, https://doi.org/10.1108/03090550310770974."},"properties":{"noteIndex":3},"schema":"https://github.com/citation-style-language/schema/raw/master/csl-citation.json"}</w:instrText>
      </w:r>
      <w:r w:rsidRPr="008B2A01">
        <w:rPr>
          <w:rFonts w:cs="Times New Roman"/>
        </w:rPr>
        <w:fldChar w:fldCharType="separate"/>
      </w:r>
      <w:r w:rsidRPr="008B2A01">
        <w:rPr>
          <w:rFonts w:cs="Times New Roman"/>
          <w:noProof/>
        </w:rPr>
        <w:t>European Union, ‘Charter of Fundamental Rights of the European Union,’ 2012, 391–407, https://doi.org/10.1108/03090550310770974.</w:t>
      </w:r>
      <w:r w:rsidRPr="008B2A01">
        <w:rPr>
          <w:rFonts w:cs="Times New Roman"/>
        </w:rPr>
        <w:fldChar w:fldCharType="end"/>
      </w:r>
    </w:p>
  </w:footnote>
  <w:footnote w:id="4">
    <w:p w14:paraId="6B0929B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lang w:val="en-GB"/>
        </w:rPr>
        <w:t>Ibid.</w:t>
      </w:r>
    </w:p>
  </w:footnote>
  <w:footnote w:id="5">
    <w:p w14:paraId="5993667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{"citationItems":[{"id":"ITEM-1","itemData":{"author":[{"dropping-particle":"","family":"Lyon","given":"D","non-dropping-particle":"","parse-names":false,"suffix":""}],"id":"ITEM-1","issued":{"date-parts":[["2015"]]},"publisher":"Polity Press","publisher-place":"Cambridge, MA","title":"Surveillance After Snowden","type":"book"},"uris":["http://www.mendeley.com/documents/?uuid=6ef41c7c-cd8c-4003-a67a-1f7a158a81c6"]}],"mendeley":{"formattedCitation":"D Lyon, &lt;i&gt;Surveillance After Snowden&lt;/i&gt; (Cambridge, MA: Polity Press, 2015).","plainTextFormattedCitation":"D Lyon, Surveillance After Snowden (Cambridge, MA: Polity Press, 2015).","previouslyFormattedCitation":"D Lyon, &lt;i&gt;Surveillance After Snowden&lt;/i&gt; (Cambridge, MA: Polity Press, 2015)."},"properties":{"noteIndex":5},"schema":"https://github.com/citation-style-language/schema/raw/master/csl-citation.json"}</w:instrText>
      </w:r>
      <w:r w:rsidRPr="008B2A01">
        <w:rPr>
          <w:rFonts w:cs="Times New Roman"/>
        </w:rPr>
        <w:fldChar w:fldCharType="separate"/>
      </w:r>
      <w:r w:rsidRPr="008B2A01">
        <w:rPr>
          <w:rFonts w:cs="Times New Roman"/>
          <w:noProof/>
        </w:rPr>
        <w:t xml:space="preserve">D Lyon, </w:t>
      </w:r>
      <w:r w:rsidRPr="008B2A01">
        <w:rPr>
          <w:rFonts w:cs="Times New Roman"/>
          <w:i/>
          <w:noProof/>
        </w:rPr>
        <w:t>Surveillance After Snowden</w:t>
      </w:r>
      <w:r>
        <w:rPr>
          <w:rFonts w:cs="Times New Roman"/>
          <w:noProof/>
        </w:rPr>
        <w:t xml:space="preserve">, </w:t>
      </w:r>
      <w:r w:rsidRPr="008B2A01">
        <w:rPr>
          <w:rFonts w:cs="Times New Roman"/>
          <w:noProof/>
        </w:rPr>
        <w:t>Cambridge: Polity Press, 2015.</w:t>
      </w:r>
      <w:r w:rsidRPr="008B2A01">
        <w:rPr>
          <w:rFonts w:cs="Times New Roman"/>
        </w:rPr>
        <w:fldChar w:fldCharType="end"/>
      </w:r>
    </w:p>
  </w:footnote>
  <w:footnote w:id="6">
    <w:p w14:paraId="06CEDA9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{"citationItems":[{"id":"ITEM-1","itemData":{"URL":"https://privacyinternational.org/press-release/2283/press-release-uk-intelligence-agency-admits-unlawfully-spying-privacy","accessed":{"date-parts":[["2018","10","16"]]},"author":[{"dropping-particle":"","family":"Privacy International","given":"","non-dropping-particle":"","parse-names":false,"suffix":""}],"id":"ITEM-1","issued":{"date-parts":[["2018"]]},"title":"Press release: UK intelligence agency admits unlawfully spying on Privacy International | Privacy International","type":"webpage"},"uris":["http://www.mendeley.com/documents/?uuid=9ddaa18b-a451-3617-8104-254b58c7bda7"]}],"mendeley":{"formattedCitation":"Privacy International, “Press Release: UK Intelligence Agency Admits Unlawfully Spying on Privacy International | Privacy International,” 2018, https://privacyinternational.org/press-release/2283/press-release-uk-intelligence-agency-admits-unlawfully-spying-privacy.","plainTextFormattedCitation":"Privacy International, “Press Release: UK Intelligence Agency Admits Unlawfully Spying on Privacy International | Privacy International,” 2018, https://privacyinternational.org/press-release/2283/press-release-uk-intelligence-agency-admits-unlawfully-spying-privacy.","previouslyFormattedCitation":"Privacy International, “Press Release: UK Intelligence Agency Admits Unlawfully Spying on Privacy International | Privacy International,” 2018, https://privacyinternational.org/press-release/2283/press-release-uk-intelligence-agency-admits-unlawfully-spying-privacy."},"properties":{"noteIndex":6},"schema":"https://github.com/citation-style-language/schema/raw/master/csl-citation.json"}</w:instrText>
      </w:r>
      <w:r w:rsidRPr="008B2A01">
        <w:rPr>
          <w:rFonts w:cs="Times New Roman"/>
        </w:rPr>
        <w:fldChar w:fldCharType="separate"/>
      </w:r>
      <w:r w:rsidRPr="008B2A01">
        <w:rPr>
          <w:rFonts w:cs="Times New Roman"/>
          <w:noProof/>
        </w:rPr>
        <w:t>Privacy International, ‘Press Release: UK Intelligence Agency Admits Unlawfully Spying on Privacy International | Privacy International,’ 2018, https://privacyinternational.org/press-release/2283/press-release-uk-intelligence-agency-admits-unlawfully-spying-privacy.</w:t>
      </w:r>
      <w:r w:rsidRPr="008B2A01">
        <w:rPr>
          <w:rFonts w:cs="Times New Roman"/>
        </w:rPr>
        <w:fldChar w:fldCharType="end"/>
      </w:r>
    </w:p>
  </w:footnote>
  <w:footnote w:id="7">
    <w:p w14:paraId="48A4BA4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Investigation","type":"report"},"uris":["http://www.mendeley.com/documents/?uuid=86c63012-4b86-498f-b739-897ea14abd1a"]}],"mendeley":{"formattedCitation":"Fox-IT, “Expert Witness Report on ByLock Investigation” (Delft, 2017), https://foxitsecurity.files.wordpress.com/2017/09/bylock-fox-it-expert-witness-report-english.pdf.","plainTextFormattedCitation":"Fox-IT, “Expert Witness Report on ByLock Investigation” (Delft, 2017), https://foxitsecurity.files.wordpress.com/2017/09/bylock-fox-it-expert-witness-report-english.pdf.","previouslyFormattedCitation":"Fox-IT, “Expert Witness Report on ByLock Investigation” (Delft, 2017), https://foxitsecurity.files.wordpress.com/2017/09/bylock-fox-it-expert-witness-report-english.pdf."},"properties":{"noteIndex":7},"schema":"https://github.com/citation-style-language/schema/raw/master/csl-citation.json"}</w:instrText>
      </w:r>
      <w:r w:rsidRPr="008B2A01">
        <w:rPr>
          <w:rFonts w:cs="Times New Roman"/>
        </w:rPr>
        <w:fldChar w:fldCharType="separate"/>
      </w:r>
      <w:r w:rsidRPr="008B2A01">
        <w:rPr>
          <w:rFonts w:cs="Times New Roman"/>
          <w:noProof/>
        </w:rPr>
        <w:t>Fox-IT, ‘Expert Witness Report on ByLock Investigation</w:t>
      </w:r>
      <w:r>
        <w:rPr>
          <w:rFonts w:cs="Times New Roman"/>
          <w:noProof/>
        </w:rPr>
        <w:t xml:space="preserve">', </w:t>
      </w:r>
      <w:r w:rsidRPr="008B2A01">
        <w:rPr>
          <w:rFonts w:cs="Times New Roman"/>
          <w:noProof/>
        </w:rPr>
        <w:t>Delft, 2017, https://foxitsecurity.files.wordpress.com/2017/09/bylock-fox-it-expert-witness-report-english.pdf.</w:t>
      </w:r>
      <w:r w:rsidRPr="008B2A01">
        <w:rPr>
          <w:rFonts w:cs="Times New Roman"/>
        </w:rPr>
        <w:fldChar w:fldCharType="end"/>
      </w:r>
    </w:p>
  </w:footnote>
  <w:footnote w:id="8">
    <w:p w14:paraId="728A42E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Turkey","type":"article-journal"},"locator":"2","uris":["http://www.mendeley.com/documents/?uuid=6bd59498-37d9-4ddc-917e-0ca87fdf33c8"]}],"mendeley":{"formattedCitation":"Yasir Gokce, “The Bylock Fallacy: An In-Depth Analysis of the Bylock Investigations in Turkey,” &lt;i&gt;Digital Investigation&lt;/i&gt;, no. March (2018): 2, https://doi.org/10.1016/j.diin.2018.06.002.","plainTextFormattedCitation":"Yasir Gokce, “The Bylock Fallacy: An In-Depth Analysis of the Bylock Investigations in Turkey,” Digital Investigation, no. March (2018): 2, https://doi.org/10.1016/j.diin.2018.06.002.","previouslyFormattedCitation":"Yasir Gokce, “The Bylock Fallacy: An In-Depth Analysis of the Bylock Investigations in Turkey,” &lt;i&gt;Digital Investigation&lt;/i&gt;, no. March (2018): 2, https://doi.org/10.1016/j.diin.2018.06.002."},"properties":{"noteIndex":8},"schema":"https://github.com/citation-style-language/schema/raw/master/csl-citation.json"}</w:instrText>
      </w:r>
      <w:r w:rsidRPr="008B2A01">
        <w:rPr>
          <w:rFonts w:cs="Times New Roman"/>
        </w:rPr>
        <w:fldChar w:fldCharType="separate"/>
      </w:r>
      <w:r w:rsidRPr="008B2A01">
        <w:rPr>
          <w:rFonts w:cs="Times New Roman"/>
          <w:bCs/>
          <w:noProof/>
        </w:rPr>
        <w:t xml:space="preserve">Yasir Gokce, ‘The Bylock Fallacy: An In-Depth Analysis of the Bylock Investigations in Turkey,’ </w:t>
      </w:r>
      <w:r w:rsidRPr="008B2A01">
        <w:rPr>
          <w:rFonts w:cs="Times New Roman"/>
          <w:bCs/>
          <w:i/>
          <w:noProof/>
        </w:rPr>
        <w:t>Digital Investigation</w:t>
      </w:r>
      <w:r>
        <w:rPr>
          <w:rFonts w:cs="Times New Roman"/>
          <w:bCs/>
          <w:noProof/>
        </w:rPr>
        <w:t xml:space="preserve"> </w:t>
      </w:r>
      <w:r w:rsidRPr="008B2A01">
        <w:rPr>
          <w:rFonts w:cs="Times New Roman"/>
          <w:bCs/>
          <w:noProof/>
        </w:rPr>
        <w:t>(</w:t>
      </w:r>
      <w:r>
        <w:rPr>
          <w:rFonts w:cs="Times New Roman"/>
          <w:bCs/>
          <w:noProof/>
        </w:rPr>
        <w:t xml:space="preserve">March, </w:t>
      </w:r>
      <w:r w:rsidRPr="008B2A01">
        <w:rPr>
          <w:rFonts w:cs="Times New Roman"/>
          <w:bCs/>
          <w:noProof/>
        </w:rPr>
        <w:t>2018): 2, https://doi.org/10.1016/j.diin.2018.06.002.</w:t>
      </w:r>
      <w:r w:rsidRPr="008B2A01">
        <w:rPr>
          <w:rFonts w:cs="Times New Roman"/>
        </w:rPr>
        <w:fldChar w:fldCharType="end"/>
      </w:r>
    </w:p>
  </w:footnote>
  <w:footnote w:id="9">
    <w:p w14:paraId="3D366CD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{"citationItems":[{"id":"ITEM-1","itemData":{"author":[{"dropping-particle":"","family":"Freedom House","given":"","non-dropping-particle":"","parse-names":false,"suffix":""}],"id":"ITEM-1","issued":{"date-parts":[["2017"]]},"number-of-pages":"1-20","title":"Freedom on the Net 2017 Report","type":"report"},"locator":"15","uris":["http://www.mendeley.com/documents/?uuid=7ba6c5a6-3739-41d0-8e63-98c5eeb0fcdc"]}],"mendeley":{"formattedCitation":"Freedom House, “Freedom on the Net 2017 Report,” 2017, 15, https://freedomhouse.org/sites/default/files/FOTN 2017_Turkey.pdf.","plainTextFormattedCitation":"Freedom House, “Freedom on the Net 2017 Report,” 2017, 15, https://freedomhouse.org/sites/default/files/FOTN 2017_Turkey.pdf.","previouslyFormattedCitation":"Freedom House, “Freedom on the Net 2017 Report,” 2017, 15, https://freedomhouse.org/sites/default/files/FOTN 2017_Turkey.pdf."},"properties":{"noteIndex":9},"schema":"https://github.com/citation-style-language/schema/raw/master/csl-citation.json"}</w:instrText>
      </w:r>
      <w:r w:rsidRPr="008B2A01">
        <w:rPr>
          <w:rFonts w:cs="Times New Roman"/>
        </w:rPr>
        <w:fldChar w:fldCharType="separate"/>
      </w:r>
      <w:r w:rsidRPr="008B2A01">
        <w:rPr>
          <w:rFonts w:cs="Times New Roman"/>
          <w:bCs/>
          <w:noProof/>
        </w:rPr>
        <w:t>Freedom House, ‘Freedom on the Net 2017 Report,’ 2017, 15, https://freedomhouse.org/sites/default/files/FOTN 2017_Turkey.pdf.</w:t>
      </w:r>
      <w:r w:rsidRPr="008B2A01">
        <w:rPr>
          <w:rFonts w:cs="Times New Roman"/>
        </w:rPr>
        <w:fldChar w:fldCharType="end"/>
      </w:r>
    </w:p>
  </w:footnote>
  <w:footnote w:id="10">
    <w:p w14:paraId="6BFA5FE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{"citationItems":[{"id":"ITEM-1","itemData":{"author":[{"dropping-particle":"","family":"Freedom House","given":"","non-dropping-particle":"","parse-names":false,"suffix":""}],"id":"ITEM-1","issued":{"date-parts":[["2017"]]},"number-of-pages":"1-20","title":"Freedom on the Net 2017 Report","type":"report"},"locator":"14","uris":["http://www.mendeley.com/documents/?uuid=7ba6c5a6-3739-41d0-8e63-98c5eeb0fcdc"]}],"mendeley":{"formattedCitation":"Freedom House, 14.","plainTextFormattedCitation":"Freedom House, 14.","previouslyFormattedCitation":"Freedom House, 14."},"properties":{"noteIndex":10},"schema":"https://github.com/citation-style-language/schema/raw/master/csl-citation.json"}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14.</w:t>
      </w:r>
      <w:r w:rsidRPr="008B2A01">
        <w:rPr>
          <w:rFonts w:cs="Times New Roman"/>
        </w:rPr>
        <w:fldChar w:fldCharType="end"/>
      </w:r>
    </w:p>
  </w:footnote>
  <w:footnote w:id="11">
    <w:p w14:paraId="7F3EEF8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Council","given":"","non-dropping-particle":"","parse-names":false,"suffix":""}],"id":"ITEM-1","issued":{"date-parts":[["2017"]]},"publisher-place":"A/HRC/35/22/Add.3","title":"Report of the Special Rapporteur on the promotion and protection of the right to freedom of opinion and expression on his mission to Turkey","type":"report"},"locator":"14","uris":["http://www.mendeley.com/documents/?uuid=d566ac45-ef0c-4e3c-a348-c84ad97d277d"]}],"mendeley":{"formattedCitation":"UN Human Rights Council, “Report of the Special Rapporteur on the Promotion and Protection of the Right to Freedom of Opinion and Expression on His Mission to Turkey” (A/HRC/35/22/Add.3, 2017), 14, http://www.refworld.org/docid/59394c904.html.","plainTextFormattedCitation":"UN Human Rights Council, “Report of the Special Rapporteur on the Promotion and Protection of the Right to Freedom of Opinion and Expression on His Mission to Turkey” (A/HRC/35/22/Add.3, 2017), 14, http://www.refworld.org/docid/59394c904.html.","previouslyFormattedCitation":"UN Human Rights Council, “Report of the Special Rapporteur on the Promotion and Protection of the Right to Freedom of Opinion and Expression on His Mission to Turkey” (A/HRC/35/22/Add.3, 2017), 14, http://www.refworld.org/docid/59394c904.html."},"properties":{"noteIndex":11},"schema":"https://github.com/citation-style-language/schema/raw/master/csl-citation.json"}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on His Mission to Turkey’ (A/HRC/35/22/Add.3, 2017), 14, http://www.refworld.org/docid/59394c904.html.</w:t>
      </w:r>
      <w:r w:rsidRPr="008B2A01">
        <w:rPr>
          <w:rFonts w:cs="Times New Roman"/>
        </w:rPr>
        <w:fldChar w:fldCharType="end"/>
      </w:r>
    </w:p>
  </w:footnote>
  <w:footnote w:id="12">
    <w:p w14:paraId="2C78AFC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International","given":"","non-dropping-particle":"","parse-names":false,"suffix":""}],"id":"ITEM-1","issued":{"date-parts":[["2017"]]},"title":"BRIEFING: Prosecution Of 11 Human Rights Defenders","type":"report"},"locator":"7","uris":["http://www.mendeley.com/documents/?uuid=f6df92b9-fe38-4582-aad2-c66926ae5036"]}],"mendeley":{"formattedCitation":"Amnesty International, “BRIEFING: Prosecution Of 11 Human Rights Defenders,” 2017, 7, https://www.amnesty.org/download/Documents/EUR4473292017ENGLISH.pdf.","plainTextFormattedCitation":"Amnesty International, “BRIEFING: Prosecution Of 11 Human Rights Defenders,” 2017, 7, https://www.amnesty.org/download/Documents/EUR4473292017ENGLISH.pdf.","previouslyFormattedCitation":"Amnesty International, “BRIEFING: Prosecution Of 11 Human Rights Defenders,” 2017, 7, https://www.amnesty.org/download/Documents/EUR4473292017ENGLISH.pdf."},"properties":{"noteIndex":12},"schema":"https://github.com/citation-style-language/schema/raw/master/csl-citation.json"}</w:instrText>
      </w:r>
      <w:r w:rsidRPr="008B2A01">
        <w:rPr>
          <w:rFonts w:cs="Times New Roman"/>
        </w:rPr>
        <w:fldChar w:fldCharType="separate"/>
      </w:r>
      <w:r w:rsidRPr="008B2A01">
        <w:rPr>
          <w:rFonts w:cs="Times New Roman"/>
          <w:bCs/>
          <w:noProof/>
        </w:rPr>
        <w:t>Amnesty International, ‘BRIEFING: Prosecution Of 11 Human Rights Defenders,’ 2017, 7, https://www.amnesty.org/download/Documents/EUR4473292017ENGLISH.pdf.</w:t>
      </w:r>
      <w:r w:rsidRPr="008B2A01">
        <w:rPr>
          <w:rFonts w:cs="Times New Roman"/>
        </w:rPr>
        <w:fldChar w:fldCharType="end"/>
      </w:r>
    </w:p>
  </w:footnote>
  <w:footnote w:id="13">
    <w:p w14:paraId="2CFCC1C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{"citationItems":[{"id":"ITEM-1","itemData":{"URL":"https://medium.com/@privacyint/encryption-at-the-centre-of-mass-arrests-one-year-on-from-turkeys-failed-coup-e6ecd0ef77c9","accessed":{"date-parts":[["2018","3","28"]]},"author":[{"dropping-particle":"","family":"Privacy International","given":"","non-dropping-particle":"","parse-names":false,"suffix":""}],"container-title":"Privacy International","id":"ITEM-1","issued":{"date-parts":[["2017"]]},"page":"1-5","title":"Encryption At The Centre Of Mass Arrests : One Year On From Turkey’s Failed Coup","type":"webpage"},"uris":["http://www.mendeley.com/documents/?uuid=d4283431-7f8c-4a6b-934c-c2ea16fbb18e"]}],"mendeley":{"formattedCitation":"Privacy International, “Encryption At The Centre Of Mass Arrests : One Year On From Turkey’s Failed Coup,” Privacy International, 2017, https://medium.com/@privacyint/encryption-at-the-centre-of-mass-arrests-one-year-on-from-turkeys-failed-coup-e6ecd0ef77c9.","plainTextFormattedCitation":"Privacy International, “Encryption At The Centre Of Mass Arrests : One Year On From Turkey’s Failed Coup,” Privacy International, 2017, https://medium.com/@privacyint/encryption-at-the-centre-of-mass-arrests-one-year-on-from-turkeys-failed-coup-e6ecd0ef77c9.","previouslyFormattedCitation":"Privacy International, “Encryption At The Centre Of Mass Arrests : One Year On From Turkey’s Failed Coup,” Privacy International, 2017, https://medium.com/@privacyint/encryption-at-the-centre-of-mass-arrests-one-year-on-from-turkeys-failed-coup-e6ecd0ef77c9."},"properties":{"noteIndex":13},"schema":"https://github.com/citation-style-language/schema/raw/master/csl-citation.json"}</w:instrText>
      </w:r>
      <w:r w:rsidRPr="008B2A01">
        <w:rPr>
          <w:rFonts w:cs="Times New Roman"/>
        </w:rPr>
        <w:fldChar w:fldCharType="separate"/>
      </w:r>
      <w:r w:rsidRPr="008B2A01">
        <w:rPr>
          <w:rFonts w:cs="Times New Roman"/>
          <w:noProof/>
        </w:rPr>
        <w:t>Privacy International, ‘Encryption At The Centre Of Mass Arrests : One Year On From Turkey’s Failed Coup,’ Privacy International, 2017, https://medium.com/@privacyint/encryption-at-the-centre-of-mass-arrests-one-year-on-from-turkeys-failed-coup-e6ecd0ef77c9.</w:t>
      </w:r>
      <w:r w:rsidRPr="008B2A01">
        <w:rPr>
          <w:rFonts w:cs="Times New Roman"/>
        </w:rPr>
        <w:fldChar w:fldCharType="end"/>
      </w:r>
    </w:p>
  </w:footnote>
  <w:footnote w:id="14">
    <w:p w14:paraId="77A3EB7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{"citationItems":[{"id":"ITEM-1","itemData":{"ISBN":"0203828259","author":[{"dropping-particle":"","family":"Cohen","given":"Stanley","non-dropping-particle":"","parse-names":false,"suffix":""}],"edition":"3rd Ed","id":"ITEM-1","issued":{"date-parts":[["2002"]]},"number-of-pages":"282","publisher":"Routledge","publisher-place":"London and New York","title":"Folk Devils and Moral Panics: The creation of the Mods and Rockers","type":"book","volume":"282"},"uris":["http://www.mendeley.com/documents/?uuid=bd621b52-69c5-4bd1-bfaf-44f4a32b33c2"]}],"mendeley":{"formattedCitation":"Stanley Cohen, &lt;i&gt;Folk Devils and Moral Panics: The Creation of the Mods and Rockers&lt;/i&gt;, 3rd Ed, vol. 282 (London and New York: Routledge, 2002).","plainTextFormattedCitation":"Stanley Cohen, Folk Devils and Moral Panics: The Creation of the Mods and Rockers, 3rd Ed, vol. 282 (London and New York: Routledge, 2002).","previouslyFormattedCitation":"Stanley Cohen, &lt;i&gt;Folk Devils and Moral Panics: The Creation of the Mods and Rockers&lt;/i&gt;, 3rd Ed, vol. 282 (London and New York: Routledge, 2002)."},"properties":{"noteIndex":14},"schema":"https://github.com/citation-style-language/schema/raw/master/csl-citation.json"}</w:instrText>
      </w:r>
      <w:r w:rsidRPr="008B2A01">
        <w:rPr>
          <w:rFonts w:cs="Times New Roman"/>
        </w:rPr>
        <w:fldChar w:fldCharType="separate"/>
      </w:r>
      <w:r w:rsidRPr="008B2A01">
        <w:rPr>
          <w:rFonts w:cs="Times New Roman"/>
          <w:noProof/>
        </w:rPr>
        <w:t xml:space="preserve">Stanley Cohen, </w:t>
      </w:r>
      <w:r w:rsidRPr="008B2A01">
        <w:rPr>
          <w:rFonts w:cs="Times New Roman"/>
          <w:i/>
          <w:noProof/>
        </w:rPr>
        <w:t>Folk Devils and Moral Panics: The Creation of the Mods and Rockers</w:t>
      </w:r>
      <w:r w:rsidRPr="008B2A01">
        <w:rPr>
          <w:rFonts w:cs="Times New Roman"/>
          <w:noProof/>
        </w:rPr>
        <w:t xml:space="preserve">, </w:t>
      </w:r>
      <w:r>
        <w:rPr>
          <w:rFonts w:cs="Times New Roman"/>
          <w:noProof/>
        </w:rPr>
        <w:t>third edition</w:t>
      </w:r>
      <w:r w:rsidRPr="008B2A01">
        <w:rPr>
          <w:rFonts w:cs="Times New Roman"/>
          <w:noProof/>
        </w:rPr>
        <w:t>, London</w:t>
      </w:r>
      <w:r>
        <w:rPr>
          <w:rFonts w:cs="Times New Roman"/>
          <w:noProof/>
        </w:rPr>
        <w:t>/</w:t>
      </w:r>
      <w:r w:rsidRPr="008B2A01">
        <w:rPr>
          <w:rFonts w:cs="Times New Roman"/>
          <w:noProof/>
        </w:rPr>
        <w:t>New York: Routledge, 2002.</w:t>
      </w:r>
      <w:r w:rsidRPr="008B2A01">
        <w:rPr>
          <w:rFonts w:cs="Times New Roman"/>
        </w:rPr>
        <w:fldChar w:fldCharType="end"/>
      </w:r>
    </w:p>
  </w:footnote>
  <w:footnote w:id="15">
    <w:p w14:paraId="668D99E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{"citationItems":[{"id":"ITEM-1","itemData":{"DOI":"10.1007/s11133-008-9107-z","ISSN":"01620436","abstract":"Based on group interviews conducted in 2006 that included 71 social justice organizations, this paper analyzes the impact of surveillance on the exercise of assembly and association rights. We link these protected legal activities with analytic frameworks from social movements scholarship in order to further a socio-legal conception of political violence against social movements.","author":[{"dropping-particle":"","family":"Starr","given":"Amory","non-dropping-particle":"","parse-names":false,"suffix":""},{"dropping-particle":"","family":"Fernandez","given":"Luis A.","non-dropping-particle":"","parse-names":false,"suffix":""},{"dropping-particle":"","family":"Amster","given":"Randall","non-dropping-particle":"","parse-names":false,"suffix":""},{"dropping-particle":"","family":"Wood","given":"Lesley J.","non-dropping-particle":"","parse-names":false,"suffix":""},{"dropping-particle":"","family":"Caro","given":"Manuel J.","non-dropping-particle":"","parse-names":false,"suffix":""}],"container-title":"Qualitative Sociology","id":"ITEM-1","issue":"3","issued":{"date-parts":[["2008"]]},"page":"251-270","title":"The impacts of state surveillance on political assembly and association: A socio-legal analysis","type":"article-journal","volume":"31"},"uris":["http://www.mendeley.com/documents/?uuid=1a85a8d4-3aaf-4872-a656-5131d1b491ff"]}],"mendeley":{"formattedCitation":"Amory Starr et al., “The Impacts of State Surveillance on Political Assembly and Association: A Socio-Legal Analysis,” &lt;i&gt;Qualitative Sociology&lt;/i&gt; 31, no. 3 (2008): 251–70, https://doi.org/10.1007/s11133-008-9107-z.","plainTextFormattedCitation":"Amory Starr et al., “The Impacts of State Surveillance on Political Assembly and Association: A Socio-Legal Analysis,” Qualitative Sociology 31, no. 3 (2008): 251–70, https://doi.org/10.1007/s11133-008-9107-z.","previouslyFormattedCitation":"Amory Starr et al., “The Impacts of State Surveillance on Political Assembly and Association: A Socio-Legal Analysis,” &lt;i&gt;Qualitative Sociology&lt;/i&gt; 31, no. 3 (2008): 251–70, https://doi.org/10.1007/s11133-008-9107-z."},"properties":{"noteIndex":15},"schema":"https://github.com/citation-style-language/schema/raw/master/csl-citation.json"}</w:instrText>
      </w:r>
      <w:r w:rsidRPr="008B2A01">
        <w:rPr>
          <w:rFonts w:cs="Times New Roman"/>
        </w:rPr>
        <w:fldChar w:fldCharType="separate"/>
      </w:r>
      <w:r w:rsidRPr="008B2A01">
        <w:rPr>
          <w:rFonts w:cs="Times New Roman"/>
          <w:noProof/>
        </w:rPr>
        <w:t>Amory Starr et al, ‘The Impacts of State Surveillance on Political Assembly and Association: A Socio-Legal Analysis’</w:t>
      </w:r>
      <w:r>
        <w:rPr>
          <w:rFonts w:cs="Times New Roman"/>
          <w:noProof/>
        </w:rPr>
        <w:t>,</w:t>
      </w:r>
      <w:r w:rsidRPr="008B2A01">
        <w:rPr>
          <w:rFonts w:cs="Times New Roman"/>
          <w:noProof/>
        </w:rPr>
        <w:t xml:space="preserve"> </w:t>
      </w:r>
      <w:r w:rsidRPr="008B2A01">
        <w:rPr>
          <w:rFonts w:cs="Times New Roman"/>
          <w:i/>
          <w:noProof/>
        </w:rPr>
        <w:t>Qualitative Sociology</w:t>
      </w:r>
      <w:r w:rsidRPr="008B2A01">
        <w:rPr>
          <w:rFonts w:cs="Times New Roman"/>
          <w:noProof/>
        </w:rPr>
        <w:t xml:space="preserve"> 31</w:t>
      </w:r>
      <w:r>
        <w:rPr>
          <w:rFonts w:cs="Times New Roman"/>
          <w:noProof/>
        </w:rPr>
        <w:t>.3 (</w:t>
      </w:r>
      <w:r w:rsidRPr="008B2A01">
        <w:rPr>
          <w:rFonts w:cs="Times New Roman"/>
          <w:noProof/>
        </w:rPr>
        <w:t xml:space="preserve">2008): 251–70, </w:t>
      </w:r>
      <w:r>
        <w:rPr>
          <w:rFonts w:cs="Times New Roman"/>
          <w:noProof/>
        </w:rPr>
        <w:t xml:space="preserve">DOI: </w:t>
      </w:r>
      <w:r w:rsidRPr="008B2A01">
        <w:rPr>
          <w:rFonts w:cs="Times New Roman"/>
          <w:noProof/>
        </w:rPr>
        <w:t>https://doi.org/10.1007/s11133-008-9107-z.</w:t>
      </w:r>
      <w:r w:rsidRPr="008B2A01">
        <w:rPr>
          <w:rFonts w:cs="Times New Roman"/>
        </w:rPr>
        <w:fldChar w:fldCharType="end"/>
      </w:r>
      <w:r>
        <w:rPr>
          <w:rFonts w:cs="Times New Roman"/>
        </w:rPr>
        <w:t xml:space="preserve"> ; </w:t>
      </w:r>
      <w:r w:rsidRPr="008B2A01">
        <w:rPr>
          <w:rFonts w:cs="Times New Roman"/>
        </w:rPr>
        <w:fldChar w:fldCharType="begin" w:fldLock="1"/>
      </w:r>
      <w:r w:rsidRPr="008B2A01">
        <w:rPr>
          <w:rFonts w:cs="Times New Roman"/>
        </w:rPr>
        <w:instrText>ADDIN CSL_CITATION {"citationItems":[{"id":"ITEM-1","itemData":{"DOI":"10.2139/ssrn.2524653","ISBN":"9780776621838","abstract":"The Snowden revelations have revealed to us, with impressive documentation, the technical infrastructure of contemporary state surveillance. What is less obvious, but of great importance, is the revelation of the legal infrastructure of this surveillance. We need to stop thinking that the issue is illegal activity on the part of our national security agencies and instead start from the proposition that our national security agencies do understand themselves to be acting within the law. The problem, I argue, is that this legal infrastructure is best understood as one of “lawful illegality.”   Unlike other discussions of the rule of law and terrorism, which have focused on the nature of emergencies and the perceived need to preserve executive discretion to respond to exceptional circumstances, I argue that state surveillance raises a very different rule of law question. Surveillance is a mode of rational social ordering and the question is whether it is in conflict with the deepest commitments of law as a mode of rational social ordering.  I claim that the issues of secrecy, complexity, and jurisdiction work together to create “lawful” paths for state surveillance for national security purposes that are nevertheless in deep tension with a general commitment that this surveillance be subject to the oversight and accountability demanded by the rule of law. Throughout, I illustrate these issues with a set of examples largely taken from the Snowden revelations, with a Canadian perspective. These examples are not meant to provide an exhaustive overview of the issues but to highlight the importance of attending to these larger questions of legality if we are going to move forward and design a better system of oversight.","author":[{"dropping-particle":"","family":"Austin","given":"Lisa M.","non-dropping-particle":"","parse-names":false,"suffix":""}],"container-title":"Ssrn","id":"ITEM-1","issue":"2011","issued":{"date-parts":[["2014"]]},"page":"1-25","title":"Lawful Illegality: What Snowden Has Taught Us About the Legal Infrastructure of the Surveillance State","type":"article-journal"},"uris":["http://www.mendeley.com/documents/?uuid=38d87482-4966-4f26-9d01-29ac17abb5e9"]}],"mendeley":{"formattedCitation":"Lisa M. Austin, “Lawful Illegality: What Snowden Has Taught Us About the Legal Infrastructure of the Surveillance State,” &lt;i&gt;Ssrn&lt;/i&gt;, no. 2011 (2014): 1–25, https://doi.org/10.2139/ssrn.2524653.","plainTextFormattedCitation":"Lisa M. Austin, “Lawful Illegality: What Snowden Has Taught Us About the Legal Infrastructure of the Surveillance State,” Ssrn, no. 2011 (2014): 1–25, https://doi.org/10.2139/ssrn.2524653.","previouslyFormattedCitation":"Lisa M. Austin, “Lawful Illegality: What Snowden Has Taught Us About the Legal Infrastructure of the Surveillance State,” &lt;i&gt;Ssrn&lt;/i&gt;, no. 2011 (2014): 1–25, https://doi.org/10.2139/ssrn.2524653."},"properties":{"noteIndex":16},"schema":"https://github.com/citation-style-language/schema/raw/master/csl-citation.json"}</w:instrText>
      </w:r>
      <w:r w:rsidRPr="008B2A01">
        <w:rPr>
          <w:rFonts w:cs="Times New Roman"/>
        </w:rPr>
        <w:fldChar w:fldCharType="separate"/>
      </w:r>
      <w:r w:rsidRPr="008B2A01">
        <w:rPr>
          <w:rFonts w:cs="Times New Roman"/>
          <w:noProof/>
        </w:rPr>
        <w:t xml:space="preserve">Lisa M. Austin, ‘Lawful Illegality: What Snowden Has Taught Us About the Legal Infrastructure of the Surveillance State,’ </w:t>
      </w:r>
      <w:r>
        <w:rPr>
          <w:rFonts w:cs="Times New Roman"/>
          <w:i/>
          <w:noProof/>
        </w:rPr>
        <w:t xml:space="preserve">SSRN </w:t>
      </w:r>
      <w:r w:rsidRPr="008B2A01">
        <w:rPr>
          <w:rFonts w:cs="Times New Roman"/>
          <w:noProof/>
        </w:rPr>
        <w:t>(2014),</w:t>
      </w:r>
      <w:r>
        <w:rPr>
          <w:rFonts w:cs="Times New Roman"/>
          <w:noProof/>
        </w:rPr>
        <w:t xml:space="preserve"> DOI: </w:t>
      </w:r>
      <w:r w:rsidRPr="008B2A01">
        <w:rPr>
          <w:rFonts w:cs="Times New Roman"/>
          <w:noProof/>
        </w:rPr>
        <w:t>https://doi.org/10.2139/ssrn.2524653.</w:t>
      </w:r>
      <w:r w:rsidRPr="008B2A01">
        <w:rPr>
          <w:rFonts w:cs="Times New Roman"/>
        </w:rPr>
        <w:fldChar w:fldCharType="end"/>
      </w:r>
    </w:p>
  </w:footnote>
  <w:footnote w:id="16">
    <w:p w14:paraId="615568F6"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{"citationItems":[{"id":"ITEM-1","itemData":{"ISBN":"0203828259","author":[{"dropping-particle":"","family":"Cohen","given":"Stanley","non-dropping-particle":"","parse-names":false,"suffix":""}],"edition":"3rd Ed","id":"ITEM-1","issued":{"date-parts":[["2002"]]},"number-of-pages":"282","publisher":"Routledge","publisher-place":"London and New York","title":"Folk Devils and Moral Panics: The creation of the Mods and Rockers","type":"book","volume":"282"},"locator":"1","uris":["http://www.mendeley.com/documents/?uuid=bd621b52-69c5-4bd1-bfaf-44f4a32b33c2"]}],"mendeley":{"formattedCitation":"Cohen, &lt;i&gt;Folk Devils and Moral Panics: The Creation of the Mods and Rockers&lt;/i&gt;, 282:1.","plainTextFormattedCitation":"Cohen, Folk Devils and Moral Panics: The Creation of the Mods and Rockers, 282:1.","previouslyFormattedCitation":"Cohen, &lt;i&gt;Folk Devils and Moral Panics: The Creation of the Mods and Rockers&lt;/i&gt;, 282:1."},"properties":{"noteIndex":17},"schema":"https://github.com/citation-style-language/schema/raw/master/csl-citation.json"}</w:instrText>
      </w:r>
      <w:r w:rsidRPr="008B2A01">
        <w:rPr>
          <w:rFonts w:cs="Times New Roman"/>
        </w:rPr>
        <w:fldChar w:fldCharType="separate"/>
      </w:r>
      <w:r w:rsidRPr="008B2A01">
        <w:rPr>
          <w:rFonts w:cs="Times New Roman"/>
          <w:noProof/>
        </w:rPr>
        <w:t xml:space="preserve">Cohen, </w:t>
      </w:r>
      <w:r w:rsidRPr="008B2A01">
        <w:rPr>
          <w:rFonts w:cs="Times New Roman"/>
          <w:i/>
          <w:noProof/>
        </w:rPr>
        <w:t>Folk Devils and Moral Panics: The Creation of the Mods and Rockers</w:t>
      </w:r>
      <w:r w:rsidRPr="008B2A01">
        <w:rPr>
          <w:rFonts w:cs="Times New Roman"/>
          <w:noProof/>
        </w:rPr>
        <w:t>, 282:1.</w:t>
      </w:r>
      <w:r w:rsidRPr="008B2A01">
        <w:rPr>
          <w:rFonts w:cs="Times New Roman"/>
        </w:rPr>
        <w:fldChar w:fldCharType="end"/>
      </w:r>
    </w:p>
  </w:footnote>
  <w:footnote w:id="17">
    <w:p w14:paraId="24A89AD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{"citationItems":[{"id":"ITEM-1","itemData":{"DOI":"10.1177/0267323115614198","ISBN":"0267-3231, 1460-3705","ISSN":"14603705","abstract":"Our daily lives have become so immersed in digital Information and Communications Technology that we rarely stop to think about it. We know much about the benefits brought by its recent developments, including the Internet with its numerous applications. At the same time, there is increasing concern that the economic emphasis linked to these technologies will widen the digital divide, potentially sharpening social inequalities in a global scale. However, it has come ever more clear that it is not technology as such that is the cause of the social problems with digital communications technology but the ways how it has been applied, reflecting unequal power relations in our societies. There are a number of disturbing questions concerning the long-term effects of the social and cultural deployment of Information and Communications Technology. Some of the questions we address in this article here are the following: Can digital Information and Communications Technology still be regulated nationally? How do we measure the effects of Information and Communications Technology on academic work? How should we think critically about big data? Has digital Information and Communications Technology improved our lives?","author":[{"dropping-particle":"","family":"Nieminen","given":"Hannu","non-dropping-particle":"","parse-names":false,"suffix":""}],"container-title":"European Journal of Communication","id":"ITEM-1","issue":"1","issued":{"date-parts":[["2016"]]},"page":"19-32","title":"Digital divide and beyond: What do we know of Information and Communications Technology’s long-term social effects? Some uncomfortable questions","type":"article-journal","volume":"31"},"uris":["http://www.mendeley.com/documents/?uuid=216ddc54-97f7-4ae9-801b-85100c85ea3b"]}],"mendeley":{"formattedCitation":"Hannu Nieminen, “Digital Divide and beyond: What Do We Know of Information and Communications Technology’s Long-Term Social Effects? Some Uncomfortable Questions,” &lt;i&gt;European Journal of Communication&lt;/i&gt; 31, no. 1 (2016): 19–32, https://doi.org/10.1177/0267323115614198.","plainTextFormattedCitation":"Hannu Nieminen, “Digital Divide and beyond: What Do We Know of Information and Communications Technology’s Long-Term Social Effects? Some Uncomfortable Questions,” European Journal of Communication 31, no. 1 (2016): 19–32, https://doi.org/10.1177/0267323115614198.","previouslyFormattedCitation":"Hannu Nieminen, “Digital Divide and beyond: What Do We Know of Information and Communications Technology’s Long-Term Social Effects? Some Uncomfortable Questions,” &lt;i&gt;European Journal of Communication&lt;/i&gt; 31, no. 1 (2016): 19–32, https://doi.org/10.1177/0267323115614198."},"properties":{"noteIndex":18},"schema":"https://github.com/citation-style-language/schema/raw/master/csl-citation.json"}</w:instrText>
      </w:r>
      <w:r w:rsidRPr="008B2A01">
        <w:rPr>
          <w:rFonts w:cs="Times New Roman"/>
        </w:rPr>
        <w:fldChar w:fldCharType="separate"/>
      </w:r>
      <w:r w:rsidRPr="008B2A01">
        <w:rPr>
          <w:rFonts w:cs="Times New Roman"/>
          <w:noProof/>
        </w:rPr>
        <w:t>Hannu Nieminen, ‘Digital Divide and beyond: What Do We Know of Information and Communications Technology’s Long-Term Social Effects? Some Uncomfortable Questions’</w:t>
      </w:r>
      <w:r>
        <w:rPr>
          <w:rFonts w:cs="Times New Roman"/>
          <w:noProof/>
        </w:rPr>
        <w:t>,</w:t>
      </w:r>
      <w:r w:rsidRPr="008B2A01">
        <w:rPr>
          <w:rFonts w:cs="Times New Roman"/>
          <w:noProof/>
        </w:rPr>
        <w:t xml:space="preserve"> </w:t>
      </w:r>
      <w:r w:rsidRPr="008B2A01">
        <w:rPr>
          <w:rFonts w:cs="Times New Roman"/>
          <w:i/>
          <w:noProof/>
        </w:rPr>
        <w:t>European Journal of Communication</w:t>
      </w:r>
      <w:r w:rsidRPr="008B2A01">
        <w:rPr>
          <w:rFonts w:cs="Times New Roman"/>
          <w:noProof/>
        </w:rPr>
        <w:t xml:space="preserve"> 31</w:t>
      </w:r>
      <w:r>
        <w:rPr>
          <w:rFonts w:cs="Times New Roman"/>
          <w:noProof/>
        </w:rPr>
        <w:t>.1 (</w:t>
      </w:r>
      <w:r w:rsidRPr="008B2A01">
        <w:rPr>
          <w:rFonts w:cs="Times New Roman"/>
          <w:noProof/>
        </w:rPr>
        <w:t xml:space="preserve">2016): 19–32, </w:t>
      </w:r>
      <w:r>
        <w:rPr>
          <w:rFonts w:cs="Times New Roman"/>
          <w:noProof/>
        </w:rPr>
        <w:t xml:space="preserve">DOI: </w:t>
      </w:r>
      <w:r w:rsidRPr="008B2A01">
        <w:rPr>
          <w:rFonts w:cs="Times New Roman"/>
          <w:noProof/>
        </w:rPr>
        <w:t>https://doi.org/10.1177/0267323115614198.</w:t>
      </w:r>
      <w:r w:rsidRPr="008B2A01">
        <w:rPr>
          <w:rFonts w:cs="Times New Roman"/>
        </w:rPr>
        <w:fldChar w:fldCharType="end"/>
      </w:r>
    </w:p>
  </w:footnote>
  <w:footnote w:id="18">
    <w:p w14:paraId="7349963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{"citationItems":[{"id":"ITEM-1","itemData":{"DOI":"10.1080/13510340008403642","ISBN":"9780199589074","ISSN":"13510347","PMID":"17793584","abstract":"AbstractDownload full textRelated articlesView all related articles\\r\\n    \\r\\n            \\r\\n\\r\\n\\r\\n\\r\\n\\r\\n\\r\\n\\r\\n\\r\\n    \\r\\n\\r\\n\\r\\n    \\r\\n\\r\\n\\r\\n\\r\\n\\r\\n\\r\\n    var addthis_config = {\\r\\n        ui_cobrand: \"Taylor &amp;amp; Francis Online\",\\r\\n        services_compact: \"citeulike,netvibes,twitter,technorati,delicious,linkedin,facebook,stumbleupon,digg,google,more\",\\r\\n        pubid: \"ra-4dff56cd6bb1830b\"\\r\\n    };\\r\\n\\r\\n                Share on facebook\\r\\n                Share on twitter\\r\\n                Share on email\\r\\n                More Sharing Services\\r\\n                \\r\\n                var addthis_config = {\"data_track_addressbar\":true,\"ui_click\":true};\\r\\n        \\r\\n            \\r\\n                    \\r\\n                        Add to shortlist\\r\\n                    \\r\\n                \\r\\n\\r\\n        \\r\\n\\r\\n        \\r\\n            \\r\\n                \\r\\n                        \\r\\n                            Link\\r\\n                        \\r\\n\\r\\n                        \\r\\n                            \\r\\n                                \\r\\n                                    Permalink\\r\\n                                \\r\\n\\r\\n                                \\r\\n                                    \\r\\n                                    \\r\\n\\r\\n                                    \\r\\n\\r\\n\\r\\n\\r\\n                                    \\r\\n                                        \\r\\n                                    \\r\\n\\r\\n\\r\\n\\r\\n\\r\\n                                    \\r\\n                                    \\r\\n                                            http://dx.doi.org/10.1080/13510340008403642\\r\\n                                    \\r\\n                                \\r\\n                            \\r\\n                            \\r\\n                            \\r\\n                        \\r\\n                    \\r\\n            \\r\\n        \\r\\n\\r\\n        \\r\\n            \\r\\n                \\r\\n                        \\r\\n                            Download Citation\\r\\n                        \\r\\n                    \\r\\n\\r\\n            \\r\\n        \\r\\n    \\r\\n            Recommend to:\\r\\n        \\r\\n        \\r\\n            \\r\\n                    \\r\\n                \\r\\n\\r\\n            \\r\\n\\r\\n            \\r\\n                \\r\\n                \\r\\n                \\r\\n                \\r\\n\\r\\n                A friend","author":[{"dropping-particle":"","family":"Ferdinand","given":"Peter","non-dropping-particle":"","parse-names":false,"suffix":""}],"container-title":"Democratization","id":"ITEM-1","issue":"1","issued":{"date-parts":[["2000"]]},"page":"1-17","title":"The Internet, democracy and democratization","type":"article-journal","volume":"7"},"uris":["http://www.mendeley.com/documents/?uuid=6d31066b-a270-4d01-9091-200a0f2bd568"]}],"mendeley":{"formattedCitation":"Peter Ferdinand, “The Internet, Democracy and Democratization,” &lt;i&gt;Democratization&lt;/i&gt; 7, no. 1 (2000): 1–17, https://doi.org/10.1080/13510340008403642.","plainTextFormattedCitation":"Peter Ferdinand, “The Internet, Democracy and Democratization,” Democratization 7, no. 1 (2000): 1–17, https://doi.org/10.1080/13510340008403642.","previouslyFormattedCitation":"Peter Ferdinand, “The Internet, Democracy and Democratization,” &lt;i&gt;Democratization&lt;/i&gt; 7, no. 1 (2000): 1–17, https://doi.org/10.1080/13510340008403642."},"properties":{"noteIndex":19},"schema":"https://github.com/citation-style-language/schema/raw/master/csl-citation.json"}</w:instrText>
      </w:r>
      <w:r w:rsidRPr="008B2A01">
        <w:rPr>
          <w:rFonts w:cs="Times New Roman"/>
        </w:rPr>
        <w:fldChar w:fldCharType="separate"/>
      </w:r>
      <w:r w:rsidRPr="008B2A01">
        <w:rPr>
          <w:rFonts w:cs="Times New Roman"/>
          <w:noProof/>
        </w:rPr>
        <w:t>Peter Ferdinand, ‘The Internet, Democracy and Democratization’</w:t>
      </w:r>
      <w:r>
        <w:rPr>
          <w:rFonts w:cs="Times New Roman"/>
          <w:noProof/>
        </w:rPr>
        <w:t>,</w:t>
      </w:r>
      <w:r w:rsidRPr="008B2A01">
        <w:rPr>
          <w:rFonts w:cs="Times New Roman"/>
          <w:noProof/>
        </w:rPr>
        <w:t xml:space="preserve"> </w:t>
      </w:r>
      <w:r w:rsidRPr="008B2A01">
        <w:rPr>
          <w:rFonts w:cs="Times New Roman"/>
          <w:i/>
          <w:noProof/>
        </w:rPr>
        <w:t>Democratization</w:t>
      </w:r>
      <w:r w:rsidRPr="008B2A01">
        <w:rPr>
          <w:rFonts w:cs="Times New Roman"/>
          <w:noProof/>
        </w:rPr>
        <w:t xml:space="preserve"> 7</w:t>
      </w:r>
      <w:r>
        <w:rPr>
          <w:rFonts w:cs="Times New Roman"/>
          <w:noProof/>
        </w:rPr>
        <w:t>.1 (</w:t>
      </w:r>
      <w:r w:rsidRPr="008B2A01">
        <w:rPr>
          <w:rFonts w:cs="Times New Roman"/>
          <w:noProof/>
        </w:rPr>
        <w:t>2000): 1–17,</w:t>
      </w:r>
      <w:r>
        <w:rPr>
          <w:rFonts w:cs="Times New Roman"/>
          <w:noProof/>
        </w:rPr>
        <w:t xml:space="preserve"> DOI: </w:t>
      </w:r>
      <w:r w:rsidRPr="008B2A01">
        <w:rPr>
          <w:rFonts w:cs="Times New Roman"/>
          <w:noProof/>
        </w:rPr>
        <w:t>https://doi.org/10.1080/13510340008403642.</w:t>
      </w:r>
      <w:r w:rsidRPr="008B2A01">
        <w:rPr>
          <w:rFonts w:cs="Times New Roman"/>
        </w:rPr>
        <w:fldChar w:fldCharType="end"/>
      </w:r>
    </w:p>
  </w:footnote>
  <w:footnote w:id="19">
    <w:p w14:paraId="6914302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{"citationItems":[{"id":"ITEM-1","itemData":{"ISBN":"1932-8036","ISSN":"1932-8036","PMID":"4877918","abstract":"This article details the networked production and dissemination of news on Twitter during snapshots of the 2011 Tunisian and Egyptian Revolutions as seen through information flows—sets of near-duplicate tweets—across activists, bloggers, journalists, mainstream media outlets, and other engaged participants. We differentiate between these user types and analyze patterns of sourcing and routing information among them. We describe the symbiotic relationship between media outlets and individuals and the distinct roles particular user types appear to play. Using this analysis, we discuss how Twitter plays a key role in amplifying and spreading timely information across the globe.","author":[{"dropping-particle":"","family":"Lotan","given":"Gilad","non-dropping-particle":"","parse-names":false,"suffix":""},{"dropping-particle":"","family":"Graeff","given":"Erhardt","non-dropping-particle":"","parse-names":false,"suffix":""},{"dropping-particle":"","family":"Ananny","given":"Mike","non-dropping-particle":"","parse-names":false,"suffix":""},{"dropping-particle":"","family":"Gaffney","given":"Devin","non-dropping-particle":"","parse-names":false,"suffix":""},{"dropping-particle":"","family":"Pearce","given":"Ian","non-dropping-particle":"","parse-names":false,"suffix":""},{"dropping-particle":"","family":"Boyd","given":"Danah","non-dropping-particle":"","parse-names":false,"suffix":""}],"container-title":"International Journal of Communication","id":"ITEM-1","issued":{"date-parts":[["2011"]]},"page":"31","title":"The Arab Spring| The Revolutions Were Tweeted: Information Flows during the 2011 Tunisian and Egyptian Revolutions","type":"article-journal","volume":"5"},"locator":"1377","uris":["http://www.mendeley.com/documents/?uuid=9f42f0bf-f09f-4d3e-8136-227919babac4"]}],"mendeley":{"formattedCitation":"Gilad Lotan et al., “The Arab Spring| The Revolutions Were Tweeted: Information Flows during the 2011 Tunisian and Egyptian Revolutions,” &lt;i&gt;International Journal of Communication&lt;/i&gt; 5 (2011): 1377, http://ijoc.org/index.php/ijoc/article/view/1246.","plainTextFormattedCitation":"Gilad Lotan et al., “The Arab Spring| The Revolutions Were Tweeted: Information Flows during the 2011 Tunisian and Egyptian Revolutions,” International Journal of Communication 5 (2011): 1377, http://ijoc.org/index.php/ijoc/article/view/1246.","previouslyFormattedCitation":"Gilad Lotan et al., “The Arab Spring| The Revolutions Were Tweeted: Information Flows during the 2011 Tunisian and Egyptian Revolutions,” &lt;i&gt;International Journal of Communication&lt;/i&gt; 5 (2011): 1377, http://ijoc.org/index.php/ijoc/article/view/1246."},"properties":{"noteIndex":20},"schema":"https://github.com/citation-style-language/schema/raw/master/csl-citation.json"}</w:instrText>
      </w:r>
      <w:r w:rsidRPr="008B2A01">
        <w:rPr>
          <w:rFonts w:cs="Times New Roman"/>
        </w:rPr>
        <w:fldChar w:fldCharType="separate"/>
      </w:r>
      <w:r w:rsidRPr="008B2A01">
        <w:rPr>
          <w:rFonts w:cs="Times New Roman"/>
          <w:noProof/>
        </w:rPr>
        <w:t xml:space="preserve">Gilad Lotan et al, ‘The Arab Spring| The Revolutions Were Tweeted: Information Flows during the 2011 Tunisian and Egyptian Revolutions,’ </w:t>
      </w:r>
      <w:r w:rsidRPr="008B2A01">
        <w:rPr>
          <w:rFonts w:cs="Times New Roman"/>
          <w:i/>
          <w:noProof/>
        </w:rPr>
        <w:t>International Journal of Communication</w:t>
      </w:r>
      <w:r w:rsidRPr="008B2A01">
        <w:rPr>
          <w:rFonts w:cs="Times New Roman"/>
          <w:noProof/>
        </w:rPr>
        <w:t xml:space="preserve"> 5 (2011): 1377</w:t>
      </w:r>
      <w:r>
        <w:rPr>
          <w:rFonts w:cs="Times New Roman"/>
          <w:noProof/>
        </w:rPr>
        <w:t>.</w:t>
      </w:r>
      <w:r w:rsidRPr="008B2A01">
        <w:rPr>
          <w:rFonts w:cs="Times New Roman"/>
        </w:rPr>
        <w:fldChar w:fldCharType="end"/>
      </w:r>
    </w:p>
  </w:footnote>
  <w:footnote w:id="20">
    <w:p w14:paraId="4687BA9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1748048518757141","ISSN":"1748-0485","author":[{"dropping-particle":"","family":"Mann","given":"Monique","non-dropping-particle":"","parse-names":false,"suffix":""},{"dropping-particle":"","family":"Daly","given":"Angela","non-dropping-particle":"","parse-names":false,"suffix":""},{"dropping-particle":"","family":"Wilson","given":"Michael","non-dropping-particle":"","parse-names":false,"suffix":""},{"dropping-particle":"","family":"Suzor","given":"Nicolas","non-dropping-particle":"","parse-names":false,"suffix":""}],"container-title":"International Communication Gazette","id":"ITEM-1","issue":"im","issued":{"date-parts":[["2018"]]},"page":"Advance online publication","title":"The Limits of (Digital) Constitutionalism: Exploring the Privacy-Security (Im)Balance in Australia","type":"article-journal"},"uris":["http://www.mendeley.com/documents/?uuid=d0a16033-59cf-42b2-90d7-85ec50adf8fc"]}],"mendeley":{"formattedCitation":"Monique Mann et al., “The Limits of (Digital) Constitutionalism: Exploring the Privacy-Security (Im)Balance in Australia,” &lt;i&gt;International Communication Gazette&lt;/i&gt;, no. im (2018): Advance online publication, https://doi.org/10.1177/1748048518757141.","plainTextFormattedCitation":"Monique Mann et al., “The Limits of (Digital) Constitutionalism: Exploring the Privacy-Security (Im)Balance in Australia,” International Communication Gazette, no. im (2018): Advance online publication, https://doi.org/10.1177/1748048518757141.","previouslyFormattedCitation":"Monique Mann et al., “The Limits of (Digital) Constitutionalism: Exploring the Privacy-Security (Im)Balance in Australia,” &lt;i&gt;International Communication Gazette&lt;/i&gt;, no. im (2018): Advance online publication, https://doi.org/10.1177/1748048518757141."},"properties":{"noteIndex":21},"schema":"https://github.com/citation-style-language/schema/raw/master/csl-citation.json"}</w:instrText>
      </w:r>
      <w:r w:rsidRPr="008B2A01">
        <w:rPr>
          <w:rFonts w:cs="Times New Roman"/>
        </w:rPr>
        <w:fldChar w:fldCharType="separate"/>
      </w:r>
      <w:r w:rsidRPr="008B2A01">
        <w:rPr>
          <w:rFonts w:cs="Times New Roman"/>
          <w:noProof/>
        </w:rPr>
        <w:t xml:space="preserve">Monique Mann et al., ‘The Limits of (Digital) Constitutionalism: Exploring the Privacy-Security (Im)Balance in Australia,’ </w:t>
      </w:r>
      <w:r w:rsidRPr="008B2A01">
        <w:rPr>
          <w:rFonts w:cs="Times New Roman"/>
          <w:i/>
          <w:noProof/>
        </w:rPr>
        <w:t>International Communication Gazette</w:t>
      </w:r>
      <w:r>
        <w:rPr>
          <w:rFonts w:cs="Times New Roman"/>
          <w:noProof/>
        </w:rPr>
        <w:t xml:space="preserve"> </w:t>
      </w:r>
      <w:r w:rsidRPr="008B2A01">
        <w:rPr>
          <w:rFonts w:cs="Times New Roman"/>
          <w:noProof/>
        </w:rPr>
        <w:t>(</w:t>
      </w:r>
      <w:r>
        <w:rPr>
          <w:rFonts w:cs="Times New Roman"/>
          <w:noProof/>
        </w:rPr>
        <w:t xml:space="preserve">in press, </w:t>
      </w:r>
      <w:r w:rsidRPr="008B2A01">
        <w:rPr>
          <w:rFonts w:cs="Times New Roman"/>
          <w:noProof/>
        </w:rPr>
        <w:t>2018)</w:t>
      </w:r>
      <w:r>
        <w:rPr>
          <w:rFonts w:cs="Times New Roman"/>
          <w:noProof/>
        </w:rPr>
        <w:t xml:space="preserve">, DOI: </w:t>
      </w:r>
      <w:r w:rsidRPr="008B2A01">
        <w:rPr>
          <w:rFonts w:cs="Times New Roman"/>
          <w:noProof/>
        </w:rPr>
        <w:t>https://doi.org/10.1177/1748048518757141.</w:t>
      </w:r>
      <w:r w:rsidRPr="008B2A01">
        <w:rPr>
          <w:rFonts w:cs="Times New Roman"/>
        </w:rPr>
        <w:fldChar w:fldCharType="end"/>
      </w:r>
    </w:p>
  </w:footnote>
  <w:footnote w:id="21">
    <w:p w14:paraId="600EAAD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Pr>
          <w:rFonts w:cs="Times New Roman"/>
        </w:rPr>
        <w:t xml:space="preserve">R </w:t>
      </w:r>
      <w:proofErr w:type="spellStart"/>
      <w:r>
        <w:rPr>
          <w:rFonts w:cs="Times New Roman"/>
        </w:rPr>
        <w:t>Raley</w:t>
      </w:r>
      <w:proofErr w:type="spellEnd"/>
      <w:r>
        <w:rPr>
          <w:rFonts w:cs="Times New Roman"/>
        </w:rPr>
        <w:t>, ‘</w:t>
      </w:r>
      <w:proofErr w:type="spellStart"/>
      <w:r>
        <w:rPr>
          <w:rFonts w:cs="Times New Roman"/>
        </w:rPr>
        <w:t>Dataveilance</w:t>
      </w:r>
      <w:proofErr w:type="spellEnd"/>
      <w:r>
        <w:rPr>
          <w:rFonts w:cs="Times New Roman"/>
        </w:rPr>
        <w:t xml:space="preserve"> and </w:t>
      </w:r>
      <w:proofErr w:type="spellStart"/>
      <w:r>
        <w:rPr>
          <w:rFonts w:cs="Times New Roman"/>
        </w:rPr>
        <w:t>Countervailance</w:t>
      </w:r>
      <w:proofErr w:type="spellEnd"/>
      <w:r>
        <w:rPr>
          <w:rFonts w:cs="Times New Roman"/>
        </w:rPr>
        <w:t xml:space="preserve">’ in </w:t>
      </w:r>
      <w:r w:rsidRPr="00F03D39">
        <w:rPr>
          <w:rFonts w:cs="Times New Roman"/>
          <w:lang w:val="en-US"/>
        </w:rPr>
        <w:t xml:space="preserve">in L </w:t>
      </w:r>
      <w:proofErr w:type="spellStart"/>
      <w:r w:rsidRPr="00F03D39">
        <w:rPr>
          <w:rFonts w:cs="Times New Roman"/>
          <w:lang w:val="en-US"/>
        </w:rPr>
        <w:t>Gitelman</w:t>
      </w:r>
      <w:proofErr w:type="spellEnd"/>
      <w:r w:rsidRPr="00F03D39">
        <w:rPr>
          <w:rFonts w:cs="Times New Roman"/>
          <w:lang w:val="en-US"/>
        </w:rPr>
        <w:t xml:space="preserve">, </w:t>
      </w:r>
      <w:r w:rsidRPr="00F03D39">
        <w:rPr>
          <w:rFonts w:cs="Times New Roman"/>
          <w:i/>
          <w:iCs/>
          <w:lang w:val="en-US"/>
        </w:rPr>
        <w:t>Raw Data’ Is an Oxymoron</w:t>
      </w:r>
      <w:r w:rsidRPr="00F03D39">
        <w:rPr>
          <w:rFonts w:cs="Times New Roman"/>
          <w:lang w:val="en-US"/>
        </w:rPr>
        <w:t>, Cambridge MA: MIT Press, 2013.</w:t>
      </w:r>
    </w:p>
  </w:footnote>
  <w:footnote w:id="22">
    <w:p w14:paraId="2DBDE95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cnbc.com/2018/04/10/facebook-cambridge-analytica-a-timeline-of-the-data-hijacking-scandal.html","accessed":{"date-parts":[["2018","4","11"]]},"author":[{"dropping-particle":"","family":"CNBC","given":"","non-dropping-particle":"","parse-names":false,"suffix":""}],"id":"ITEM-1","issued":{"date-parts":[["2018"]]},"title":"Facebook-Cambridge Analytica: A timeline of the data hijacking scandal","type":"webpage"},"uris":["http://www.mendeley.com/documents/?uuid=65ec5c0b-796d-32ae-be70-e579ae2a10d5"]}],"mendeley":{"formattedCitation":"CNBC, “Facebook-Cambridge Analytica: A Timeline of the Data Hijacking Scandal,” 2018, https://www.cnbc.com/2018/04/10/facebook-cambridge-analytica-a-timeline-of-the-data-hijacking-scandal.html.","plainTextFormattedCitation":"CNBC, “Facebook-Cambridge Analytica: A Timeline of the Data Hijacking Scandal,” 2018, https://www.cnbc.com/2018/04/10/facebook-cambridge-analytica-a-timeline-of-the-data-hijacking-scandal.html.","previouslyFormattedCitation":"CNBC, “Facebook-Cambridge Analytica: A Timeline of the Data Hijacking Scandal,” 2018, https://www.cnbc.com/2018/04/10/facebook-cambridge-analytica-a-timeline-of-the-data-hijacking-scandal.html."},"properties":{"noteIndex":23},"schema":"https://github.com/citation-style-language/schema/raw/master/csl-citation.json"}</w:instrText>
      </w:r>
      <w:r w:rsidRPr="008B2A01">
        <w:rPr>
          <w:rFonts w:cs="Times New Roman"/>
        </w:rPr>
        <w:fldChar w:fldCharType="separate"/>
      </w:r>
      <w:r w:rsidRPr="008B2A01">
        <w:rPr>
          <w:rFonts w:cs="Times New Roman"/>
          <w:noProof/>
        </w:rPr>
        <w:t>CNBC, ‘Facebook-Cambridge Analytica: A Timeline of the Data Hijacking Scandal,’ 2018, https://www.cnbc.com/2018/04/10/facebook-cambridge-analytica-a-timeline-of-the-data-hijacking-scandal.html.</w:t>
      </w:r>
      <w:r w:rsidRPr="008B2A01">
        <w:rPr>
          <w:rFonts w:cs="Times New Roman"/>
        </w:rPr>
        <w:fldChar w:fldCharType="end"/>
      </w:r>
    </w:p>
  </w:footnote>
  <w:footnote w:id="23">
    <w:p w14:paraId="69AD1DD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{"citationItems":[{"id":"ITEM-1","itemData":{"DOI":"10.17645/mac.v3i2.297","ISBN":"2183-2439","ISSN":"2183-2439","abstract":"Legal frameworks exist within democracies to prevent the misuse and abuse of personal data that law enforcement au-thorities obtain from private communication service providers. The fundamental rights to respect for private life and the protection of personal data underpin this framework within the European Union. Accordingly, the protection of the principles and safeguards required by these rights is key to ensuring that the oversight of State surveillance powers is robust and transparent. Furthermore, without the robust scrutiny of independent judicial review, the principles and safeguards guaranteed by these rights may become more illusory than real. Following the Edward Snowden revelations, major concerns have been raised worldwide regarding the legality, necessity and proportionality standards governing these laws. In 2014, the highest court in the EU struck down the legal framework that imposed a mandatory duty on communication service providers to undertake the mass retention of metadata for secret intelligence and law enforce-ment authorities across the EU. This article considers the influence of the Snowden revelations on this landmark judg-ment. Subsequently, the analysis explores the significance of this ruling for the future reform of EU law governing metadata surveillance and its contribution to the worldwide debate on indiscriminate and covert monitoring in the post-Snowden era.","author":[{"dropping-particle":"","family":"Ni Loideain","given":"Nora","non-dropping-particle":"","parse-names":false,"suffix":""}],"container-title":"Media and Communication","id":"ITEM-1","issue":"2","issued":{"date-parts":[["2015"]]},"page":"53","title":"EU Law and Mass Internet Metadata Surveillance in the Post-Snowden Era","type":"article-journal","volume":"3"},"locator":"54","uris":["http://www.mendeley.com/documents/?uuid=24385114-7c94-4cfb-8f83-4a86cab533cb"]}],"mendeley":{"formattedCitation":"Nora Ni Loideain, “EU Law and Mass Internet Metadata Surveillance in the Post-Snowden Era,” &lt;i&gt;Media and Communication&lt;/i&gt; 3, no. 2 (2015): 54, https://doi.org/10.17645/mac.v3i2.297.","plainTextFormattedCitation":"Nora Ni Loideain, “EU Law and Mass Internet Metadata Surveillance in the Post-Snowden Era,” Media and Communication 3, no. 2 (2015): 54, https://doi.org/10.17645/mac.v3i2.297.","previouslyFormattedCitation":"Nora Ni Loideain, “EU Law and Mass Internet Metadata Surveillance in the Post-Snowden Era,” &lt;i&gt;Media and Communication&lt;/i&gt; 3, no. 2 (2015): 54, https://doi.org/10.17645/mac.v3i2.297."},"properties":{"noteIndex":24},"schema":"https://github.com/citation-style-language/schema/raw/master/csl-citation.json"}</w:instrText>
      </w:r>
      <w:r w:rsidRPr="008B2A01">
        <w:rPr>
          <w:rFonts w:cs="Times New Roman"/>
        </w:rPr>
        <w:fldChar w:fldCharType="separate"/>
      </w:r>
      <w:r w:rsidRPr="008B2A01">
        <w:rPr>
          <w:rFonts w:cs="Times New Roman"/>
          <w:bCs/>
          <w:noProof/>
        </w:rPr>
        <w:t xml:space="preserve">Nora Ni Loideain, ‘EU Law and Mass Internet Metadata Surveillance in the Post-Snowden Era,’ </w:t>
      </w:r>
      <w:r w:rsidRPr="008B2A01">
        <w:rPr>
          <w:rFonts w:cs="Times New Roman"/>
          <w:bCs/>
          <w:i/>
          <w:noProof/>
        </w:rPr>
        <w:t>Media and Communication</w:t>
      </w:r>
      <w:r w:rsidRPr="008B2A01">
        <w:rPr>
          <w:rFonts w:cs="Times New Roman"/>
          <w:bCs/>
          <w:noProof/>
        </w:rPr>
        <w:t xml:space="preserve"> 3</w:t>
      </w:r>
      <w:r>
        <w:rPr>
          <w:rFonts w:cs="Times New Roman"/>
          <w:bCs/>
          <w:noProof/>
        </w:rPr>
        <w:t>.2 (</w:t>
      </w:r>
      <w:r w:rsidRPr="008B2A01">
        <w:rPr>
          <w:rFonts w:cs="Times New Roman"/>
          <w:bCs/>
          <w:noProof/>
        </w:rPr>
        <w:t xml:space="preserve">2015): 54, </w:t>
      </w:r>
      <w:r>
        <w:rPr>
          <w:rFonts w:cs="Times New Roman"/>
          <w:bCs/>
          <w:noProof/>
        </w:rPr>
        <w:t xml:space="preserve">DOI: </w:t>
      </w:r>
      <w:r w:rsidRPr="008B2A01">
        <w:rPr>
          <w:rFonts w:cs="Times New Roman"/>
          <w:bCs/>
          <w:noProof/>
        </w:rPr>
        <w:t>https://doi.org/10.17645/mac.v3i2.297.</w:t>
      </w:r>
      <w:r w:rsidRPr="008B2A01">
        <w:rPr>
          <w:rFonts w:cs="Times New Roman"/>
        </w:rPr>
        <w:fldChar w:fldCharType="end"/>
      </w:r>
    </w:p>
  </w:footnote>
  <w:footnote w:id="24">
    <w:p w14:paraId="315DE71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ejiltalk.org/ecthr-judgment-in-big-brother-watch-v-uk/","accessed":{"date-parts":[["2018","10","16"]]},"author":[{"dropping-particle":"","family":"Milanovic","given":"M","non-dropping-particle":"","parse-names":false,"suffix":""}],"container-title":"EJIL:Talk!","id":"ITEM-1","issued":{"date-parts":[["2018"]]},"title":"ECtHR Judgment in Big Brother Watch v. UK","type":"webpage"},"uris":["http://www.mendeley.com/documents/?uuid=505510d4-4f50-3485-8641-1974ca7634f4"]}],"mendeley":{"formattedCitation":"M Milanovic, “ECtHR Judgment in Big Brother Watch v. UK,” EJIL:Talk!, 2018, https://www.ejiltalk.org/ecthr-judgment-in-big-brother-watch-v-uk/.","plainTextFormattedCitation":"M Milanovic, “ECtHR Judgment in Big Brother Watch v. UK,” EJIL:Talk!, 2018, https://www.ejiltalk.org/ecthr-judgment-in-big-brother-watch-v-uk/.","previouslyFormattedCitation":"M Milanovic, “ECtHR Judgment in Big Brother Watch v. UK,” EJIL:Talk!, 2018, https://www.ejiltalk.org/ecthr-judgment-in-big-brother-watch-v-uk/."},"properties":{"noteIndex":25},"schema":"https://github.com/citation-style-language/schema/raw/master/csl-citation.json"}</w:instrText>
      </w:r>
      <w:r w:rsidRPr="008B2A01">
        <w:rPr>
          <w:rFonts w:cs="Times New Roman"/>
        </w:rPr>
        <w:fldChar w:fldCharType="separate"/>
      </w:r>
      <w:r w:rsidRPr="008B2A01">
        <w:rPr>
          <w:rFonts w:cs="Times New Roman"/>
          <w:noProof/>
        </w:rPr>
        <w:t>M Milanovic, ‘ECtHR Judgment in Big Brother Watch v. UK,’ EJIL:Talk!, 2018, https://www.ejiltalk.org/ecthr-judgment-in-big-brother-watch-v-uk/.</w:t>
      </w:r>
      <w:r w:rsidRPr="008B2A01">
        <w:rPr>
          <w:rFonts w:cs="Times New Roman"/>
        </w:rPr>
        <w:fldChar w:fldCharType="end"/>
      </w:r>
    </w:p>
  </w:footnote>
  <w:footnote w:id="25">
    <w:p w14:paraId="7A783D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International","given":"","non-dropping-particle":"","parse-names":false,"suffix":""}],"id":"ITEM-1","issued":{"date-parts":[["2016"]]},"title":"Encryption. A Matter of Human Rights","type":"article-journal"},"uris":["http://www.mendeley.com/documents/?uuid=91496946-4abf-4129-a61a-2d1273143f62"]}],"mendeley":{"formattedCitation":"Amnesty International, “Encryption. A Matter of Human Rights,” 2016, http://www.amnestyusa.org/sites/default/files/encryption_-_a_matter_of_human_rights_-_pol_40-3682-2016.pdf.","plainTextFormattedCitation":"Amnesty International, “Encryption. A Matter of Human Rights,” 2016, http://www.amnestyusa.org/sites/default/files/encryption_-_a_matter_of_human_rights_-_pol_40-3682-2016.pdf.","previouslyFormattedCitation":"Amnesty International, “Encryption. A Matter of Human Rights,” 2016, http://www.amnestyusa.org/sites/default/files/encryption_-_a_matter_of_human_rights_-_pol_40-3682-2016.pdf."},"properties":{"noteIndex":26},"schema":"https://github.com/citation-style-language/schema/raw/master/csl-citation.json"}</w:instrText>
      </w:r>
      <w:r w:rsidRPr="008B2A01">
        <w:rPr>
          <w:rFonts w:cs="Times New Roman"/>
        </w:rPr>
        <w:fldChar w:fldCharType="separate"/>
      </w:r>
      <w:r w:rsidRPr="008B2A01">
        <w:rPr>
          <w:rFonts w:cs="Times New Roman"/>
          <w:noProof/>
        </w:rPr>
        <w:t>Amnesty International, ‘Encryption. A Matter of Human Rights,’ 2016, http://www.amnestyusa.org/sites/default/files/encryption_-_a_matter_of_human_rights_-_pol_40-3682-2016.pdf.</w:t>
      </w:r>
      <w:r w:rsidRPr="008B2A01">
        <w:rPr>
          <w:rFonts w:cs="Times New Roman"/>
        </w:rPr>
        <w:fldChar w:fldCharType="end"/>
      </w:r>
    </w:p>
  </w:footnote>
  <w:footnote w:id="26">
    <w:p w14:paraId="71EE254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{"citationItems":[{"id":"ITEM-1","itemData":{"DOI":"10.1080/14747731.2016.1263078","ISSN":"1474774X","abstract":"Digital communication technologies have given dissidents from authoritarian contexts better opportunities to pursue political activism from exile. After the exit from their home country, activists stay involved in domestic debates and channel politically relevant information to international audiences, building up external pressure on the regime. Yet, at the same time, digital media and social networks create multiple points of exposure that state actors can exploit. Using the case of Iran, this paper shows how digital communication technologies enable new and influence established tactics of state repression beyond borders. Based on interviews with Iranian activists and journalists who were forced to leave the country after the controversial elections of 2009, I analyze mechanisms and aims of repressive measures targeting exiled dissidents. I argue that in an environment of intense transnational communication and information exchange, authoritarian regimes can monitor and respond to the activitie...","author":[{"dropping-particle":"","family":"Michaelsen","given":"Marcus","non-dropping-particle":"","parse-names":false,"suffix":""}],"container-title":"Globalizations","id":"ITEM-1","issue":"2","issued":{"date-parts":[["2018"]]},"page":"248-264","publisher":"Taylor &amp; Francis","title":"Exit and voice in a digital age: Iran’s exiled activists and the authoritarian state","type":"article-journal","volume":"15"},"uris":["http://www.mendeley.com/documents/?uuid=2d3d4f17-e1b7-4181-8a1a-3d3bdc32f43c"]}],"mendeley":{"formattedCitation":"Marcus Michaelsen, “Exit and Voice in a Digital Age: Iran’s Exiled Activists and the Authoritarian State,” &lt;i&gt;Globalizations&lt;/i&gt; 15, no. 2 (2018): 248–64, https://doi.org/10.1080/14747731.2016.1263078.","plainTextFormattedCitation":"Marcus Michaelsen, “Exit and Voice in a Digital Age: Iran’s Exiled Activists and the Authoritarian State,” Globalizations 15, no. 2 (2018): 248–64, https://doi.org/10.1080/14747731.2016.1263078.","previouslyFormattedCitation":"Marcus Michaelsen, “Exit and Voice in a Digital Age: Iran’s Exiled Activists and the Authoritarian State,” &lt;i&gt;Globalizations&lt;/i&gt; 15, no. 2 (2018): 248–64, https://doi.org/10.1080/14747731.2016.1263078."},"properties":{"noteIndex":27},"schema":"https://github.com/citation-style-language/schema/raw/master/csl-citation.json"}</w:instrText>
      </w:r>
      <w:r w:rsidRPr="008B2A01">
        <w:rPr>
          <w:rFonts w:cs="Times New Roman"/>
        </w:rPr>
        <w:fldChar w:fldCharType="separate"/>
      </w:r>
      <w:r w:rsidRPr="008B2A01">
        <w:rPr>
          <w:rFonts w:cs="Times New Roman"/>
          <w:noProof/>
        </w:rPr>
        <w:t>Marcus Michaelsen, ‘Exit and Voice in a Digital Age: Iran’s Exiled Activists and the Authoritarian State’</w:t>
      </w:r>
      <w:r>
        <w:rPr>
          <w:rFonts w:cs="Times New Roman"/>
          <w:noProof/>
        </w:rPr>
        <w:t>,</w:t>
      </w:r>
      <w:r w:rsidRPr="008B2A01">
        <w:rPr>
          <w:rFonts w:cs="Times New Roman"/>
          <w:noProof/>
        </w:rPr>
        <w:t xml:space="preserve"> </w:t>
      </w:r>
      <w:r w:rsidRPr="008B2A01">
        <w:rPr>
          <w:rFonts w:cs="Times New Roman"/>
          <w:i/>
          <w:noProof/>
        </w:rPr>
        <w:t>Globalizations</w:t>
      </w:r>
      <w:r w:rsidRPr="008B2A01">
        <w:rPr>
          <w:rFonts w:cs="Times New Roman"/>
          <w:noProof/>
        </w:rPr>
        <w:t xml:space="preserve"> 15</w:t>
      </w:r>
      <w:r>
        <w:rPr>
          <w:rFonts w:cs="Times New Roman"/>
          <w:noProof/>
        </w:rPr>
        <w:t>.2 (</w:t>
      </w:r>
      <w:r w:rsidRPr="008B2A01">
        <w:rPr>
          <w:rFonts w:cs="Times New Roman"/>
          <w:noProof/>
        </w:rPr>
        <w:t>2018): 248–64,</w:t>
      </w:r>
      <w:r>
        <w:rPr>
          <w:rFonts w:cs="Times New Roman"/>
          <w:noProof/>
        </w:rPr>
        <w:t xml:space="preserve"> DOI:</w:t>
      </w:r>
      <w:r w:rsidRPr="008B2A01">
        <w:rPr>
          <w:rFonts w:cs="Times New Roman"/>
          <w:noProof/>
        </w:rPr>
        <w:t xml:space="preserve"> https://doi.org/10.1080/14747731.2016.1263078.</w:t>
      </w:r>
      <w:r w:rsidRPr="008B2A01">
        <w:rPr>
          <w:rFonts w:cs="Times New Roman"/>
        </w:rPr>
        <w:fldChar w:fldCharType="end"/>
      </w:r>
    </w:p>
  </w:footnote>
  <w:footnote w:id="27">
    <w:p w14:paraId="58196BC3"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Kaye","type":"report"},"uris":["http://www.mendeley.com/documents/?uuid=33fc6dfc-f72c-463f-852c-ce9ac2d68e9a"]}],"mendeley":{"formattedCitation":"UN Human Rights Council, “Report of the Special Rapporteur on the Promotion and Protection of the Right to Freedom of Opinion and Expression, David Kaye,” &lt;i&gt;Human Rights Council&lt;/i&gt; (A/HRC/29/32: UN Human Rights Council, 2015).","plainTextFormattedCitation":"UN Human Rights Council, “Report of the Special Rapporteur on the Promotion and Protection of the Right to Freedom of Opinion and Expression, David Kaye,” Human Rights Council (A/HRC/29/32: UN Human Rights Council, 2015).","previouslyFormattedCitation":"UN Human Rights Council, “Report of the Special Rapporteur on the Promotion and Protection of the Right to Freedom of Opinion and Expression, David Kaye,” &lt;i&gt;Human Rights Council&lt;/i&gt; (A/HRC/29/32: UN Human Rights Council, 2015)."},"properties":{"noteIndex":28},"schema":"https://github.com/citation-style-language/schema/raw/master/csl-citation.json"}</w:instrText>
      </w:r>
      <w:r w:rsidRPr="008B2A01">
        <w:rPr>
          <w:rFonts w:cs="Times New Roman"/>
        </w:rPr>
        <w:fldChar w:fldCharType="separate"/>
      </w:r>
      <w:r w:rsidRPr="008B2A01">
        <w:rPr>
          <w:rFonts w:cs="Times New Roman"/>
          <w:noProof/>
        </w:rPr>
        <w:t xml:space="preserve">UN Human Rights Council, ‘Report of the Special Rapporteur on the Promotion and Protection of the Right to Freedom of Opinion and Expression, David Kaye,’ </w:t>
      </w:r>
      <w:r w:rsidRPr="008B2A01">
        <w:rPr>
          <w:rFonts w:cs="Times New Roman"/>
          <w:i/>
          <w:noProof/>
        </w:rPr>
        <w:t>Human Rights Council</w:t>
      </w:r>
      <w:r w:rsidRPr="008B2A01">
        <w:rPr>
          <w:rFonts w:cs="Times New Roman"/>
          <w:noProof/>
        </w:rPr>
        <w:t xml:space="preserve"> (A/HRC/29/32: UN Human Rights Council, 2015).</w:t>
      </w:r>
      <w:r w:rsidRPr="008B2A01">
        <w:rPr>
          <w:rFonts w:cs="Times New Roman"/>
        </w:rPr>
        <w:fldChar w:fldCharType="end"/>
      </w:r>
    </w:p>
  </w:footnote>
  <w:footnote w:id="28">
    <w:p w14:paraId="6247F69F"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The EU General Data Protection Regulation (GDPR) is not included here -</w:t>
      </w:r>
      <w:r>
        <w:rPr>
          <w:rFonts w:cs="Times New Roman"/>
          <w:color w:val="000000" w:themeColor="text1"/>
        </w:rPr>
        <w:t xml:space="preserve"> </w:t>
      </w:r>
      <w:r w:rsidRPr="008B2A01">
        <w:rPr>
          <w:rFonts w:cs="Times New Roman"/>
          <w:color w:val="000000" w:themeColor="text1"/>
        </w:rPr>
        <w:t>despite being the most recent and comprehensive legislation which aims to protect user privacy</w:t>
      </w:r>
      <w:r>
        <w:rPr>
          <w:rFonts w:cs="Times New Roman"/>
          <w:color w:val="000000" w:themeColor="text1"/>
        </w:rPr>
        <w:t xml:space="preserve"> </w:t>
      </w:r>
      <w:r w:rsidRPr="008B2A01">
        <w:rPr>
          <w:rFonts w:cs="Times New Roman"/>
          <w:color w:val="000000" w:themeColor="text1"/>
        </w:rPr>
        <w:t>- since its effectiveness in practice remains to be seen.</w:t>
      </w:r>
    </w:p>
  </w:footnote>
  <w:footnote w:id="29">
    <w:p w14:paraId="7DCD295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doi:10.1017/S0008197317000526","ISBN":"0008197317000","author":[{"dropping-particle":"","family":"Buono","given":"Isabella","non-dropping-particle":"","parse-names":false,"suffix":""},{"dropping-particle":"","family":"Taylor","given":"Aaron","non-dropping-particle":"","parse-names":false,"suffix":""}],"container-title":"The Cambridge Law Journal","id":"ITEM-1","issue":"2","issued":{"date-parts":[["2017"]]},"page":"250-253","title":"MASS SURVEILLANCE IN THE CJEU: FORGING A EUROPEAN CONSENSUS","type":"article-journal","volume":"76"},"uris":["http://www.mendeley.com/documents/?uuid=6415fe24-3ccf-41d9-96dc-d94bcf9face6"]}],"mendeley":{"formattedCitation":"Isabella Buono and Aaron Taylor, “MASS SURVEILLANCE IN THE CJEU: FORGING A EUROPEAN CONSENSUS,” &lt;i&gt;The Cambridge Law Journal&lt;/i&gt; 76, no. 2 (2017): 250–53, https://doi.org/doi:10.1017/S0008197317000526.","plainTextFormattedCitation":"Isabella Buono and Aaron Taylor, “MASS SURVEILLANCE IN THE CJEU: FORGING A EUROPEAN CONSENSUS,” The Cambridge Law Journal 76, no. 2 (2017): 250–53, https://doi.org/doi:10.1017/S0008197317000526.","previouslyFormattedCitation":"Isabella Buono and Aaron Taylor, “MASS SURVEILLANCE IN THE CJEU: FORGING A EUROPEAN CONSENSUS,” &lt;i&gt;The Cambridge Law Journal&lt;/i&gt; 76, no. 2 (2017): 250–53, https://doi.org/doi:10.1017/S0008197317000526."},"properties":{"noteIndex":30},"schema":"https://github.com/citation-style-language/schema/raw/master/csl-citation.json"}</w:instrText>
      </w:r>
      <w:r w:rsidRPr="008B2A01">
        <w:rPr>
          <w:rFonts w:cs="Times New Roman"/>
        </w:rPr>
        <w:fldChar w:fldCharType="separate"/>
      </w:r>
      <w:r w:rsidRPr="008B2A01">
        <w:rPr>
          <w:rFonts w:cs="Times New Roman"/>
          <w:noProof/>
        </w:rPr>
        <w:t>Isabella Buono and Aaron Taylor, ‘</w:t>
      </w:r>
      <w:r>
        <w:rPr>
          <w:rFonts w:cs="Times New Roman"/>
          <w:noProof/>
        </w:rPr>
        <w:t>Mass Surveillance in the CJEU: Forging a European Consensus',</w:t>
      </w:r>
      <w:r w:rsidRPr="008B2A01">
        <w:rPr>
          <w:rFonts w:cs="Times New Roman"/>
          <w:noProof/>
        </w:rPr>
        <w:t xml:space="preserve"> </w:t>
      </w:r>
      <w:r w:rsidRPr="008B2A01">
        <w:rPr>
          <w:rFonts w:cs="Times New Roman"/>
          <w:i/>
          <w:noProof/>
        </w:rPr>
        <w:t>The Cambridge Law Journal</w:t>
      </w:r>
      <w:r w:rsidRPr="008B2A01">
        <w:rPr>
          <w:rFonts w:cs="Times New Roman"/>
          <w:noProof/>
        </w:rPr>
        <w:t xml:space="preserve"> 76</w:t>
      </w:r>
      <w:r>
        <w:rPr>
          <w:rFonts w:cs="Times New Roman"/>
          <w:noProof/>
        </w:rPr>
        <w:t>.2 (</w:t>
      </w:r>
      <w:r w:rsidRPr="008B2A01">
        <w:rPr>
          <w:rFonts w:cs="Times New Roman"/>
          <w:noProof/>
        </w:rPr>
        <w:t>2017): 250–53,</w:t>
      </w:r>
      <w:r>
        <w:rPr>
          <w:rFonts w:cs="Times New Roman"/>
          <w:noProof/>
        </w:rPr>
        <w:t xml:space="preserve"> DOI:</w:t>
      </w:r>
      <w:r w:rsidRPr="008B2A01">
        <w:rPr>
          <w:rFonts w:cs="Times New Roman"/>
          <w:noProof/>
        </w:rPr>
        <w:t xml:space="preserve"> https://doi.org/doi:10.1017/S0008197317000526.</w:t>
      </w:r>
      <w:r w:rsidRPr="008B2A01">
        <w:rPr>
          <w:rFonts w:cs="Times New Roman"/>
        </w:rPr>
        <w:fldChar w:fldCharType="end"/>
      </w:r>
    </w:p>
  </w:footnote>
  <w:footnote w:id="30">
    <w:p w14:paraId="42B81146"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doi:10.1017/S0008197317000526","ISBN":"0008197317000","author":[{"dropping-particle":"","family":"Buono","given":"Isabella","non-dropping-particle":"","parse-names":false,"suffix":""},{"dropping-particle":"","family":"Taylor","given":"Aaron","non-dropping-particle":"","parse-names":false,"suffix":""}],"container-title":"The Cambridge Law Journal","id":"ITEM-1","issue":"2","issued":{"date-parts":[["2017"]]},"page":"250-253","title":"MASS SURVEILLANCE IN THE CJEU: FORGING A EUROPEAN CONSENSUS","type":"article-journal","volume":"76"},"locator":"251","uris":["http://www.mendeley.com/documents/?uuid=6415fe24-3ccf-41d9-96dc-d94bcf9face6"]}],"mendeley":{"formattedCitation":"Buono and Taylor, 251.","plainTextFormattedCitation":"Buono and Taylor, 251.","previouslyFormattedCitation":"Buono and Taylor, 251."},"properties":{"noteIndex":31},"schema":"https://github.com/citation-style-language/schema/raw/master/csl-citation.json"}</w:instrText>
      </w:r>
      <w:r w:rsidRPr="008B2A01">
        <w:rPr>
          <w:rFonts w:cs="Times New Roman"/>
        </w:rPr>
        <w:fldChar w:fldCharType="separate"/>
      </w:r>
      <w:r>
        <w:rPr>
          <w:rFonts w:cs="Times New Roman"/>
          <w:noProof/>
        </w:rPr>
        <w:t>Ibid</w:t>
      </w:r>
      <w:r w:rsidRPr="008B2A01">
        <w:rPr>
          <w:rFonts w:cs="Times New Roman"/>
          <w:noProof/>
        </w:rPr>
        <w:t>, 251.</w:t>
      </w:r>
      <w:r w:rsidRPr="008B2A01">
        <w:rPr>
          <w:rFonts w:cs="Times New Roman"/>
        </w:rPr>
        <w:fldChar w:fldCharType="end"/>
      </w:r>
    </w:p>
  </w:footnote>
  <w:footnote w:id="31">
    <w:p w14:paraId="2A7B917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{"citationItems":[{"id":"ITEM-1","itemData":{"DOI":"10.1080/17449057.2017.1339425","ISSN":"17449065","abstract":"AbstractThis paper examines the intersection of oppression and Kurdish resistance to the state in Turkey and the impacts these have on the formation of ethnic identity amongst the Kurds of Diyarbakır. It examines how repressive state measures imposed upon the Kurds, ostensibly to crush the PKK, rallied Kurdish political sentiment such that resistance to state hegemony expanded to encompass a much broader ‘popular resistance’. Resistance by ‘everyday’ Kurds to what they perceive as hegemonic projects, whether instigated by Kemalists or the AKP, continues to forge internal cohesion and highlight their differences from the majority Turks. In this way, resistance becomes a central pillar of Kurdish identity.","author":[{"dropping-particle":"","family":"Gourlay","given":"William","non-dropping-particle":"","parse-names":false,"suffix":""}],"container-title":"Ethnopolitics","id":"ITEM-1","issue":"2","issued":{"date-parts":[["2018"]]},"page":"130-146","publisher":"Taylor &amp; Francis","title":"Oppression, Solidarity, Resistance: The Forging of Kurdish Identity in Turkey","type":"article-journal","volume":"17"},"uris":["http://www.mendeley.com/documents/?uuid=4a8cdbf2-52b4-48b2-be0a-ea093c04af43"]}],"mendeley":{"formattedCitation":"William Gourlay, “Oppression, Solidarity, Resistance: The Forging of Kurdish Identity in Turkey,” &lt;i&gt;Ethnopolitics&lt;/i&gt; 17, no. 2 (2018): 130–46, https://doi.org/10.1080/17449057.2017.1339425.","plainTextFormattedCitation":"William Gourlay, “Oppression, Solidarity, Resistance: The Forging of Kurdish Identity in Turkey,” Ethnopolitics 17, no. 2 (2018): 130–46, https://doi.org/10.1080/17449057.2017.1339425.","previouslyFormattedCitation":"William Gourlay, “Oppression, Solidarity, Resistance: The Forging of Kurdish Identity in Turkey,” &lt;i&gt;Ethnopolitics&lt;/i&gt; 17, no. 2 (2018): 130–46, https://doi.org/10.1080/17449057.2017.1339425."},"properties":{"noteIndex":32},"schema":"https://github.com/citation-style-language/schema/raw/master/csl-citation.json"}</w:instrText>
      </w:r>
      <w:r w:rsidRPr="008B2A01">
        <w:rPr>
          <w:rFonts w:cs="Times New Roman"/>
        </w:rPr>
        <w:fldChar w:fldCharType="separate"/>
      </w:r>
      <w:r w:rsidRPr="008B2A01">
        <w:rPr>
          <w:rFonts w:cs="Times New Roman"/>
          <w:noProof/>
        </w:rPr>
        <w:t>William Gourlay, ‘Oppression, Solidarity, Resistance: The Forging of Kurdish Identity in Turkey’</w:t>
      </w:r>
      <w:r>
        <w:rPr>
          <w:rFonts w:cs="Times New Roman"/>
          <w:noProof/>
        </w:rPr>
        <w:t>,</w:t>
      </w:r>
      <w:r w:rsidRPr="008B2A01">
        <w:rPr>
          <w:rFonts w:cs="Times New Roman"/>
          <w:noProof/>
        </w:rPr>
        <w:t xml:space="preserve"> </w:t>
      </w:r>
      <w:r w:rsidRPr="008B2A01">
        <w:rPr>
          <w:rFonts w:cs="Times New Roman"/>
          <w:i/>
          <w:noProof/>
        </w:rPr>
        <w:t>Ethnopolitics</w:t>
      </w:r>
      <w:r w:rsidRPr="008B2A01">
        <w:rPr>
          <w:rFonts w:cs="Times New Roman"/>
          <w:noProof/>
        </w:rPr>
        <w:t xml:space="preserve"> 17</w:t>
      </w:r>
      <w:r>
        <w:rPr>
          <w:rFonts w:cs="Times New Roman"/>
          <w:noProof/>
        </w:rPr>
        <w:t>.2 (</w:t>
      </w:r>
      <w:r w:rsidRPr="008B2A01">
        <w:rPr>
          <w:rFonts w:cs="Times New Roman"/>
          <w:noProof/>
        </w:rPr>
        <w:t>2018): 130–46,</w:t>
      </w:r>
      <w:r>
        <w:rPr>
          <w:rFonts w:cs="Times New Roman"/>
          <w:noProof/>
        </w:rPr>
        <w:t xml:space="preserve"> DOI:</w:t>
      </w:r>
      <w:r w:rsidRPr="008B2A01">
        <w:rPr>
          <w:rFonts w:cs="Times New Roman"/>
          <w:noProof/>
        </w:rPr>
        <w:t xml:space="preserve"> https://doi.org/10.1080/17449057.2017.1339425.</w:t>
      </w:r>
      <w:r w:rsidRPr="008B2A01">
        <w:rPr>
          <w:rFonts w:cs="Times New Roman"/>
        </w:rPr>
        <w:fldChar w:fldCharType="end"/>
      </w:r>
    </w:p>
  </w:footnote>
  <w:footnote w:id="32">
    <w:p w14:paraId="618805FA"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rPr>
        <w:fldChar w:fldCharType="begin" w:fldLock="1"/>
      </w:r>
      <w:r w:rsidRPr="008B2A01">
        <w:rPr>
          <w:rFonts w:cs="Times New Roman"/>
          <w:color w:val="000000" w:themeColor="text1"/>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Deviance","type":"book"},"uris":["http://www.mendeley.com/documents/?uuid=14257e4d-d0fd-4455-8661-41fd9cbe741e"]}],"mendeley":{"formattedCitation":"Erich Goode and Nachman Ben-Yehuda, &lt;i&gt;Moral Panics The Social Construction of Deviance&lt;/i&gt;, 2nd Ed. (Chichester: Wiley-Blackwell, 2009).","plainTextFormattedCitation":"Erich Goode and Nachman Ben-Yehuda, Moral Panics The Social Construction of Deviance, 2nd Ed. (Chichester: Wiley-Blackwell, 2009).","previouslyFormattedCitation":"Erich Goode and Nachman Ben-Yehuda, &lt;i&gt;Moral Panics The Social Construction of Deviance&lt;/i&gt;, 2nd Ed. (Chichester: Wiley-Blackwell, 2009)."},"properties":{"noteIndex":33},"schema":"https://github.com/citation-style-language/schema/raw/master/csl-citation.json"}</w:instrText>
      </w:r>
      <w:r w:rsidRPr="008B2A01">
        <w:rPr>
          <w:rFonts w:cs="Times New Roman"/>
          <w:color w:val="000000" w:themeColor="text1"/>
        </w:rPr>
        <w:fldChar w:fldCharType="separate"/>
      </w:r>
      <w:r w:rsidRPr="008B2A01">
        <w:rPr>
          <w:rFonts w:cs="Times New Roman"/>
          <w:noProof/>
          <w:color w:val="000000" w:themeColor="text1"/>
        </w:rPr>
        <w:t xml:space="preserve">Erich Goode and Nachman Ben-Yehuda, </w:t>
      </w:r>
      <w:r w:rsidRPr="008B2A01">
        <w:rPr>
          <w:rFonts w:cs="Times New Roman"/>
          <w:i/>
          <w:noProof/>
          <w:color w:val="000000" w:themeColor="text1"/>
        </w:rPr>
        <w:t>Moral Panics The Social Construction of Deviance</w:t>
      </w:r>
      <w:r w:rsidRPr="008B2A01">
        <w:rPr>
          <w:rFonts w:cs="Times New Roman"/>
          <w:noProof/>
          <w:color w:val="000000" w:themeColor="text1"/>
        </w:rPr>
        <w:t xml:space="preserve">, </w:t>
      </w:r>
      <w:r>
        <w:rPr>
          <w:rFonts w:cs="Times New Roman"/>
          <w:noProof/>
          <w:color w:val="000000" w:themeColor="text1"/>
        </w:rPr>
        <w:t>second</w:t>
      </w:r>
      <w:r w:rsidRPr="008B2A01">
        <w:rPr>
          <w:rFonts w:cs="Times New Roman"/>
          <w:noProof/>
          <w:color w:val="000000" w:themeColor="text1"/>
        </w:rPr>
        <w:t xml:space="preserve"> </w:t>
      </w:r>
      <w:r>
        <w:rPr>
          <w:rFonts w:cs="Times New Roman"/>
          <w:noProof/>
          <w:color w:val="000000" w:themeColor="text1"/>
        </w:rPr>
        <w:t>e</w:t>
      </w:r>
      <w:r w:rsidRPr="008B2A01">
        <w:rPr>
          <w:rFonts w:cs="Times New Roman"/>
          <w:noProof/>
          <w:color w:val="000000" w:themeColor="text1"/>
        </w:rPr>
        <w:t>d</w:t>
      </w:r>
      <w:r>
        <w:rPr>
          <w:rFonts w:cs="Times New Roman"/>
          <w:noProof/>
          <w:color w:val="000000" w:themeColor="text1"/>
        </w:rPr>
        <w:t xml:space="preserve">ition, </w:t>
      </w:r>
      <w:r w:rsidRPr="008B2A01">
        <w:rPr>
          <w:rFonts w:cs="Times New Roman"/>
          <w:noProof/>
          <w:color w:val="000000" w:themeColor="text1"/>
        </w:rPr>
        <w:t xml:space="preserve"> Chichester: Wiley-Blackwell, 2009.</w:t>
      </w:r>
      <w:r w:rsidRPr="008B2A01">
        <w:rPr>
          <w:rFonts w:cs="Times New Roman"/>
          <w:color w:val="000000" w:themeColor="text1"/>
        </w:rPr>
        <w:fldChar w:fldCharType="end"/>
      </w:r>
      <w:r w:rsidRPr="008B2A01">
        <w:rPr>
          <w:rFonts w:cs="Times New Roman"/>
          <w:color w:val="000000" w:themeColor="text1"/>
        </w:rPr>
        <w:t xml:space="preserve"> </w:t>
      </w:r>
    </w:p>
  </w:footnote>
  <w:footnote w:id="33">
    <w:p w14:paraId="3A5A24C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Deviance","type":"book"},"locator":"37","uris":["http://www.mendeley.com/documents/?uuid=14257e4d-d0fd-4455-8661-41fd9cbe741e"]}],"mendeley":{"formattedCitation":"Goode and Ben-Yehuda, &lt;i&gt;Moral Panics The Social Construction of Deviance&lt;/i&gt;, 37.","plainTextFormattedCitation":"Goode and Ben-Yehuda, Moral Panics The Social Construction of Deviance, 37.","previouslyFormattedCitation":"Goode and Ben-Yehuda, &lt;i&gt;Moral Panics The Social Construction of Deviance&lt;/i&gt;, 37."},"properties":{"noteIndex":35},"schema":"https://github.com/citation-style-language/schema/raw/master/csl-citation.json"}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37.</w:t>
      </w:r>
      <w:r w:rsidRPr="008B2A01">
        <w:rPr>
          <w:rFonts w:cs="Times New Roman"/>
        </w:rPr>
        <w:fldChar w:fldCharType="end"/>
      </w:r>
    </w:p>
  </w:footnote>
  <w:footnote w:id="34">
    <w:p w14:paraId="2F42DCA3"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{"citationItems":[{"id":"ITEM-1","itemData":{"DOI":"10.1111/1745-9125.12022","author":[{"dropping-particle":"","family":"King","given":"R D","non-dropping-particle":"","parse-names":false,"suffix":""},{"dropping-particle":"","family":"Sutton","given":"G M","non-dropping-particle":"","parse-names":false,"suffix":""}],"container-title":"Criminology","id":"ITEM-1","issued":{"date-parts":[["2013"]]},"title":"High times for hate crime: explaining the temporal clustering of hate motivated offending","type":"article-journal","volume":"51"},"uris":["http://www.mendeley.com/documents/?uuid=2ba51715-5bf6-41ce-bd38-8720ad063a0b"]}],"mendeley":{"formattedCitation":"R D King and G M Sutton, “High Times for Hate Crime: Explaining the Temporal Clustering of Hate Motivated Offending,” &lt;i&gt;Criminology&lt;/i&gt; 51 (2013), https://doi.org/10.1111/1745-9125.12022.","plainTextFormattedCitation":"R D King and G M Sutton, “High Times for Hate Crime: Explaining the Temporal Clustering of Hate Motivated Offending,” Criminology 51 (2013), https://doi.org/10.1111/1745-9125.12022.","previouslyFormattedCitation":"R D King and G M Sutton, “High Times for Hate Crime: Explaining the Temporal Clustering of Hate Motivated Offending,” &lt;i&gt;Criminology&lt;/i&gt; 51 (2013), https://doi.org/10.1111/1745-9125.12022."},"properties":{"noteIndex":36},"schema":"https://github.com/citation-style-language/schema/raw/master/csl-citation.json"}</w:instrText>
      </w:r>
      <w:r w:rsidRPr="008B2A01">
        <w:rPr>
          <w:rFonts w:cs="Times New Roman"/>
        </w:rPr>
        <w:fldChar w:fldCharType="separate"/>
      </w:r>
      <w:r w:rsidRPr="008B2A01">
        <w:rPr>
          <w:rFonts w:cs="Times New Roman"/>
          <w:noProof/>
        </w:rPr>
        <w:t xml:space="preserve">R D King and G M Sutton, ‘High Times for Hate Crime: Explaining the Temporal Clustering of Hate Motivated Offending,’ </w:t>
      </w:r>
      <w:r w:rsidRPr="008B2A01">
        <w:rPr>
          <w:rFonts w:cs="Times New Roman"/>
          <w:i/>
          <w:noProof/>
        </w:rPr>
        <w:t>Criminology</w:t>
      </w:r>
      <w:r w:rsidRPr="008B2A01">
        <w:rPr>
          <w:rFonts w:cs="Times New Roman"/>
          <w:noProof/>
        </w:rPr>
        <w:t xml:space="preserve"> 51 (2013),</w:t>
      </w:r>
      <w:r>
        <w:rPr>
          <w:rFonts w:cs="Times New Roman"/>
          <w:noProof/>
        </w:rPr>
        <w:t xml:space="preserve"> DOI:</w:t>
      </w:r>
      <w:r w:rsidRPr="008B2A01">
        <w:rPr>
          <w:rFonts w:cs="Times New Roman"/>
          <w:noProof/>
        </w:rPr>
        <w:t xml:space="preserve"> https://doi.org/10.1111/1745-9125.12022.</w:t>
      </w:r>
      <w:r w:rsidRPr="008B2A01">
        <w:rPr>
          <w:rFonts w:cs="Times New Roman"/>
        </w:rPr>
        <w:fldChar w:fldCharType="end"/>
      </w:r>
    </w:p>
  </w:footnote>
  <w:footnote w:id="35">
    <w:p w14:paraId="33171EF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Deviance","type":"book"},"locator":"37","uris":["http://www.mendeley.com/documents/?uuid=14257e4d-d0fd-4455-8661-41fd9cbe741e"]}],"mendeley":{"formattedCitation":"Goode and Ben-Yehuda, &lt;i&gt;Moral Panics The Social Construction of Deviance&lt;/i&gt;, 37.","plainTextFormattedCitation":"Goode and Ben-Yehuda, Moral Panics The Social Construction of Deviance, 37.","previouslyFormattedCitation":"Goode and Ben-Yehuda, &lt;i&gt;Moral Panics The Social Construction of Deviance&lt;/i&gt;, 37."},"properties":{"noteIndex":37},"schema":"https://github.com/citation-style-language/schema/raw/master/csl-citation.json"}</w:instrText>
      </w:r>
      <w:r w:rsidRPr="008B2A01">
        <w:rPr>
          <w:rFonts w:cs="Times New Roman"/>
        </w:rPr>
        <w:fldChar w:fldCharType="separate"/>
      </w:r>
      <w:r w:rsidRPr="008B2A01">
        <w:rPr>
          <w:rFonts w:cs="Times New Roman"/>
          <w:bCs/>
          <w:noProof/>
        </w:rPr>
        <w:t xml:space="preserve">Goode and Ben-Yehuda, </w:t>
      </w:r>
      <w:r w:rsidRPr="008B2A01">
        <w:rPr>
          <w:rFonts w:cs="Times New Roman"/>
          <w:bCs/>
          <w:i/>
          <w:noProof/>
        </w:rPr>
        <w:t>Moral Panics The Social Construction of Deviance</w:t>
      </w:r>
      <w:r w:rsidRPr="008B2A01">
        <w:rPr>
          <w:rFonts w:cs="Times New Roman"/>
          <w:bCs/>
          <w:noProof/>
        </w:rPr>
        <w:t>, 37.</w:t>
      </w:r>
      <w:r w:rsidRPr="008B2A01">
        <w:rPr>
          <w:rFonts w:cs="Times New Roman"/>
        </w:rPr>
        <w:fldChar w:fldCharType="end"/>
      </w:r>
    </w:p>
  </w:footnote>
  <w:footnote w:id="36">
    <w:p w14:paraId="190C146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Deviance","type":"book"},"locator":"38","uris":["http://www.mendeley.com/documents/?uuid=14257e4d-d0fd-4455-8661-41fd9cbe741e"]}],"mendeley":{"formattedCitation":"Goode and Ben-Yehuda, 38.","plainTextFormattedCitation":"Goode and Ben-Yehuda, 38.","previouslyFormattedCitation":"Goode and Ben-Yehuda, 38."},"properties":{"noteIndex":38},"schema":"https://github.com/citation-style-language/schema/raw/master/csl-citation.json"}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38.</w:t>
      </w:r>
      <w:r w:rsidRPr="008B2A01">
        <w:rPr>
          <w:rFonts w:cs="Times New Roman"/>
        </w:rPr>
        <w:fldChar w:fldCharType="end"/>
      </w:r>
    </w:p>
  </w:footnote>
  <w:footnote w:id="37">
    <w:p w14:paraId="7F781E2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Deviance","type":"book"},"locator":"38","uris":["http://www.mendeley.com/documents/?uuid=14257e4d-d0fd-4455-8661-41fd9cbe741e"]}],"mendeley":{"formattedCitation":"Goode and Ben-Yehuda, 38.","plainTextFormattedCitation":"Goode and Ben-Yehuda, 38.","previouslyFormattedCitation":"Goode and Ben-Yehuda, 38."},"properties":{"noteIndex":39},"schema":"https://github.com/citation-style-language/schema/raw/master/csl-citation.json"}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w:t>
      </w:r>
      <w:r w:rsidRPr="008B2A01">
        <w:rPr>
          <w:rFonts w:cs="Times New Roman"/>
        </w:rPr>
        <w:fldChar w:fldCharType="end"/>
      </w:r>
    </w:p>
  </w:footnote>
  <w:footnote w:id="38">
    <w:p w14:paraId="3E2A3488"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rPr>
        <w:fldChar w:fldCharType="begin" w:fldLock="1"/>
      </w:r>
      <w:r w:rsidRPr="008B2A01">
        <w:rPr>
          <w:rFonts w:cs="Times New Roman"/>
          <w:color w:val="000000" w:themeColor="text1"/>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Deviance","type":"book"},"locator":"41","uris":["http://www.mendeley.com/documents/?uuid=14257e4d-d0fd-4455-8661-41fd9cbe741e"]}],"mendeley":{"formattedCitation":"Goode and Ben-Yehuda, 41.","plainTextFormattedCitation":"Goode and Ben-Yehuda, 41.","previouslyFormattedCitation":"Goode and Ben-Yehuda, 41."},"properties":{"noteIndex":40},"schema":"https://github.com/citation-style-language/schema/raw/master/csl-citation.json"}</w:instrText>
      </w:r>
      <w:r w:rsidRPr="008B2A01">
        <w:rPr>
          <w:rFonts w:cs="Times New Roman"/>
          <w:color w:val="000000" w:themeColor="text1"/>
        </w:rPr>
        <w:fldChar w:fldCharType="separate"/>
      </w:r>
      <w:r>
        <w:rPr>
          <w:rFonts w:cs="Times New Roman"/>
          <w:noProof/>
          <w:color w:val="000000" w:themeColor="text1"/>
        </w:rPr>
        <w:t>Ibid</w:t>
      </w:r>
      <w:r w:rsidRPr="008B2A01">
        <w:rPr>
          <w:rFonts w:cs="Times New Roman"/>
          <w:noProof/>
          <w:color w:val="000000" w:themeColor="text1"/>
        </w:rPr>
        <w:t>, 41.</w:t>
      </w:r>
      <w:r w:rsidRPr="008B2A01">
        <w:rPr>
          <w:rFonts w:cs="Times New Roman"/>
          <w:color w:val="000000" w:themeColor="text1"/>
        </w:rPr>
        <w:fldChar w:fldCharType="end"/>
      </w:r>
      <w:r w:rsidRPr="008B2A01">
        <w:rPr>
          <w:rFonts w:cs="Times New Roman"/>
          <w:color w:val="000000" w:themeColor="text1"/>
        </w:rPr>
        <w:t xml:space="preserve"> Emphasis in original.</w:t>
      </w:r>
    </w:p>
  </w:footnote>
  <w:footnote w:id="39">
    <w:p w14:paraId="742E283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Deviance","type":"book"},"locator":"41","uris":["http://www.mendeley.com/documents/?uuid=14257e4d-d0fd-4455-8661-41fd9cbe741e"]}],"mendeley":{"formattedCitation":"Goode and Ben-Yehuda, 41.","plainTextFormattedCitation":"Goode and Ben-Yehuda, 41.","previouslyFormattedCitation":"Goode and Ben-Yehuda, 41."},"properties":{"noteIndex":41},"schema":"https://github.com/citation-style-language/schema/raw/master/csl-citation.json"}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w:t>
      </w:r>
      <w:r w:rsidRPr="008B2A01">
        <w:rPr>
          <w:rFonts w:cs="Times New Roman"/>
        </w:rPr>
        <w:fldChar w:fldCharType="end"/>
      </w:r>
    </w:p>
  </w:footnote>
  <w:footnote w:id="40">
    <w:p w14:paraId="29CA760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Kaye","type":"report"},"locator":"13","uris":["http://www.mendeley.com/documents/?uuid=33fc6dfc-f72c-463f-852c-ce9ac2d68e9a"]}],"mendeley":{"formattedCitation":"UN Human Rights Council, “Report of the Special Rapporteur on the Promotion and Protection of the Right to Freedom of Opinion and Expression, David Kaye,” 13.","plainTextFormattedCitation":"UN Human Rights Council, “Report of the Special Rapporteur on the Promotion and Protection of the Right to Freedom of Opinion and Expression, David Kaye,” 13.","previouslyFormattedCitation":"UN Human Rights Council, “Report of the Special Rapporteur on the Promotion and Protection of the Right to Freedom of Opinion and Expression, David Kaye,” 13."},"properties":{"noteIndex":42},"schema":"https://github.com/citation-style-language/schema/raw/master/csl-citation.json"}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David Kaye,’ 13.</w:t>
      </w:r>
      <w:r w:rsidRPr="008B2A01">
        <w:rPr>
          <w:rFonts w:cs="Times New Roman"/>
        </w:rPr>
        <w:fldChar w:fldCharType="end"/>
      </w:r>
    </w:p>
  </w:footnote>
  <w:footnote w:id="41">
    <w:p w14:paraId="571F3B5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Pr>
          <w:rFonts w:cs="Times New Roman"/>
        </w:rPr>
        <w:t xml:space="preserve">The </w:t>
      </w:r>
      <w:r w:rsidRPr="008B2A01">
        <w:rPr>
          <w:rFonts w:cs="Times New Roman"/>
          <w:lang w:val="en-GB"/>
        </w:rPr>
        <w:t>UNHRC Special Rapporteur highlights that it is critical to have a ‘transparent public debate’ over privacy restrictions and intrusions. See para 35 of the</w:t>
      </w:r>
      <w:r w:rsidRPr="008B2A01">
        <w:rPr>
          <w:rFonts w:cs="Times New Roman"/>
          <w:lang w:val="en-GB"/>
        </w:rPr>
        <w:fldChar w:fldCharType="begin" w:fldLock="1"/>
      </w:r>
      <w:r w:rsidRPr="008B2A01">
        <w:rPr>
          <w:rFonts w:cs="Times New Roman"/>
          <w:lang w:val="en-GB"/>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Kaye","type":"report"},"uris":["http://www.mendeley.com/documents/?uuid=33fc6dfc-f72c-463f-852c-ce9ac2d68e9a"]}],"mendeley":{"formattedCitation":"UN Human Rights Council, “Report of the Special Rapporteur on the Promotion and Protection of the Right to Freedom of Opinion and Expression, David Kaye.”","manualFormatting":" “Report of the Special Rapporteur on the Promotion and Protection of the Right to Freedom of Opinion and Expression, David Kaye.”","plainTextFormattedCitation":"UN Human Rights Council, “Report of the Special Rapporteur on the Promotion and Protection of the Right to Freedom of Opinion and Expression, David Kaye.”","previouslyFormattedCitation":"UN Human Rights Council, “Report of the Special Rapporteur on the Promotion and Protection of the Right to Freedom of Opinion and Expression, David Kaye.”"},"properties":{"noteIndex":43},"schema":"https://github.com/citation-style-language/schema/raw/master/csl-citation.json"}</w:instrText>
      </w:r>
      <w:r w:rsidRPr="008B2A01">
        <w:rPr>
          <w:rFonts w:cs="Times New Roman"/>
          <w:lang w:val="en-GB"/>
        </w:rPr>
        <w:fldChar w:fldCharType="separate"/>
      </w:r>
      <w:r w:rsidRPr="008B2A01">
        <w:rPr>
          <w:rFonts w:cs="Times New Roman"/>
          <w:noProof/>
          <w:lang w:val="en-GB"/>
        </w:rPr>
        <w:t xml:space="preserve"> ‘Report of the Special Rapporteur on the Promotion and Protection of the Right to Freedom of Opinion and Expression, David Kaye.’</w:t>
      </w:r>
      <w:r w:rsidRPr="008B2A01">
        <w:rPr>
          <w:rFonts w:cs="Times New Roman"/>
          <w:lang w:val="en-GB"/>
        </w:rPr>
        <w:fldChar w:fldCharType="end"/>
      </w:r>
      <w:r w:rsidRPr="008B2A01">
        <w:rPr>
          <w:rFonts w:cs="Times New Roman"/>
          <w:lang w:val="en-GB"/>
        </w:rPr>
        <w:t xml:space="preserve">  </w:t>
      </w:r>
    </w:p>
  </w:footnote>
  <w:footnote w:id="42">
    <w:p w14:paraId="643567E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{"citationItems":[{"id":"ITEM-1","itemData":{"DOI":"10.1080/13567888.2016.1217082","ISSN":"1356-7888","author":[{"dropping-particle":"","family":"The International Institute for Strategic Studies","given":"","non-dropping-particle":"","parse-names":false,"suffix":""}],"container-title":"Strategic Comments","id":"ITEM-1","issue":"5","issued":{"date-parts":[["2016"]]},"page":"v-vii","title":"Turkey: the attempted coup and its troubling aftermath","type":"article-journal","volume":"22"},"uris":["http://www.mendeley.com/documents/?uuid=0a49076f-8dff-42a1-8c6a-44d86f3dbdc7"]}],"mendeley":{"formattedCitation":"The International Institute for Strategic Studies, “Turkey: The Attempted Coup and Its Troubling Aftermath,” &lt;i&gt;Strategic Comments&lt;/i&gt; 22, no. 5 (2016): v–vii, https://doi.org/10.1080/13567888.2016.1217082.","plainTextFormattedCitation":"The International Institute for Strategic Studies, “Turkey: The Attempted Coup and Its Troubling Aftermath,” Strategic Comments 22, no. 5 (2016): v–vii, https://doi.org/10.1080/13567888.2016.1217082.","previouslyFormattedCitation":"The International Institute for Strategic Studies, “Turkey: The Attempted Coup and Its Troubling Aftermath,” &lt;i&gt;Strategic Comments&lt;/i&gt; 22, no. 5 (2016): v–vii, https://doi.org/10.1080/13567888.2016.1217082."},"properties":{"noteIndex":44},"schema":"https://github.com/citation-style-language/schema/raw/master/csl-citation.json"}</w:instrText>
      </w:r>
      <w:r w:rsidRPr="008B2A01">
        <w:rPr>
          <w:rFonts w:cs="Times New Roman"/>
        </w:rPr>
        <w:fldChar w:fldCharType="separate"/>
      </w:r>
      <w:r w:rsidRPr="008B2A01">
        <w:rPr>
          <w:rFonts w:cs="Times New Roman"/>
          <w:noProof/>
        </w:rPr>
        <w:t xml:space="preserve">The International Institute for Strategic Studies, ‘Turkey: The Attempted Coup and Its Troubling Aftermath,’ </w:t>
      </w:r>
      <w:r w:rsidRPr="008B2A01">
        <w:rPr>
          <w:rFonts w:cs="Times New Roman"/>
          <w:i/>
          <w:noProof/>
        </w:rPr>
        <w:t>Strategic Comments</w:t>
      </w:r>
      <w:r w:rsidRPr="008B2A01">
        <w:rPr>
          <w:rFonts w:cs="Times New Roman"/>
          <w:noProof/>
        </w:rPr>
        <w:t xml:space="preserve"> 22</w:t>
      </w:r>
      <w:r>
        <w:rPr>
          <w:rFonts w:cs="Times New Roman"/>
          <w:noProof/>
        </w:rPr>
        <w:t>.5 (</w:t>
      </w:r>
      <w:r w:rsidRPr="008B2A01">
        <w:rPr>
          <w:rFonts w:cs="Times New Roman"/>
          <w:noProof/>
        </w:rPr>
        <w:t xml:space="preserve">2016): v–vii, </w:t>
      </w:r>
      <w:r>
        <w:rPr>
          <w:rFonts w:cs="Times New Roman"/>
          <w:noProof/>
        </w:rPr>
        <w:t xml:space="preserve">DOI: </w:t>
      </w:r>
      <w:r w:rsidRPr="008B2A01">
        <w:rPr>
          <w:rFonts w:cs="Times New Roman"/>
          <w:noProof/>
        </w:rPr>
        <w:t>https://doi.org/10.1080/13567888.2016.1217082.</w:t>
      </w:r>
      <w:r w:rsidRPr="008B2A01">
        <w:rPr>
          <w:rFonts w:cs="Times New Roman"/>
        </w:rPr>
        <w:fldChar w:fldCharType="end"/>
      </w:r>
    </w:p>
  </w:footnote>
  <w:footnote w:id="43">
    <w:p w14:paraId="6FDFF231" w14:textId="77777777" w:rsidR="00153F3A" w:rsidRPr="008B2A01" w:rsidRDefault="00153F3A" w:rsidP="00153F3A">
      <w:pPr>
        <w:pBdr>
          <w:top w:val="nil"/>
          <w:left w:val="nil"/>
          <w:bottom w:val="nil"/>
          <w:right w:val="nil"/>
          <w:between w:val="nil"/>
        </w:pBdr>
        <w:spacing w:after="0"/>
        <w:rPr>
          <w:rFonts w:ascii="Times New Roman" w:eastAsia="Calibri"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eastAsia="Calibri" w:hAnsi="Times New Roman" w:cs="Times New Roman"/>
          <w:color w:val="000000" w:themeColor="text1"/>
          <w:sz w:val="20"/>
          <w:szCs w:val="20"/>
        </w:rPr>
        <w:t xml:space="preserve"> Space precludes a lengthier explanation of the fallout between the GM and AKP, but a short summary is needed to provide context for the reader. Even before the coup attempt, the GM was under heavy state pressure in Turkey. Both AKP and GM are Islam-inspired organisations, but they have categorical differences in interpretation. While the AKP is a political party founded by Erdogan and his allies in 2001 which adheres to nationalism and political Islam, the GM is a civil society organisation founded in Turkey in the late 1960s by the now-US-based Islamic cleric </w:t>
      </w:r>
      <w:proofErr w:type="spellStart"/>
      <w:r w:rsidRPr="008B2A01">
        <w:rPr>
          <w:rFonts w:ascii="Times New Roman" w:eastAsia="Calibri" w:hAnsi="Times New Roman" w:cs="Times New Roman"/>
          <w:color w:val="000000" w:themeColor="text1"/>
          <w:sz w:val="20"/>
          <w:szCs w:val="20"/>
        </w:rPr>
        <w:t>Fethullah</w:t>
      </w:r>
      <w:proofErr w:type="spellEnd"/>
      <w:r w:rsidRPr="008B2A01">
        <w:rPr>
          <w:rFonts w:ascii="Times New Roman" w:eastAsia="Calibri" w:hAnsi="Times New Roman" w:cs="Times New Roman"/>
          <w:color w:val="000000" w:themeColor="text1"/>
          <w:sz w:val="20"/>
          <w:szCs w:val="20"/>
        </w:rPr>
        <w:t xml:space="preserve"> </w:t>
      </w:r>
      <w:proofErr w:type="spellStart"/>
      <w:r w:rsidRPr="008B2A01">
        <w:rPr>
          <w:rFonts w:ascii="Times New Roman" w:eastAsia="Calibri" w:hAnsi="Times New Roman" w:cs="Times New Roman"/>
          <w:color w:val="000000" w:themeColor="text1"/>
          <w:sz w:val="20"/>
          <w:szCs w:val="20"/>
        </w:rPr>
        <w:t>Gulen</w:t>
      </w:r>
      <w:proofErr w:type="spellEnd"/>
      <w:r w:rsidRPr="008B2A01">
        <w:rPr>
          <w:rFonts w:ascii="Times New Roman" w:eastAsia="Calibri" w:hAnsi="Times New Roman" w:cs="Times New Roman"/>
          <w:color w:val="000000" w:themeColor="text1"/>
          <w:sz w:val="20"/>
          <w:szCs w:val="20"/>
        </w:rPr>
        <w:t xml:space="preserve">, which prefers a civil interpretation of Islam with an emphasis on education. In terms of supporters, AKP is the largest party in Turkey with half of the popular vote (roughly 23 out of 46 million), the official number of GM sympathisers </w:t>
      </w:r>
      <w:r>
        <w:rPr>
          <w:rFonts w:ascii="Times New Roman" w:eastAsia="Calibri" w:hAnsi="Times New Roman" w:cs="Times New Roman"/>
          <w:color w:val="000000" w:themeColor="text1"/>
          <w:sz w:val="20"/>
          <w:szCs w:val="20"/>
        </w:rPr>
        <w:t>is</w:t>
      </w:r>
      <w:r w:rsidRPr="008B2A01">
        <w:rPr>
          <w:rFonts w:ascii="Times New Roman" w:eastAsia="Calibri" w:hAnsi="Times New Roman" w:cs="Times New Roman"/>
          <w:color w:val="000000" w:themeColor="text1"/>
          <w:sz w:val="20"/>
          <w:szCs w:val="20"/>
        </w:rPr>
        <w:t xml:space="preserve"> unknown but estimates put it around 2</w:t>
      </w:r>
      <w:r>
        <w:rPr>
          <w:rFonts w:ascii="Times New Roman" w:eastAsia="Calibri" w:hAnsi="Times New Roman" w:cs="Times New Roman"/>
          <w:color w:val="000000" w:themeColor="text1"/>
          <w:sz w:val="20"/>
          <w:szCs w:val="20"/>
        </w:rPr>
        <w:t>00,000</w:t>
      </w:r>
      <w:r w:rsidRPr="008B2A01">
        <w:rPr>
          <w:rFonts w:ascii="Times New Roman" w:eastAsia="Calibri" w:hAnsi="Times New Roman" w:cs="Times New Roman"/>
          <w:color w:val="000000" w:themeColor="text1"/>
          <w:sz w:val="20"/>
          <w:szCs w:val="20"/>
        </w:rPr>
        <w:t>-3</w:t>
      </w:r>
      <w:r>
        <w:rPr>
          <w:rFonts w:ascii="Times New Roman" w:eastAsia="Calibri" w:hAnsi="Times New Roman" w:cs="Times New Roman"/>
          <w:color w:val="000000" w:themeColor="text1"/>
          <w:sz w:val="20"/>
          <w:szCs w:val="20"/>
        </w:rPr>
        <w:t>00,000</w:t>
      </w:r>
      <w:r w:rsidRPr="008B2A01">
        <w:rPr>
          <w:rFonts w:ascii="Times New Roman" w:eastAsia="Calibri" w:hAnsi="Times New Roman" w:cs="Times New Roman"/>
          <w:color w:val="000000" w:themeColor="text1"/>
          <w:sz w:val="20"/>
          <w:szCs w:val="20"/>
        </w:rPr>
        <w:t>. The GM used to run more than 2000 education facilities such as primary schools, high schools, and universities in Turkey, all of which have been confiscated by the AKP government. The GM run</w:t>
      </w:r>
      <w:r>
        <w:rPr>
          <w:rFonts w:ascii="Times New Roman" w:eastAsia="Calibri" w:hAnsi="Times New Roman" w:cs="Times New Roman"/>
          <w:color w:val="000000" w:themeColor="text1"/>
          <w:sz w:val="20"/>
          <w:szCs w:val="20"/>
        </w:rPr>
        <w:t>s</w:t>
      </w:r>
      <w:r w:rsidRPr="008B2A01">
        <w:rPr>
          <w:rFonts w:ascii="Times New Roman" w:eastAsia="Calibri" w:hAnsi="Times New Roman" w:cs="Times New Roman"/>
          <w:color w:val="000000" w:themeColor="text1"/>
          <w:sz w:val="20"/>
          <w:szCs w:val="20"/>
        </w:rPr>
        <w:t xml:space="preserve"> more than a thousand education facilities outside Turkey in more than 100 countries. Despite being </w:t>
      </w:r>
      <w:r>
        <w:rPr>
          <w:rFonts w:ascii="Times New Roman" w:eastAsia="Calibri" w:hAnsi="Times New Roman" w:cs="Times New Roman"/>
          <w:color w:val="000000" w:themeColor="text1"/>
          <w:sz w:val="20"/>
          <w:szCs w:val="20"/>
        </w:rPr>
        <w:t>on</w:t>
      </w:r>
      <w:r w:rsidRPr="008B2A01">
        <w:rPr>
          <w:rFonts w:ascii="Times New Roman" w:eastAsia="Calibri" w:hAnsi="Times New Roman" w:cs="Times New Roman"/>
          <w:color w:val="000000" w:themeColor="text1"/>
          <w:sz w:val="20"/>
          <w:szCs w:val="20"/>
        </w:rPr>
        <w:t xml:space="preserve"> good terms for nearly a decade since the AKP first won plurality in the 2002 legislative elections, the GM and AKP started diverging after 2012 over political disagreements. AKP accused GM of infiltrating state organs and forming a ‘parallel state’ i.e. having too many influential followers in state positions. The GM dismissed this criticism by arguing</w:t>
      </w:r>
      <w:r>
        <w:rPr>
          <w:rFonts w:ascii="Times New Roman" w:eastAsia="Calibri" w:hAnsi="Times New Roman" w:cs="Times New Roman"/>
          <w:color w:val="000000" w:themeColor="text1"/>
          <w:sz w:val="20"/>
          <w:szCs w:val="20"/>
        </w:rPr>
        <w:t xml:space="preserve"> </w:t>
      </w:r>
      <w:r w:rsidRPr="008B2A01">
        <w:rPr>
          <w:rFonts w:ascii="Times New Roman" w:eastAsia="Calibri" w:hAnsi="Times New Roman" w:cs="Times New Roman"/>
          <w:color w:val="000000" w:themeColor="text1"/>
          <w:sz w:val="20"/>
          <w:szCs w:val="20"/>
        </w:rPr>
        <w:t xml:space="preserve">this was natural given that it provided good education to pupils in its institutions. When prosecutors in Istanbul opened Turkey’s largest corruption investigations to date in late 2013, incriminating an Iranian-Turkish gold trader Reza </w:t>
      </w:r>
      <w:proofErr w:type="spellStart"/>
      <w:r w:rsidRPr="008B2A01">
        <w:rPr>
          <w:rFonts w:ascii="Times New Roman" w:eastAsia="Calibri" w:hAnsi="Times New Roman" w:cs="Times New Roman"/>
          <w:color w:val="000000" w:themeColor="text1"/>
          <w:sz w:val="20"/>
          <w:szCs w:val="20"/>
        </w:rPr>
        <w:t>Zarrab</w:t>
      </w:r>
      <w:proofErr w:type="spellEnd"/>
      <w:r w:rsidRPr="008B2A01">
        <w:rPr>
          <w:rFonts w:ascii="Times New Roman" w:eastAsia="Calibri" w:hAnsi="Times New Roman" w:cs="Times New Roman"/>
          <w:color w:val="000000" w:themeColor="text1"/>
          <w:sz w:val="20"/>
          <w:szCs w:val="20"/>
        </w:rPr>
        <w:t xml:space="preserve"> and Erdogan’s son along with four cabinet ministers and their sons with credible evidence, Erdogan called the corruption investigation a ‘judicial coup’ and publicly declared GM as ‘public enemy number one’. Media organisations affiliated with the GM ran stories defending the corruption probes and individuals representing GM started criticising AKP government vocally. From this point on, GM started facing a crackdown in Turkey.  Just months before</w:t>
      </w:r>
      <w:r>
        <w:rPr>
          <w:rFonts w:ascii="Times New Roman" w:eastAsia="Calibri" w:hAnsi="Times New Roman" w:cs="Times New Roman"/>
          <w:color w:val="000000" w:themeColor="text1"/>
          <w:sz w:val="20"/>
          <w:szCs w:val="20"/>
        </w:rPr>
        <w:t xml:space="preserve"> </w:t>
      </w:r>
      <w:r w:rsidRPr="008B2A01">
        <w:rPr>
          <w:rFonts w:ascii="Times New Roman" w:eastAsia="Calibri" w:hAnsi="Times New Roman" w:cs="Times New Roman"/>
          <w:color w:val="000000" w:themeColor="text1"/>
          <w:sz w:val="20"/>
          <w:szCs w:val="20"/>
        </w:rPr>
        <w:t>July 2016, the GM w</w:t>
      </w:r>
      <w:r>
        <w:rPr>
          <w:rFonts w:ascii="Times New Roman" w:eastAsia="Calibri" w:hAnsi="Times New Roman" w:cs="Times New Roman"/>
          <w:color w:val="000000" w:themeColor="text1"/>
          <w:sz w:val="20"/>
          <w:szCs w:val="20"/>
        </w:rPr>
        <w:t>as</w:t>
      </w:r>
      <w:r w:rsidRPr="008B2A01">
        <w:rPr>
          <w:rFonts w:ascii="Times New Roman" w:eastAsia="Calibri" w:hAnsi="Times New Roman" w:cs="Times New Roman"/>
          <w:color w:val="000000" w:themeColor="text1"/>
          <w:sz w:val="20"/>
          <w:szCs w:val="20"/>
        </w:rPr>
        <w:t xml:space="preserve"> declared a terrorist organisation by authorities and individuals allegedly linked to the movement started being arrested on terrorism charges.</w:t>
      </w:r>
    </w:p>
  </w:footnote>
  <w:footnote w:id="44">
    <w:p w14:paraId="7D5B238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{"citationItems":[{"id":"ITEM-1","itemData":{"URL":"http://carnegieeurope.eu/strategiceurope/?fa=67826","accessed":{"date-parts":[["2018","4","10"]]},"author":[{"dropping-particle":"","family":"Marc Pierini","given":"","non-dropping-particle":"","parse-names":false,"suffix":""}],"container-title":"Carnegie Europe","id":"ITEM-1","issued":{"date-parts":[["2017"]]},"title":"Turkey’s Gift From God -  - Carnegie Endowment for International Peace","type":"webpage"},"uris":["http://www.mendeley.com/documents/?uuid=17b77fc7-9b40-37a7-b967-24909a3c14e1"]}],"mendeley":{"formattedCitation":"Marc Pierini, “Turkey’s Gift From God -  - Carnegie Endowment for International Peace,” Carnegie Europe, 2017, http://carnegieeurope.eu/strategiceurope/?fa=67826.","plainTextFormattedCitation":"Marc Pierini, “Turkey’s Gift From God -  - Carnegie Endowment for International Peace,” Carnegie Europe, 2017, http://carnegieeurope.eu/strategiceurope/?fa=67826.","previouslyFormattedCitation":"Marc Pierini, “Turkey’s Gift From God -  - Carnegie Endowment for International Peace,” Carnegie Europe, 2017, http://carnegieeurope.eu/strategiceurope/?fa=67826."},"properties":{"noteIndex":46},"schema":"https://github.com/citation-style-language/schema/raw/master/csl-citation.json"}</w:instrText>
      </w:r>
      <w:r w:rsidRPr="008B2A01">
        <w:rPr>
          <w:rFonts w:cs="Times New Roman"/>
        </w:rPr>
        <w:fldChar w:fldCharType="separate"/>
      </w:r>
      <w:r w:rsidRPr="008B2A01">
        <w:rPr>
          <w:rFonts w:cs="Times New Roman"/>
          <w:noProof/>
        </w:rPr>
        <w:t xml:space="preserve">Marc Pierini, ‘Turkey’s Gift From God’ </w:t>
      </w:r>
      <w:r w:rsidRPr="00872F76">
        <w:rPr>
          <w:rFonts w:cs="Times New Roman"/>
          <w:i/>
          <w:noProof/>
        </w:rPr>
        <w:t>Carnegie Europe</w:t>
      </w:r>
      <w:r w:rsidRPr="008B2A01">
        <w:rPr>
          <w:rFonts w:cs="Times New Roman"/>
          <w:noProof/>
        </w:rPr>
        <w:t>, 2017, http://carnegieeurope.eu/strategiceurope/?fa=67826.</w:t>
      </w:r>
      <w:r w:rsidRPr="008B2A01">
        <w:rPr>
          <w:rFonts w:cs="Times New Roman"/>
        </w:rPr>
        <w:fldChar w:fldCharType="end"/>
      </w:r>
    </w:p>
  </w:footnote>
  <w:footnote w:id="45">
    <w:p w14:paraId="2C6E06A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{"citationItems":[{"id":"ITEM-1","itemData":{"URL":"https://www.huffingtonpost.com/emre-celik/fethullah-guelen-i-call-f_b_11480974.html","accessed":{"date-parts":[["2018","4","10"]]},"author":[{"dropping-particle":"","family":"Emre Celik","given":"","non-dropping-particle":"","parse-names":false,"suffix":""}],"container-title":"Huffington Post","id":"ITEM-1","issued":{"date-parts":[["2016"]]},"title":"Fethullah Gülen: 'I Call For An International Investigation Into The Failed Putsch In Turkey' | HuffPost","type":"webpage"},"uris":["http://www.mendeley.com/documents/?uuid=9f373d69-4120-333d-9343-aaee860a4f72"]}],"mendeley":{"formattedCitation":"Emre Celik, “Fethullah Gülen: ‘I Call For An International Investigation Into The Failed Putsch In Turkey’ | HuffPost,” Huffington Post, 2016, https://www.huffingtonpost.com/emre-celik/fethullah-guelen-i-call-f_b_11480974.html.","plainTextFormattedCitation":"Emre Celik, “Fethullah Gülen: ‘I Call For An International Investigation Into The Failed Putsch In Turkey’ | HuffPost,” Huffington Post, 2016, https://www.huffingtonpost.com/emre-celik/fethullah-guelen-i-call-f_b_11480974.html.","previouslyFormattedCitation":"Emre Celik, “Fethullah Gülen: ‘I Call For An International Investigation Into The Failed Putsch In Turkey’ | HuffPost,” Huffington Post, 2016, https://www.huffingtonpost.com/emre-celik/fethullah-guelen-i-call-f_b_11480974.html."},"properties":{"noteIndex":47},"schema":"https://github.com/citation-style-language/schema/raw/master/csl-citation.json"}</w:instrText>
      </w:r>
      <w:r w:rsidRPr="008B2A01">
        <w:rPr>
          <w:rFonts w:cs="Times New Roman"/>
        </w:rPr>
        <w:fldChar w:fldCharType="separate"/>
      </w:r>
      <w:r w:rsidRPr="008B2A01">
        <w:rPr>
          <w:rFonts w:cs="Times New Roman"/>
          <w:noProof/>
        </w:rPr>
        <w:t>Emre Celik, ‘Fethullah Gülen: ‘I Call For An International Investigation Into The Failed Putsch In Turkey’</w:t>
      </w:r>
      <w:r w:rsidRPr="00872F76">
        <w:rPr>
          <w:rFonts w:cs="Times New Roman"/>
          <w:i/>
          <w:noProof/>
        </w:rPr>
        <w:t xml:space="preserve"> Huffington Post,</w:t>
      </w:r>
      <w:r w:rsidRPr="008B2A01">
        <w:rPr>
          <w:rFonts w:cs="Times New Roman"/>
          <w:noProof/>
        </w:rPr>
        <w:t xml:space="preserve"> 2016, https://www.huffingtonpost.com/emre-celik/fethullah-guelen-i-call-f_b_11480974.html.</w:t>
      </w:r>
      <w:r w:rsidRPr="008B2A01">
        <w:rPr>
          <w:rFonts w:cs="Times New Roman"/>
        </w:rPr>
        <w:fldChar w:fldCharType="end"/>
      </w:r>
    </w:p>
  </w:footnote>
  <w:footnote w:id="46">
    <w:p w14:paraId="1402C33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{"citationItems":[{"id":"ITEM-1","itemData":{"DOI":"10.1080/21567689.2018.1453272","ISSN":"2156-7689","author":[{"dropping-particle":"","family":"Tittensor","given":"David","non-dropping-particle":"","parse-names":false,"suffix":""}],"container-title":"Politics, Religion &amp; Ideology","id":"ITEM-1","issue":"1","issued":{"date-parts":[["2018"]]},"page":"123-138","publisher":"Taylor &amp; Francis","title":"The Gülen Movement and Surviving in Exile: The case of Australia","type":"article-journal","volume":"19"},"uris":["http://www.mendeley.com/documents/?uuid=d0daf2bc-5047-492d-89d0-36bfbc3b04fd"]}],"mendeley":{"formattedCitation":"David Tittensor, “The Gülen Movement and Surviving in Exile: The Case of Australia,” &lt;i&gt;Politics, Religion &amp; Ideology&lt;/i&gt; 19, no. 1 (2018): 123–38, https://doi.org/10.1080/21567689.2018.1453272.","plainTextFormattedCitation":"David Tittensor, “The Gülen Movement and Surviving in Exile: The Case of Australia,” Politics, Religion &amp; Ideology 19, no. 1 (2018): 123–38, https://doi.org/10.1080/21567689.2018.1453272.","previouslyFormattedCitation":"David Tittensor, “The Gülen Movement and Surviving in Exile: The Case of Australia,” &lt;i&gt;Politics, Religion &amp; Ideology&lt;/i&gt; 19, no. 1 (2018): 123–38, https://doi.org/10.1080/21567689.2018.1453272."},"properties":{"noteIndex":48},"schema":"https://github.com/citation-style-language/schema/raw/master/csl-citation.json"}</w:instrText>
      </w:r>
      <w:r w:rsidRPr="008B2A01">
        <w:rPr>
          <w:rFonts w:cs="Times New Roman"/>
        </w:rPr>
        <w:fldChar w:fldCharType="separate"/>
      </w:r>
      <w:r w:rsidRPr="008B2A01">
        <w:rPr>
          <w:rFonts w:cs="Times New Roman"/>
          <w:noProof/>
        </w:rPr>
        <w:t>David Tittensor, ‘The Gülen Movement and Surviving in Exile: The Case of Australia’</w:t>
      </w:r>
      <w:r>
        <w:rPr>
          <w:rFonts w:cs="Times New Roman"/>
          <w:noProof/>
        </w:rPr>
        <w:t>,</w:t>
      </w:r>
      <w:r w:rsidRPr="008B2A01">
        <w:rPr>
          <w:rFonts w:cs="Times New Roman"/>
          <w:noProof/>
        </w:rPr>
        <w:t xml:space="preserve"> </w:t>
      </w:r>
      <w:r w:rsidRPr="008B2A01">
        <w:rPr>
          <w:rFonts w:cs="Times New Roman"/>
          <w:i/>
          <w:noProof/>
        </w:rPr>
        <w:t>Politics, Religion &amp; Ideology</w:t>
      </w:r>
      <w:r w:rsidRPr="008B2A01">
        <w:rPr>
          <w:rFonts w:cs="Times New Roman"/>
          <w:noProof/>
        </w:rPr>
        <w:t xml:space="preserve"> 19</w:t>
      </w:r>
      <w:r>
        <w:rPr>
          <w:rFonts w:cs="Times New Roman"/>
          <w:noProof/>
        </w:rPr>
        <w:t>.1 (</w:t>
      </w:r>
      <w:r w:rsidRPr="008B2A01">
        <w:rPr>
          <w:rFonts w:cs="Times New Roman"/>
          <w:noProof/>
        </w:rPr>
        <w:t>2018): 123–38,</w:t>
      </w:r>
      <w:r>
        <w:rPr>
          <w:rFonts w:cs="Times New Roman"/>
          <w:noProof/>
        </w:rPr>
        <w:t xml:space="preserve"> DOI:</w:t>
      </w:r>
      <w:r w:rsidRPr="008B2A01">
        <w:rPr>
          <w:rFonts w:cs="Times New Roman"/>
          <w:noProof/>
        </w:rPr>
        <w:t xml:space="preserve"> https://doi.org/10.1080/21567689.2018.1453272.</w:t>
      </w:r>
      <w:r w:rsidRPr="008B2A01">
        <w:rPr>
          <w:rFonts w:cs="Times New Roman"/>
        </w:rPr>
        <w:fldChar w:fldCharType="end"/>
      </w:r>
    </w:p>
  </w:footnote>
  <w:footnote w:id="47">
    <w:p w14:paraId="4908AA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{"citationItems":[{"id":"ITEM-1","itemData":{"DOI":"10.1080/21567689.2018.1453267","ISSN":"21567697","author":[{"dropping-particle":"","family":"Dumovich","given":"Liza","non-dropping-particle":"","parse-names":false,"suffix":""}],"container-title":"Politics, Religion and Ideology","id":"ITEM-1","issue":"1","issued":{"date-parts":[["2018"]]},"page":"81-94","title":"Pious creativity: Negotiating hizmet in South America after July 2016","type":"article-journal","volume":"19"},"uris":["http://www.mendeley.com/documents/?uuid=f2b356ec-3462-4adf-b4d8-d10bacc02770"]}],"mendeley":{"formattedCitation":"Liza Dumovich, “Pious Creativity: Negotiating Hizmet in South America after July 2016,” &lt;i&gt;Politics, Religion and Ideology&lt;/i&gt; 19, no. 1 (2018): 81–94, https://doi.org/10.1080/21567689.2018.1453267.","plainTextFormattedCitation":"Liza Dumovich, “Pious Creativity: Negotiating Hizmet in South America after July 2016,” Politics, Religion and Ideology 19, no. 1 (2018): 81–94, https://doi.org/10.1080/21567689.2018.1453267.","previouslyFormattedCitation":"Liza Dumovich, “Pious Creativity: Negotiating Hizmet in South America after July 2016,” &lt;i&gt;Politics, Religion and Ideology&lt;/i&gt; 19, no. 1 (2018): 81–94, https://doi.org/10.1080/21567689.2018.1453267."},"properties":{"noteIndex":49},"schema":"https://github.com/citation-style-language/schema/raw/master/csl-citation.json"}</w:instrText>
      </w:r>
      <w:r w:rsidRPr="008B2A01">
        <w:rPr>
          <w:rFonts w:cs="Times New Roman"/>
        </w:rPr>
        <w:fldChar w:fldCharType="separate"/>
      </w:r>
      <w:r w:rsidRPr="008B2A01">
        <w:rPr>
          <w:rFonts w:cs="Times New Roman"/>
          <w:noProof/>
        </w:rPr>
        <w:t>Liza Dumovich, ‘Pious Creativity: Negotiating Hizmet in South America after July 2016’</w:t>
      </w:r>
      <w:r>
        <w:rPr>
          <w:rFonts w:cs="Times New Roman"/>
          <w:noProof/>
        </w:rPr>
        <w:t>,</w:t>
      </w:r>
      <w:r w:rsidRPr="008B2A01">
        <w:rPr>
          <w:rFonts w:cs="Times New Roman"/>
          <w:noProof/>
        </w:rPr>
        <w:t xml:space="preserve"> </w:t>
      </w:r>
      <w:r w:rsidRPr="008B2A01">
        <w:rPr>
          <w:rFonts w:cs="Times New Roman"/>
          <w:i/>
          <w:noProof/>
        </w:rPr>
        <w:t>Politics, Religion and Ideology</w:t>
      </w:r>
      <w:r w:rsidRPr="008B2A01">
        <w:rPr>
          <w:rFonts w:cs="Times New Roman"/>
          <w:noProof/>
        </w:rPr>
        <w:t xml:space="preserve"> 19</w:t>
      </w:r>
      <w:r>
        <w:rPr>
          <w:rFonts w:cs="Times New Roman"/>
          <w:noProof/>
        </w:rPr>
        <w:t>.1 (</w:t>
      </w:r>
      <w:r w:rsidRPr="008B2A01">
        <w:rPr>
          <w:rFonts w:cs="Times New Roman"/>
          <w:noProof/>
        </w:rPr>
        <w:t>2018): 81–94,</w:t>
      </w:r>
      <w:r>
        <w:rPr>
          <w:rFonts w:cs="Times New Roman"/>
          <w:noProof/>
        </w:rPr>
        <w:t xml:space="preserve"> DOI:</w:t>
      </w:r>
      <w:r w:rsidRPr="008B2A01">
        <w:rPr>
          <w:rFonts w:cs="Times New Roman"/>
          <w:noProof/>
        </w:rPr>
        <w:t xml:space="preserve"> https://doi.org/10.1080/21567689.2018.1453267.</w:t>
      </w:r>
      <w:r w:rsidRPr="008B2A01">
        <w:rPr>
          <w:rFonts w:cs="Times New Roman"/>
        </w:rPr>
        <w:fldChar w:fldCharType="end"/>
      </w:r>
    </w:p>
  </w:footnote>
  <w:footnote w:id="48">
    <w:p w14:paraId="6C939B39" w14:textId="77777777" w:rsidR="00153F3A" w:rsidRPr="008B2A01" w:rsidRDefault="00153F3A" w:rsidP="00153F3A">
      <w:pPr>
        <w:pBdr>
          <w:top w:val="nil"/>
          <w:left w:val="nil"/>
          <w:bottom w:val="nil"/>
          <w:right w:val="nil"/>
          <w:between w:val="nil"/>
        </w:pBdr>
        <w:rPr>
          <w:rFonts w:ascii="Times New Roman" w:eastAsia="Calibri"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eastAsia="Calibri" w:hAnsi="Times New Roman" w:cs="Times New Roman"/>
          <w:color w:val="000000" w:themeColor="text1"/>
          <w:sz w:val="20"/>
          <w:szCs w:val="20"/>
        </w:rPr>
        <w:t xml:space="preserve"> This number later climbed over 4200 which amounts to one third of </w:t>
      </w:r>
      <w:r>
        <w:rPr>
          <w:rFonts w:ascii="Times New Roman" w:eastAsia="Calibri" w:hAnsi="Times New Roman" w:cs="Times New Roman"/>
          <w:color w:val="000000" w:themeColor="text1"/>
          <w:sz w:val="20"/>
          <w:szCs w:val="20"/>
        </w:rPr>
        <w:t xml:space="preserve">the </w:t>
      </w:r>
      <w:r w:rsidRPr="008B2A01">
        <w:rPr>
          <w:rFonts w:ascii="Times New Roman" w:eastAsia="Calibri" w:hAnsi="Times New Roman" w:cs="Times New Roman"/>
          <w:color w:val="000000" w:themeColor="text1"/>
          <w:sz w:val="20"/>
          <w:szCs w:val="20"/>
        </w:rPr>
        <w:t>total judges and prosecutors in Turkey.</w:t>
      </w:r>
    </w:p>
  </w:footnote>
  <w:footnote w:id="49">
    <w:p w14:paraId="75B6BD3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independent.co.uk/news/world/europe/turkey-coup-latest-news-erdogan-istanbul-judges-removed-from-duty-failed-government-overthrow-a7140661.html","accessed":{"date-parts":[["2018","4","12"]]},"author":[{"dropping-particle":"","family":"Harrry Cockburn","given":"","non-dropping-particle":"","parse-names":false,"suffix":""}],"container-title":"The Independent","id":"ITEM-1","issued":{"date-parts":[["2016"]]},"title":"Turkey coup: 2,700 judges removed from duty following failed overthrow attempt | The Independent","type":"webpage"},"uris":["http://www.mendeley.com/documents/?uuid=5c4ae160-fa6e-3570-aacb-d8f7be07bdf1"]}],"mendeley":{"formattedCitation":"Harrry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https://www.independent.co.uk/news/world/europe/turkey-coup-latest-news-erdogan-istanbul-judges-removed-from-duty-failed-government-overthrow-a7140661.html.","plainTextFormattedCitation":"Harrry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https://www.independent.co.uk/news/world/europe/turkey-coup-latest-news-erdogan-istanbul-judges-removed-from-duty-failed-government-overthrow-a7140661.html.","previouslyFormattedCitation":"Harrry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https://www.independent.co.uk/news/world/europe/turkey-coup-latest-news-erdogan-istanbul-judges-removed-from-duty-failed-government-overthrow-a7140661.html."},"properties":{"noteIndex":51},"schema":"https://github.com/citation-style-language/schema/raw/master/csl-citation.json"}</w:instrText>
      </w:r>
      <w:r w:rsidRPr="008B2A01">
        <w:rPr>
          <w:rFonts w:cs="Times New Roman"/>
        </w:rPr>
        <w:fldChar w:fldCharType="separate"/>
      </w:r>
      <w:r w:rsidRPr="008B2A01">
        <w:rPr>
          <w:rFonts w:cs="Times New Roman"/>
          <w:noProof/>
        </w:rPr>
        <w:t xml:space="preserve">Harry Cockburn, ‘Turkey Coup: 2,700 Judges Removed from Duty Following Failed Overthrow Attempt’ </w:t>
      </w:r>
      <w:r w:rsidRPr="001C5D63">
        <w:rPr>
          <w:rFonts w:cs="Times New Roman"/>
          <w:i/>
          <w:noProof/>
        </w:rPr>
        <w:t>The Independent</w:t>
      </w:r>
      <w:r w:rsidRPr="008B2A01">
        <w:rPr>
          <w:rFonts w:cs="Times New Roman"/>
          <w:noProof/>
        </w:rPr>
        <w:t>, 2016, https://www.independent.co.uk/news/world/europe/turkey-coup-latest-news-erdogan-istanbul-judges-removed-from-duty-failed-government-overthrow-a7140661.html.</w:t>
      </w:r>
      <w:r w:rsidRPr="008B2A01">
        <w:rPr>
          <w:rFonts w:cs="Times New Roman"/>
        </w:rPr>
        <w:fldChar w:fldCharType="end"/>
      </w:r>
    </w:p>
  </w:footnote>
  <w:footnote w:id="50">
    <w:p w14:paraId="7E85A2D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{"citationItems":[{"id":"ITEM-1","itemData":{"DOI":"10.1007/978-1-4020-9160-5_533","ISBN":"978-1-4020-9159-9","ISSN":"0364-3417","PMID":"12289227","abstract":"The following are countries that have ratified the International Covenant on Civil and Political Rights since 1983: 1) Argentina, 8 August 1986; 2) Cameroon, 27 June 1984; 3) Congo, 5 October 1983; 4) Equatorial Guinea, 25 September 1987; 5) Luxembourg, 18 August 1983; 6) Niger, 7 March 1986; 7) Philippines, 23 October 1986; 8) San Marino, 18 October 1985; 9) Sudan, 18 March 1986; 10) Togo, 24 May 1984; 11) Democratic Yemen, 9 February 1987; and 12) Zambia, 10 April 1984.","author":[{"dropping-particle":"","family":"United Nations Human Rights Committee","given":"","non-dropping-particle":"","parse-names":false,"suffix":""}],"container-title":"Annual review of population law","id":"ITEM-1","issue":"29","issued":{"date-parts":[["2001"]]},"page":"8","title":"International Covenant on Civil and Political Rights - General Comment No. 29","type":"article-journal","volume":"44470"},"uris":["http://www.mendeley.com/documents/?uuid=68daa837-971b-4ba4-b835-7b2be52586c5"]}],"mendeley":{"formattedCitation":"United Nations Human Rights Committee, “International Covenant on Civil and Political Rights - General Comment No. 29,” &lt;i&gt;Annual Review of Population Law&lt;/i&gt; 44470, no. 29 (2001): 8, https://doi.org/10.1007/978-1-4020-9160-5_533.","plainTextFormattedCitation":"United Nations Human Rights Committee, “International Covenant on Civil and Political Rights - General Comment No. 29,” Annual Review of Population Law 44470, no. 29 (2001): 8, https://doi.org/10.1007/978-1-4020-9160-5_533.","previouslyFormattedCitation":"United Nations Human Rights Committee, “International Covenant on Civil and Political Rights - General Comment No. 29,” &lt;i&gt;Annual Review of Population Law&lt;/i&gt; 44470, no. 29 (2001): 8, https://doi.org/10.1007/978-1-4020-9160-5_533."},"properties":{"noteIndex":52},"schema":"https://github.com/citation-style-language/schema/raw/master/csl-citation.json"}</w:instrText>
      </w:r>
      <w:r w:rsidRPr="008B2A01">
        <w:rPr>
          <w:rFonts w:cs="Times New Roman"/>
        </w:rPr>
        <w:fldChar w:fldCharType="separate"/>
      </w:r>
      <w:r w:rsidRPr="008B2A01">
        <w:rPr>
          <w:rFonts w:cs="Times New Roman"/>
          <w:noProof/>
        </w:rPr>
        <w:t>United Nations Human Rights Committee, ‘International Covenant on Civil and Political Rights - General Comment No. 29’</w:t>
      </w:r>
      <w:r>
        <w:rPr>
          <w:rFonts w:cs="Times New Roman"/>
          <w:noProof/>
        </w:rPr>
        <w:t>,</w:t>
      </w:r>
      <w:r w:rsidRPr="008B2A01">
        <w:rPr>
          <w:rFonts w:cs="Times New Roman"/>
          <w:noProof/>
        </w:rPr>
        <w:t xml:space="preserve"> </w:t>
      </w:r>
      <w:r w:rsidRPr="008B2A01">
        <w:rPr>
          <w:rFonts w:cs="Times New Roman"/>
          <w:i/>
          <w:noProof/>
        </w:rPr>
        <w:t>Annual Review of Population Law</w:t>
      </w:r>
      <w:r w:rsidRPr="008B2A01">
        <w:rPr>
          <w:rFonts w:cs="Times New Roman"/>
          <w:noProof/>
        </w:rPr>
        <w:t xml:space="preserve"> 44470</w:t>
      </w:r>
      <w:r>
        <w:rPr>
          <w:rFonts w:cs="Times New Roman"/>
          <w:noProof/>
        </w:rPr>
        <w:t>.29 (</w:t>
      </w:r>
      <w:r w:rsidRPr="008B2A01">
        <w:rPr>
          <w:rFonts w:cs="Times New Roman"/>
          <w:noProof/>
        </w:rPr>
        <w:t xml:space="preserve">2001): 8, </w:t>
      </w:r>
      <w:r>
        <w:rPr>
          <w:rFonts w:cs="Times New Roman"/>
          <w:noProof/>
        </w:rPr>
        <w:t xml:space="preserve">DOI: </w:t>
      </w:r>
      <w:r w:rsidRPr="008B2A01">
        <w:rPr>
          <w:rFonts w:cs="Times New Roman"/>
          <w:noProof/>
        </w:rPr>
        <w:t>https://doi.org/10.1007/978-1-4020-9160-5_533.</w:t>
      </w:r>
      <w:r w:rsidRPr="008B2A01">
        <w:rPr>
          <w:rFonts w:cs="Times New Roman"/>
        </w:rPr>
        <w:fldChar w:fldCharType="end"/>
      </w:r>
    </w:p>
  </w:footnote>
  <w:footnote w:id="51">
    <w:p w14:paraId="67C53DC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{"citationItems":[{"id":"ITEM-1","itemData":{"ISBN":"9781623134167","author":[{"dropping-particle":"","family":"Human Rights Watch","given":"","non-dropping-particle":"","parse-names":false,"suffix":""}],"id":"ITEM-1","issued":{"date-parts":[["2016"]]},"number-of-pages":"48","title":"A BLANK CHECK: Turkey's Post-Coup Suspension of Safeguards Against Torture","type":"report"},"uris":["http://www.mendeley.com/documents/?uuid=4f192747-eae2-4778-8160-cac7a33e6881"]}],"mendeley":{"formattedCitation":"Human Rights Watch, “A BLANK CHECK: Turkey’s Post-Coup Suspension of Safeguards Against Torture,” 2016, https://www.hrw.org/sites/default/files/report_pdf/turkey1016_web.pdf.","plainTextFormattedCitation":"Human Rights Watch, “A BLANK CHECK: Turkey’s Post-Coup Suspension of Safeguards Against Torture,” 2016, https://www.hrw.org/sites/default/files/report_pdf/turkey1016_web.pdf.","previouslyFormattedCitation":"Human Rights Watch, “A BLANK CHECK: Turkey’s Post-Coup Suspension of Safeguards Against Torture,” 2016, https://www.hrw.org/sites/default/files/report_pdf/turkey1016_web.pdf."},"properties":{"noteIndex":53},"schema":"https://github.com/citation-style-language/schema/raw/master/csl-citation.json"}</w:instrText>
      </w:r>
      <w:r w:rsidRPr="008B2A01">
        <w:rPr>
          <w:rFonts w:cs="Times New Roman"/>
        </w:rPr>
        <w:fldChar w:fldCharType="separate"/>
      </w:r>
      <w:r w:rsidRPr="008B2A01">
        <w:rPr>
          <w:rFonts w:cs="Times New Roman"/>
          <w:noProof/>
        </w:rPr>
        <w:t>Human Rights Watch, ‘A BLANK CHECK: Turkey’s Post-Coup Suspension of Safeguards Against Torture’</w:t>
      </w:r>
      <w:r>
        <w:rPr>
          <w:rFonts w:cs="Times New Roman"/>
          <w:noProof/>
        </w:rPr>
        <w:t>,</w:t>
      </w:r>
      <w:r w:rsidRPr="008B2A01">
        <w:rPr>
          <w:rFonts w:cs="Times New Roman"/>
          <w:noProof/>
        </w:rPr>
        <w:t xml:space="preserve"> 2016, https://www.hrw.org/sites/default/files/report_pdf/turkey1016_web.pdf.</w:t>
      </w:r>
      <w:r w:rsidRPr="008B2A01">
        <w:rPr>
          <w:rFonts w:cs="Times New Roman"/>
        </w:rPr>
        <w:fldChar w:fldCharType="end"/>
      </w:r>
    </w:p>
  </w:footnote>
  <w:footnote w:id="52">
    <w:p w14:paraId="14DF677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{"citationItems":[{"id":"ITEM-1","itemData":{"author":[{"dropping-particle":"","family":"Önderoglu","given":"Erol","non-dropping-particle":"","parse-names":false,"suffix":""}],"container-title":"Reporters Without Borders","id":"ITEM-1","issue":"September","issued":{"date-parts":[["2016"]]},"page":"15","title":"Turkey: State of Emergency State of Arbitrary","type":"article-journal"},"uris":["http://www.mendeley.com/documents/?uuid=58def485-7807-4447-97d1-3aff28a75d08"]}],"mendeley":{"formattedCitation":"Erol Önderoglu, “Turkey: State of Emergency State of Arbitrary,” &lt;i&gt;Reporters Without Borders&lt;/i&gt;, no. September (2016): 15, https://rsf.org/sites/default/files/turquie.etatdurgence.eng_.def_.pdf.","plainTextFormattedCitation":"Erol Önderoglu, “Turkey: State of Emergency State of Arbitrary,” Reporters Without Borders, no. September (2016): 15, https://rsf.org/sites/default/files/turquie.etatdurgence.eng_.def_.pdf.","previouslyFormattedCitation":"Erol Önderoglu, “Turkey: State of Emergency State of Arbitrary,” &lt;i&gt;Reporters Without Borders&lt;/i&gt;, no. September (2016): 15, https://rsf.org/sites/default/files/turquie.etatdurgence.eng_.def_.pdf."},"properties":{"noteIndex":54},"schema":"https://github.com/citation-style-language/schema/raw/master/csl-citation.json"}</w:instrText>
      </w:r>
      <w:r w:rsidRPr="008B2A01">
        <w:rPr>
          <w:rFonts w:cs="Times New Roman"/>
        </w:rPr>
        <w:fldChar w:fldCharType="separate"/>
      </w:r>
      <w:r w:rsidRPr="008B2A01">
        <w:rPr>
          <w:rFonts w:cs="Times New Roman"/>
          <w:noProof/>
        </w:rPr>
        <w:t>Erol Önderoglu, ‘Turkey: State of Emergency State of Arbitrary’</w:t>
      </w:r>
      <w:r>
        <w:rPr>
          <w:rFonts w:cs="Times New Roman"/>
          <w:noProof/>
        </w:rPr>
        <w:t>,</w:t>
      </w:r>
      <w:r w:rsidRPr="008B2A01">
        <w:rPr>
          <w:rFonts w:cs="Times New Roman"/>
          <w:noProof/>
        </w:rPr>
        <w:t xml:space="preserve"> </w:t>
      </w:r>
      <w:r w:rsidRPr="008B2A01">
        <w:rPr>
          <w:rFonts w:cs="Times New Roman"/>
          <w:i/>
          <w:noProof/>
        </w:rPr>
        <w:t>Reporters Without Borders</w:t>
      </w:r>
      <w:r w:rsidRPr="008B2A01">
        <w:rPr>
          <w:rFonts w:cs="Times New Roman"/>
          <w:noProof/>
        </w:rPr>
        <w:t xml:space="preserve">, </w:t>
      </w:r>
      <w:r>
        <w:rPr>
          <w:rFonts w:cs="Times New Roman"/>
          <w:noProof/>
        </w:rPr>
        <w:t>(</w:t>
      </w:r>
      <w:r w:rsidRPr="008B2A01">
        <w:rPr>
          <w:rFonts w:cs="Times New Roman"/>
          <w:noProof/>
        </w:rPr>
        <w:t>September</w:t>
      </w:r>
      <w:r>
        <w:rPr>
          <w:rFonts w:cs="Times New Roman"/>
          <w:noProof/>
        </w:rPr>
        <w:t>,</w:t>
      </w:r>
      <w:r w:rsidRPr="008B2A01">
        <w:rPr>
          <w:rFonts w:cs="Times New Roman"/>
          <w:noProof/>
        </w:rPr>
        <w:t xml:space="preserve"> 2016): 15, https://rsf.org/sites/default/files/turquie.etatdurgence.eng_.def_.pdf.</w:t>
      </w:r>
      <w:r w:rsidRPr="008B2A01">
        <w:rPr>
          <w:rFonts w:cs="Times New Roman"/>
        </w:rPr>
        <w:fldChar w:fldCharType="end"/>
      </w:r>
    </w:p>
  </w:footnote>
  <w:footnote w:id="53">
    <w:p w14:paraId="5990085B"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lang w:val="en-GB"/>
        </w:rPr>
        <w:t xml:space="preserve">When I submitted the first draft of this chapter, the figures were 150,000 dismissed, 133,257 detained, 64,998 arrested. By the time I submitted the second draft, the figures increased to over 170,000 dismissed, 142,874 detained, 81,417 arrested. </w:t>
      </w:r>
      <w:r>
        <w:rPr>
          <w:rFonts w:cs="Times New Roman"/>
          <w:color w:val="000000" w:themeColor="text1"/>
          <w:lang w:val="en-GB"/>
        </w:rPr>
        <w:t>T</w:t>
      </w:r>
      <w:r w:rsidRPr="008B2A01">
        <w:rPr>
          <w:rFonts w:cs="Times New Roman"/>
          <w:color w:val="000000" w:themeColor="text1"/>
          <w:lang w:val="en-GB"/>
        </w:rPr>
        <w:t>hese figures</w:t>
      </w:r>
      <w:r>
        <w:rPr>
          <w:rFonts w:cs="Times New Roman"/>
          <w:color w:val="000000" w:themeColor="text1"/>
          <w:lang w:val="en-GB"/>
        </w:rPr>
        <w:t xml:space="preserve"> alone should be</w:t>
      </w:r>
      <w:r w:rsidRPr="008B2A01">
        <w:rPr>
          <w:rFonts w:cs="Times New Roman"/>
          <w:color w:val="000000" w:themeColor="text1"/>
          <w:lang w:val="en-GB"/>
        </w:rPr>
        <w:t xml:space="preserve"> enough to illustrate the severity and arbitrar</w:t>
      </w:r>
      <w:r>
        <w:rPr>
          <w:rFonts w:cs="Times New Roman"/>
          <w:color w:val="000000" w:themeColor="text1"/>
          <w:lang w:val="en-GB"/>
        </w:rPr>
        <w:t>y nature</w:t>
      </w:r>
      <w:r w:rsidRPr="008B2A01">
        <w:rPr>
          <w:rFonts w:cs="Times New Roman"/>
          <w:color w:val="000000" w:themeColor="text1"/>
          <w:lang w:val="en-GB"/>
        </w:rPr>
        <w:t xml:space="preserve"> of the purge.</w:t>
      </w:r>
    </w:p>
  </w:footnote>
  <w:footnote w:id="54">
    <w:p w14:paraId="059D6EA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International","given":"","non-dropping-particle":"","parse-names":false,"suffix":""}],"id":"ITEM-1","issued":{"date-parts":[["2017"]]},"number-of-pages":"1-22","title":"NO END IN SIGHT: Purged Public Sector Workers Denied a Future in Turkey","type":"report"},"uris":["http://www.mendeley.com/documents/?uuid=e17fd62e-dad1-43bf-9c31-806964c93922"]}],"mendeley":{"formattedCitation":"Amnesty International, “NO END IN SIGHT: Purged Public Sector Workers Denied a Future in Turkey,” 2017, https://www.amnesty.org/download/Documents/EUR4462722017ENGLISH.PDF.","plainTextFormattedCitation":"Amnesty International, “NO END IN SIGHT: Purged Public Sector Workers Denied a Future in Turkey,” 2017, https://www.amnesty.org/download/Documents/EUR4462722017ENGLISH.PDF.","previouslyFormattedCitation":"Amnesty International, “NO END IN SIGHT: Purged Public Sector Workers Denied a Future in Turkey,” 2017, https://www.amnesty.org/download/Documents/EUR4462722017ENGLISH.PDF."},"properties":{"noteIndex":56},"schema":"https://github.com/citation-style-language/schema/raw/master/csl-citation.json"}</w:instrText>
      </w:r>
      <w:r w:rsidRPr="008B2A01">
        <w:rPr>
          <w:rFonts w:cs="Times New Roman"/>
        </w:rPr>
        <w:fldChar w:fldCharType="separate"/>
      </w:r>
      <w:r w:rsidRPr="008B2A01">
        <w:rPr>
          <w:rFonts w:cs="Times New Roman"/>
          <w:noProof/>
        </w:rPr>
        <w:t>Amnesty International, ‘NO END IN SIGHT: Purged Public Sector Workers Denied a Future in Turkey,’ 2017, https://www.amnesty.org/download/Documents/EUR4462722017ENGLISH.PDF.</w:t>
      </w:r>
      <w:r w:rsidRPr="008B2A01">
        <w:rPr>
          <w:rFonts w:cs="Times New Roman"/>
        </w:rPr>
        <w:fldChar w:fldCharType="end"/>
      </w:r>
    </w:p>
  </w:footnote>
  <w:footnote w:id="55">
    <w:p w14:paraId="03AA4C6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{"citationItems":[{"id":"ITEM-1","itemData":{"URL":"https://turkeypurge.com/","accessed":{"date-parts":[["2018","4","12"]]},"author":[{"dropping-particle":"","family":"Turkey Purge","given":"","non-dropping-particle":"","parse-names":false,"suffix":""}],"id":"ITEM-1","issued":{"date-parts":[["2018"]]},"title":"Turkey Purge | Monitoring human rights abuses in Turkey's post-coup crackdown","type":"webpage"},"uris":["http://www.mendeley.com/documents/?uuid=0e759e81-f7f3-31e8-94f0-515edd5956dd"]}],"mendeley":{"formattedCitation":"Turkey Purge, “Turkey Purge | Monitoring Human Rights Abuses in Turkey’s Post-Coup Crackdown,” 2018, https://turkeypurge.com/.","plainTextFormattedCitation":"Turkey Purge, “Turkey Purge | Monitoring Human Rights Abuses in Turkey’s Post-Coup Crackdown,” 2018, https://turkeypurge.com/.","previouslyFormattedCitation":"Turkey Purge, “Turkey Purge | Monitoring Human Rights Abuses in Turkey’s Post-Coup Crackdown,” 2018, https://turkeypurge.com/."},"properties":{"noteIndex":57},"schema":"https://github.com/citation-style-language/schema/raw/master/csl-citation.json"}</w:instrText>
      </w:r>
      <w:r w:rsidRPr="008B2A01">
        <w:rPr>
          <w:rFonts w:cs="Times New Roman"/>
        </w:rPr>
        <w:fldChar w:fldCharType="separate"/>
      </w:r>
      <w:r w:rsidRPr="008B2A01">
        <w:rPr>
          <w:rFonts w:cs="Times New Roman"/>
          <w:noProof/>
        </w:rPr>
        <w:t>Turkey Purge, ‘Turkey Purge | Monitoring Human Rights Abuses in Turkey’s Post-Coup Crackdown,’ 2018, https://turkeypurge.com/.</w:t>
      </w:r>
      <w:r w:rsidRPr="008B2A01">
        <w:rPr>
          <w:rFonts w:cs="Times New Roman"/>
        </w:rPr>
        <w:fldChar w:fldCharType="end"/>
      </w:r>
    </w:p>
  </w:footnote>
  <w:footnote w:id="56">
    <w:p w14:paraId="3742593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{"citationItems":[{"id":"ITEM-1","itemData":{"DOI":"10.1080/13642987.2017.1359551","ISSN":"1744053X","abstract":"ABSTRACTAfter the failure of the abortive coup in 2016, Turkey announced that it would derogate from the International Covenant on Civil and Political Rights (ICCPR) and the European Convention on Human Rights (ECHR) during the pronounced state of emergency. While the derogation was claimed to be necessary to eliminate the remaining hostile factions, a sweeping purge followed and human rights organisations have raised concerns over the deteriorating situation. This evokes the question of whether human rights can actually be derogated or suspended during coup situations. This article will analyse whether coup d’état can be regarded as ‘an emergency that threatens the life of a nation’ under Article 4(1) of the ICCPR and Article 15 of the ECHR. Moreover, this article will assess whether a coup could also be invoked to suspend the American Convention on Human Rights and the African Charter on Human and People’s Rights.","author":[{"dropping-particle":"","family":"Nugraha","given":"Ignatius Yordan","non-dropping-particle":"","parse-names":false,"suffix":""}],"container-title":"International Journal of Human Rights","id":"ITEM-1","issue":"2","issued":{"date-parts":[["2018"]]},"page":"194-206","publisher":"Taylor &amp; Francis","title":"Human rights derogation during coup situations","type":"article-journal","volume":"22"},"uris":["http://www.mendeley.com/documents/?uuid=9a104ba3-ed47-418f-a931-4a62d4d2ab3a"]}],"mendeley":{"formattedCitation":"Ignatius Yordan Nugraha, “Human Rights Derogation during Coup Situations,” &lt;i&gt;International Journal of Human Rights&lt;/i&gt; 22, no. 2 (2018): 194–206, https://doi.org/10.1080/13642987.2017.1359551.","plainTextFormattedCitation":"Ignatius Yordan Nugraha, “Human Rights Derogation during Coup Situations,” International Journal of Human Rights 22, no. 2 (2018): 194–206, https://doi.org/10.1080/13642987.2017.1359551.","previouslyFormattedCitation":"Ignatius Yordan Nugraha, “Human Rights Derogation during Coup Situations,” &lt;i&gt;International Journal of Human Rights&lt;/i&gt; 22, no. 2 (2018): 194–206, https://doi.org/10.1080/13642987.2017.1359551."},"properties":{"noteIndex":58},"schema":"https://github.com/citation-style-language/schema/raw/master/csl-citation.json"}</w:instrText>
      </w:r>
      <w:r w:rsidRPr="008B2A01">
        <w:rPr>
          <w:rFonts w:cs="Times New Roman"/>
        </w:rPr>
        <w:fldChar w:fldCharType="separate"/>
      </w:r>
      <w:r w:rsidRPr="008B2A01">
        <w:rPr>
          <w:rFonts w:cs="Times New Roman"/>
          <w:noProof/>
        </w:rPr>
        <w:t>Ignatius Yordan Nugraha, ‘Human Rights Derogation during Coup Situations</w:t>
      </w:r>
      <w:r>
        <w:rPr>
          <w:rFonts w:cs="Times New Roman"/>
          <w:noProof/>
        </w:rPr>
        <w:t>',</w:t>
      </w:r>
      <w:r w:rsidRPr="008B2A01">
        <w:rPr>
          <w:rFonts w:cs="Times New Roman"/>
          <w:noProof/>
        </w:rPr>
        <w:t xml:space="preserve"> </w:t>
      </w:r>
      <w:r w:rsidRPr="008B2A01">
        <w:rPr>
          <w:rFonts w:cs="Times New Roman"/>
          <w:i/>
          <w:noProof/>
        </w:rPr>
        <w:t>International Journal of Human Rights</w:t>
      </w:r>
      <w:r w:rsidRPr="008B2A01">
        <w:rPr>
          <w:rFonts w:cs="Times New Roman"/>
          <w:noProof/>
        </w:rPr>
        <w:t xml:space="preserve"> 22</w:t>
      </w:r>
      <w:r>
        <w:rPr>
          <w:rFonts w:cs="Times New Roman"/>
          <w:noProof/>
        </w:rPr>
        <w:t>.2 (</w:t>
      </w:r>
      <w:r w:rsidRPr="008B2A01">
        <w:rPr>
          <w:rFonts w:cs="Times New Roman"/>
          <w:noProof/>
        </w:rPr>
        <w:t>2018): 194–206,</w:t>
      </w:r>
      <w:r>
        <w:rPr>
          <w:rFonts w:cs="Times New Roman"/>
          <w:noProof/>
        </w:rPr>
        <w:t xml:space="preserve"> DOI:</w:t>
      </w:r>
      <w:r w:rsidRPr="008B2A01">
        <w:rPr>
          <w:rFonts w:cs="Times New Roman"/>
          <w:noProof/>
        </w:rPr>
        <w:t xml:space="preserve"> https://doi.org/10.1080/13642987.2017.1359551.</w:t>
      </w:r>
      <w:r w:rsidRPr="008B2A01">
        <w:rPr>
          <w:rFonts w:cs="Times New Roman"/>
        </w:rPr>
        <w:fldChar w:fldCharType="end"/>
      </w:r>
    </w:p>
  </w:footnote>
  <w:footnote w:id="57">
    <w:p w14:paraId="07669E7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{"citationItems":[{"id":"ITEM-1","itemData":{"URL":"https://www.ft.com/content/6af8aaea-0906-11e7-97d1-5e720a26771b","accessed":{"date-parts":[["2018","4","12"]]},"author":[{"dropping-particle":"","family":"Laura Pitel","given":"","non-dropping-particle":"","parse-names":false,"suffix":""}],"container-title":"The Financial Times","id":"ITEM-1","issued":{"date-parts":[["2017"]]},"title":"Erdogan’s informers: Turkey’s descent into fear and betrayal","type":"webpage"},"uris":["http://www.mendeley.com/documents/?uuid=67c9c3b9-110b-3837-9313-4bbaec4bac73"]}],"mendeley":{"formattedCitation":"Laura Pitel, “Erdogan’s Informers: Turkey’s Descent into Fear and Betrayal,” The Financial Times, 2017, https://www.ft.com/content/6af8aaea-0906-11e7-97d1-5e720a26771b.","plainTextFormattedCitation":"Laura Pitel, “Erdogan’s Informers: Turkey’s Descent into Fear and Betrayal,” The Financial Times, 2017, https://www.ft.com/content/6af8aaea-0906-11e7-97d1-5e720a26771b.","previouslyFormattedCitation":"Laura Pitel, “Erdogan’s Informers: Turkey’s Descent into Fear and Betrayal,” The Financial Times, 2017, https://www.ft.com/content/6af8aaea-0906-11e7-97d1-5e720a26771b."},"properties":{"noteIndex":59},"schema":"https://github.com/citation-style-language/schema/raw/master/csl-citation.json"}</w:instrText>
      </w:r>
      <w:r w:rsidRPr="008B2A01">
        <w:rPr>
          <w:rFonts w:cs="Times New Roman"/>
        </w:rPr>
        <w:fldChar w:fldCharType="separate"/>
      </w:r>
      <w:r w:rsidRPr="008B2A01">
        <w:rPr>
          <w:rFonts w:cs="Times New Roman"/>
          <w:noProof/>
        </w:rPr>
        <w:t xml:space="preserve">Laura Pitel, ‘Erdogan’s Informers: Turkey’s Descent into Fear and Betrayal,’ </w:t>
      </w:r>
      <w:r w:rsidRPr="001C5D63">
        <w:rPr>
          <w:rFonts w:cs="Times New Roman"/>
          <w:i/>
          <w:noProof/>
        </w:rPr>
        <w:t>The Financial Times</w:t>
      </w:r>
      <w:r w:rsidRPr="008B2A01">
        <w:rPr>
          <w:rFonts w:cs="Times New Roman"/>
          <w:noProof/>
        </w:rPr>
        <w:t>, 2017, https://www.ft.com/content/6af8aaea-0906-11e7-97d1-5e720a26771b.</w:t>
      </w:r>
      <w:r w:rsidRPr="008B2A01">
        <w:rPr>
          <w:rFonts w:cs="Times New Roman"/>
        </w:rPr>
        <w:fldChar w:fldCharType="end"/>
      </w:r>
    </w:p>
  </w:footnote>
  <w:footnote w:id="58">
    <w:p w14:paraId="06D9967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Deviance","type":"book"},"locator":"2","uris":["http://www.mendeley.com/documents/?uuid=14257e4d-d0fd-4455-8661-41fd9cbe741e"]}],"mendeley":{"formattedCitation":"Goode and Ben-Yehuda, &lt;i&gt;Moral Panics The Social Construction of Deviance&lt;/i&gt;, 2.","plainTextFormattedCitation":"Goode and Ben-Yehuda, Moral Panics The Social Construction of Deviance, 2.","previouslyFormattedCitation":"Goode and Ben-Yehuda, &lt;i&gt;Moral Panics The Social Construction of Deviance&lt;/i&gt;, 2."},"properties":{"noteIndex":60},"schema":"https://github.com/citation-style-language/schema/raw/master/csl-citation.json"}</w:instrText>
      </w:r>
      <w:r w:rsidRPr="008B2A01">
        <w:rPr>
          <w:rFonts w:cs="Times New Roman"/>
        </w:rPr>
        <w:fldChar w:fldCharType="separate"/>
      </w:r>
      <w:r w:rsidRPr="008B2A01">
        <w:rPr>
          <w:rFonts w:cs="Times New Roman"/>
          <w:bCs/>
          <w:noProof/>
        </w:rPr>
        <w:t xml:space="preserve">Goode and Ben-Yehuda, </w:t>
      </w:r>
      <w:r w:rsidRPr="008B2A01">
        <w:rPr>
          <w:rFonts w:cs="Times New Roman"/>
          <w:bCs/>
          <w:i/>
          <w:noProof/>
        </w:rPr>
        <w:t>Moral Panics The Social Construction of Deviance</w:t>
      </w:r>
      <w:r w:rsidRPr="008B2A01">
        <w:rPr>
          <w:rFonts w:cs="Times New Roman"/>
          <w:bCs/>
          <w:noProof/>
        </w:rPr>
        <w:t>, 2.</w:t>
      </w:r>
      <w:r w:rsidRPr="008B2A01">
        <w:rPr>
          <w:rFonts w:cs="Times New Roman"/>
        </w:rPr>
        <w:fldChar w:fldCharType="end"/>
      </w:r>
    </w:p>
  </w:footnote>
  <w:footnote w:id="59">
    <w:p w14:paraId="646D3FC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www.haber7.com/guncel/haber/2144267-darbeciler-bylocktan-bu-mesaji-gonderdi","accessed":{"date-parts":[["2018","9","11"]]},"author":[{"dropping-particle":"","family":"Haber7.com","given":"","non-dropping-particle":"","parse-names":false,"suffix":""}],"id":"ITEM-1","issued":{"date-parts":[["2016"]]},"title":"Darbeciler ByLock'tan bu mesajı gönderdi! [English: Putchists sent this message on Bylock]","type":"webpage"},"uris":["http://www.mendeley.com/documents/?uuid=74d167b6-6aa0-38f9-9091-43b58b1494d7"]}],"mendeley":{"formattedCitation":"Haber7.com, “Darbeciler ByLock’tan Bu Mesajı Gönderdi! [English: Putchists Sent This Message on Bylock],” 2016, http://www.haber7.com/guncel/haber/2144267-darbeciler-bylocktan-bu-mesaji-gonderdi.","plainTextFormattedCitation":"Haber7.com, “Darbeciler ByLock’tan Bu Mesajı Gönderdi! [English: Putchists Sent This Message on Bylock],” 2016, http://www.haber7.com/guncel/haber/2144267-darbeciler-bylocktan-bu-mesaji-gonderdi.","previouslyFormattedCitation":"Haber7.com, “Darbeciler ByLock’tan Bu Mesajı Gönderdi! [English: Putchists Sent This Message on Bylock],” 2016, http://www.haber7.com/guncel/haber/2144267-darbeciler-bylocktan-bu-mesaji-gonderdi."},"properties":{"noteIndex":61},"schema":"https://github.com/citation-style-language/schema/raw/master/csl-citation.json"}</w:instrText>
      </w:r>
      <w:r w:rsidRPr="008B2A01">
        <w:rPr>
          <w:rFonts w:cs="Times New Roman"/>
        </w:rPr>
        <w:fldChar w:fldCharType="separate"/>
      </w:r>
      <w:r w:rsidRPr="008B2A01">
        <w:rPr>
          <w:rFonts w:cs="Times New Roman"/>
          <w:noProof/>
        </w:rPr>
        <w:t>Haber7.com, ‘Darbeciler ByLock’tan Bu Mesajı Gönderdi! [English: Putchists Sent This Message on Bylock],’ 2016, http://www.haber7.com/guncel/haber/2144267-darbeciler-bylocktan-bu-mesaji-gonderdi.</w:t>
      </w:r>
      <w:r w:rsidRPr="008B2A01">
        <w:rPr>
          <w:rFonts w:cs="Times New Roman"/>
        </w:rPr>
        <w:fldChar w:fldCharType="end"/>
      </w:r>
    </w:p>
  </w:footnote>
  <w:footnote w:id="60">
    <w:p w14:paraId="4E3456C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Investigation","type":"report"},"locator":"9","uris":["http://www.mendeley.com/documents/?uuid=86c63012-4b86-498f-b739-897ea14abd1a"]}],"mendeley":{"formattedCitation":"Fox-IT, “Expert Witness Report on ByLock Investigation,” 9.","plainTextFormattedCitation":"Fox-IT, “Expert Witness Report on ByLock Investigation,” 9.","previouslyFormattedCitation":"Fox-IT, “Expert Witness Report on ByLock Investigation,” 9."},"properties":{"noteIndex":62},"schema":"https://github.com/citation-style-language/schema/raw/master/csl-citation.json"}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9.</w:t>
      </w:r>
      <w:r w:rsidRPr="008B2A01">
        <w:rPr>
          <w:rFonts w:cs="Times New Roman"/>
        </w:rPr>
        <w:fldChar w:fldCharType="end"/>
      </w:r>
    </w:p>
  </w:footnote>
  <w:footnote w:id="61">
    <w:p w14:paraId="48F23E4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Turkey","type":"article-journal"},"locator":"2","uris":["http://www.mendeley.com/documents/?uuid=6bd59498-37d9-4ddc-917e-0ca87fdf33c8"]}],"mendeley":{"formattedCitation":"Gokce, “The Bylock Fallacy: An In-Depth Analysis of the Bylock Investigations in Turkey,” 2.","plainTextFormattedCitation":"Gokce, “The Bylock Fallacy: An In-Depth Analysis of the Bylock Investigations in Turkey,” 2.","previouslyFormattedCitation":"Gokce, “The Bylock Fallacy: An In-Depth Analysis of the Bylock Investigations in Turkey,” 2."},"properties":{"noteIndex":63},"schema":"https://github.com/citation-style-language/schema/raw/master/csl-citation.json"}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2.</w:t>
      </w:r>
      <w:r w:rsidRPr="008B2A01">
        <w:rPr>
          <w:rFonts w:cs="Times New Roman"/>
        </w:rPr>
        <w:fldChar w:fldCharType="end"/>
      </w:r>
    </w:p>
  </w:footnote>
  <w:footnote w:id="62">
    <w:p w14:paraId="104BFAC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Turkey","type":"article-journal"},"locator":"3","uris":["http://www.mendeley.com/documents/?uuid=6bd59498-37d9-4ddc-917e-0ca87fdf33c8"]}],"mendeley":{"formattedCitation":"Gokce, 3.","plainTextFormattedCitation":"Gokce, 3.","previouslyFormattedCitation":"Gokce, 3."},"properties":{"noteIndex":64},"schema":"https://github.com/citation-style-language/schema/raw/master/csl-citation.json"}</w:instrText>
      </w:r>
      <w:r w:rsidRPr="008B2A01">
        <w:rPr>
          <w:rFonts w:cs="Times New Roman"/>
        </w:rPr>
        <w:fldChar w:fldCharType="separate"/>
      </w:r>
      <w:r w:rsidRPr="008B2A01">
        <w:rPr>
          <w:rFonts w:cs="Times New Roman"/>
          <w:bCs/>
          <w:noProof/>
        </w:rPr>
        <w:t>Gokce, 3.</w:t>
      </w:r>
      <w:r w:rsidRPr="008B2A01">
        <w:rPr>
          <w:rFonts w:cs="Times New Roman"/>
        </w:rPr>
        <w:fldChar w:fldCharType="end"/>
      </w:r>
    </w:p>
  </w:footnote>
  <w:footnote w:id="63">
    <w:p w14:paraId="4DE0FEC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m.en.delfi.lt/lithuania/article.php?id=76099973","accessed":{"date-parts":[["2018","9","13"]]},"author":[{"dropping-particle":"","family":"EN.DELFI","given":"","non-dropping-particle":"","parse-names":false,"suffix":""}],"id":"ITEM-1","issued":{"date-parts":[["2017"]]},"title":"Lithuania didn't provide Turkey with ByLock user data - Lithuania - m.en.delfi.lt","type":"webpage"},"uris":["http://www.mendeley.com/documents/?uuid=08c31b28-6dfb-3009-8384-fb1d0f784632"]}],"mendeley":{"formattedCitation":"EN.DELFI, “Lithuania Didn’t Provide Turkey with ByLock User Data - Lithuania - m.En.Delfi.Lt,” 2017, http://m.en.delfi.lt/lithuania/article.php?id=76099973.","plainTextFormattedCitation":"EN.DELFI, “Lithuania Didn’t Provide Turkey with ByLock User Data - Lithuania - m.En.Delfi.Lt,” 2017, http://m.en.delfi.lt/lithuania/article.php?id=76099973.","previouslyFormattedCitation":"EN.DELFI, “Lithuania Didn’t Provide Turkey with ByLock User Data - Lithuania - m.En.Delfi.Lt,” 2017, http://m.en.delfi.lt/lithuania/article.php?id=76099973."},"properties":{"noteIndex":65},"schema":"https://github.com/citation-style-language/schema/raw/master/csl-citation.json"}</w:instrText>
      </w:r>
      <w:r w:rsidRPr="008B2A01">
        <w:rPr>
          <w:rFonts w:cs="Times New Roman"/>
        </w:rPr>
        <w:fldChar w:fldCharType="separate"/>
      </w:r>
      <w:r w:rsidRPr="008B2A01">
        <w:rPr>
          <w:rFonts w:cs="Times New Roman"/>
          <w:noProof/>
        </w:rPr>
        <w:t>EN.DELFI, ‘Lithuania Didn’t Provide Turkey with ByLock User Data - Lithuania - m.En.Delfi.Lt,’ 2017, http://m.en.delfi.lt/lithuania/article.php?id=76099973.</w:t>
      </w:r>
      <w:r w:rsidRPr="008B2A01">
        <w:rPr>
          <w:rFonts w:cs="Times New Roman"/>
        </w:rPr>
        <w:fldChar w:fldCharType="end"/>
      </w:r>
    </w:p>
  </w:footnote>
  <w:footnote w:id="64">
    <w:p w14:paraId="4B9B31F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Turkey","type":"article-journal"},"uris":["http://www.mendeley.com/documents/?uuid=6bd59498-37d9-4ddc-917e-0ca87fdf33c8"]}],"mendeley":{"formattedCitation":"Gokce, “The Bylock Fallacy: An In-Depth Analysis of the Bylock Investigations in Turkey.”","plainTextFormattedCitation":"Gokce, “The Bylock Fallacy: An In-Depth Analysis of the Bylock Investigations in Turkey.”","previouslyFormattedCitation":"Gokce, “The Bylock Fallacy: An In-Depth Analysis of the Bylock Investigations in Turkey.”"},"properties":{"noteIndex":66},"schema":"https://github.com/citation-style-language/schema/raw/master/csl-citation.json"}</w:instrText>
      </w:r>
      <w:r w:rsidRPr="008B2A01">
        <w:rPr>
          <w:rFonts w:cs="Times New Roman"/>
        </w:rPr>
        <w:fldChar w:fldCharType="separate"/>
      </w:r>
      <w:r w:rsidRPr="008B2A01">
        <w:rPr>
          <w:rFonts w:cs="Times New Roman"/>
          <w:noProof/>
        </w:rPr>
        <w:t>Gokce, ‘The Bylock Fallacy: An In-Depth Analysis of the Bylock Investigations in Turkey.’</w:t>
      </w:r>
      <w:r w:rsidRPr="008B2A01">
        <w:rPr>
          <w:rFonts w:cs="Times New Roman"/>
        </w:rPr>
        <w:fldChar w:fldCharType="end"/>
      </w:r>
    </w:p>
  </w:footnote>
  <w:footnote w:id="65">
    <w:p w14:paraId="1BD8E5D7" w14:textId="77777777" w:rsidR="00153F3A" w:rsidRPr="008B2A01" w:rsidRDefault="00153F3A" w:rsidP="00153F3A">
      <w:pPr>
        <w:pStyle w:val="FootnoteText"/>
        <w:contextualSpacing/>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lang w:val="en-GB"/>
        </w:rPr>
        <w:t xml:space="preserve">Although this report was not released to </w:t>
      </w:r>
      <w:r>
        <w:rPr>
          <w:rFonts w:cs="Times New Roman"/>
          <w:color w:val="000000" w:themeColor="text1"/>
          <w:lang w:val="en-GB"/>
        </w:rPr>
        <w:t xml:space="preserve">the </w:t>
      </w:r>
      <w:r w:rsidRPr="008B2A01">
        <w:rPr>
          <w:rFonts w:cs="Times New Roman"/>
          <w:color w:val="000000" w:themeColor="text1"/>
          <w:lang w:val="en-GB"/>
        </w:rPr>
        <w:t>public, it was distributed widely on social media. Fox-IT released</w:t>
      </w:r>
      <w:r>
        <w:rPr>
          <w:rFonts w:cs="Times New Roman"/>
          <w:color w:val="000000" w:themeColor="text1"/>
          <w:lang w:val="en-GB"/>
        </w:rPr>
        <w:t xml:space="preserve"> the</w:t>
      </w:r>
      <w:r w:rsidRPr="008B2A01">
        <w:rPr>
          <w:rFonts w:cs="Times New Roman"/>
          <w:color w:val="000000" w:themeColor="text1"/>
          <w:lang w:val="en-GB"/>
        </w:rPr>
        <w:t xml:space="preserve"> MIT report along with their own condemning report unpicking the inconsistencies and even deliberate manipulations in the former. Readers can find the Turkish version of the MIT report here</w:t>
      </w:r>
      <w:r>
        <w:rPr>
          <w:rFonts w:cs="Times New Roman"/>
          <w:color w:val="000000" w:themeColor="text1"/>
          <w:lang w:val="en-GB"/>
        </w:rPr>
        <w:t>:</w:t>
      </w:r>
      <w:r w:rsidRPr="008B2A01">
        <w:rPr>
          <w:rFonts w:cs="Times New Roman"/>
          <w:color w:val="000000" w:themeColor="text1"/>
          <w:lang w:val="en-GB"/>
        </w:rPr>
        <w:t xml:space="preserve"> https://foxitsecurity.files.wordpress.com/2017/09/bylock-mit-technical-report-turkish.pdf.</w:t>
      </w:r>
    </w:p>
  </w:footnote>
  <w:footnote w:id="66">
    <w:p w14:paraId="6AF62E69"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“Expert Witness Report on ByLock Investigation,” 20.","plainTextFormattedCitation":"Fox-IT, “Expert Witness Report on ByLock Investigation,” 20.","previouslyFormattedCitation":"Fox-IT, “Expert Witness Report on ByLock Investigation,” 20."},"properties":{"noteIndex":68},"schema":"https://github.com/citation-style-language/schema/raw/master/csl-citation.json"}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20.</w:t>
      </w:r>
      <w:r w:rsidRPr="008B2A01">
        <w:rPr>
          <w:rFonts w:cs="Times New Roman"/>
        </w:rPr>
        <w:fldChar w:fldCharType="end"/>
      </w:r>
    </w:p>
  </w:footnote>
  <w:footnote w:id="67">
    <w:p w14:paraId="015F7306" w14:textId="77777777" w:rsidR="00153F3A" w:rsidRPr="008B2A01" w:rsidRDefault="00153F3A" w:rsidP="00153F3A">
      <w:pPr>
        <w:spacing w:after="0"/>
        <w:contextualSpacing/>
        <w:rPr>
          <w:rFonts w:ascii="Times New Roman"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color w:val="000000" w:themeColor="text1"/>
          <w:sz w:val="20"/>
          <w:szCs w:val="20"/>
        </w:rPr>
        <w:t xml:space="preserve"> The relevant article is Turkish Penal Code 314/2. See </w:t>
      </w:r>
      <w:r w:rsidRPr="002D5F4A">
        <w:rPr>
          <w:rStyle w:val="Hyperlink"/>
          <w:rFonts w:ascii="Times New Roman" w:hAnsi="Times New Roman" w:cs="Times New Roman"/>
          <w:color w:val="000000" w:themeColor="text1"/>
          <w:sz w:val="20"/>
          <w:szCs w:val="20"/>
        </w:rPr>
        <w:t>https://www.legislationline.org/download/action/download/id/6453/file/Turkey_CC_2004_am2016_en.pdf</w:t>
      </w:r>
      <w:r w:rsidRPr="002D5F4A">
        <w:rPr>
          <w:rFonts w:ascii="Times New Roman" w:hAnsi="Times New Roman" w:cs="Times New Roman"/>
          <w:color w:val="000000" w:themeColor="text1"/>
          <w:sz w:val="20"/>
          <w:szCs w:val="20"/>
        </w:rPr>
        <w:t xml:space="preserve">, p. </w:t>
      </w:r>
      <w:r w:rsidRPr="008B2A01">
        <w:rPr>
          <w:rFonts w:ascii="Times New Roman" w:hAnsi="Times New Roman" w:cs="Times New Roman"/>
          <w:color w:val="000000" w:themeColor="text1"/>
          <w:sz w:val="20"/>
          <w:szCs w:val="20"/>
        </w:rPr>
        <w:t>104.</w:t>
      </w:r>
    </w:p>
  </w:footnote>
  <w:footnote w:id="68">
    <w:p w14:paraId="45CC70D7"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{"citationItems":[{"id":"ITEM-1","itemData":{"URL":"https://rsf.org/en/news/journalists-new-wave-arrests-turkey","accessed":{"date-parts":[["2018","4","16"]]},"author":[{"dropping-particle":"","family":"Reporters Without Borders","given":"","non-dropping-particle":"","parse-names":false,"suffix":""}],"container-title":"Reporters Without Borders","id":"ITEM-1","issued":{"date-parts":[["2017"]]},"title":"Journalists in new wave of arrests in Turkey","type":"webpage"},"uris":["http://www.mendeley.com/documents/?uuid=49e2ae70-b498-3df3-80aa-6cac4c53a1a6"]}],"mendeley":{"formattedCitation":"Reporters Without Borders, “Journalists in New Wave of Arrests in Turkey,” Reporters Without Borders, 2017, https://rsf.org/en/news/journalists-new-wave-arrests-turkey.","plainTextFormattedCitation":"Reporters Without Borders, “Journalists in New Wave of Arrests in Turkey,” Reporters Without Borders, 2017, https://rsf.org/en/news/journalists-new-wave-arrests-turkey.","previouslyFormattedCitation":"Reporters Without Borders, “Journalists in New Wave of Arrests in Turkey,” Reporters Without Borders, 2017, https://rsf.org/en/news/journalists-new-wave-arrests-turkey."},"properties":{"noteIndex":70},"schema":"https://github.com/citation-style-language/schema/raw/master/csl-citation.json"}</w:instrText>
      </w:r>
      <w:r w:rsidRPr="008B2A01">
        <w:rPr>
          <w:rFonts w:cs="Times New Roman"/>
        </w:rPr>
        <w:fldChar w:fldCharType="separate"/>
      </w:r>
      <w:r w:rsidRPr="008B2A01">
        <w:rPr>
          <w:rFonts w:cs="Times New Roman"/>
          <w:noProof/>
        </w:rPr>
        <w:t>Reporters Without Borders, ‘Journalists in New Wave of Arrests in Turkey,’ 2017, https://rsf.org/en/news/journalists-new-wave-arrests-turkey.</w:t>
      </w:r>
      <w:r w:rsidRPr="008B2A01">
        <w:rPr>
          <w:rFonts w:cs="Times New Roman"/>
        </w:rPr>
        <w:fldChar w:fldCharType="end"/>
      </w:r>
    </w:p>
  </w:footnote>
  <w:footnote w:id="69">
    <w:p w14:paraId="4F11C2C5" w14:textId="77777777" w:rsidR="00153F3A" w:rsidRPr="001D44A2" w:rsidRDefault="00153F3A" w:rsidP="00153F3A">
      <w:pPr>
        <w:pStyle w:val="FootnoteText"/>
      </w:pPr>
      <w:r>
        <w:rPr>
          <w:rStyle w:val="FootnoteReference"/>
        </w:rPr>
        <w:footnoteRef/>
      </w:r>
      <w:r>
        <w:t xml:space="preserve"> </w:t>
      </w:r>
      <w:r w:rsidRPr="008B2A01">
        <w:rPr>
          <w:rFonts w:cs="Times New Roman"/>
          <w:color w:val="000000" w:themeColor="text1"/>
        </w:rPr>
        <w:t>Fox-IT illustrates tens of factual errors, irregularities, questionable and incorrect claims,</w:t>
      </w:r>
      <w:r>
        <w:rPr>
          <w:rFonts w:cs="Times New Roman"/>
          <w:color w:val="000000" w:themeColor="text1"/>
        </w:rPr>
        <w:t xml:space="preserve"> and</w:t>
      </w:r>
      <w:r w:rsidRPr="008B2A01">
        <w:rPr>
          <w:rFonts w:cs="Times New Roman"/>
          <w:color w:val="000000" w:themeColor="text1"/>
        </w:rPr>
        <w:t xml:space="preserve"> biased statements in MIT’s technical report but space precludes</w:t>
      </w:r>
      <w:r>
        <w:rPr>
          <w:rFonts w:cs="Times New Roman"/>
          <w:color w:val="000000" w:themeColor="text1"/>
        </w:rPr>
        <w:t xml:space="preserve"> the</w:t>
      </w:r>
      <w:r w:rsidRPr="008B2A01">
        <w:rPr>
          <w:rFonts w:cs="Times New Roman"/>
          <w:color w:val="000000" w:themeColor="text1"/>
        </w:rPr>
        <w:t xml:space="preserve"> inclusion of all points illustrated. Fox-</w:t>
      </w:r>
      <w:proofErr w:type="gramStart"/>
      <w:r w:rsidRPr="008B2A01">
        <w:rPr>
          <w:rFonts w:cs="Times New Roman"/>
          <w:color w:val="000000" w:themeColor="text1"/>
        </w:rPr>
        <w:t>IT’s</w:t>
      </w:r>
      <w:proofErr w:type="gramEnd"/>
      <w:r w:rsidRPr="008B2A01">
        <w:rPr>
          <w:rFonts w:cs="Times New Roman"/>
          <w:color w:val="000000" w:themeColor="text1"/>
        </w:rPr>
        <w:t xml:space="preserve"> report is so damning that it calls MIT’s credibility</w:t>
      </w:r>
      <w:r>
        <w:rPr>
          <w:rFonts w:cs="Times New Roman"/>
          <w:color w:val="000000" w:themeColor="text1"/>
        </w:rPr>
        <w:t xml:space="preserve"> in general in</w:t>
      </w:r>
      <w:r w:rsidRPr="008B2A01">
        <w:rPr>
          <w:rFonts w:cs="Times New Roman"/>
          <w:color w:val="000000" w:themeColor="text1"/>
        </w:rPr>
        <w:t>to questio</w:t>
      </w:r>
      <w:r>
        <w:rPr>
          <w:rFonts w:cs="Times New Roman"/>
          <w:color w:val="000000" w:themeColor="text1"/>
        </w:rPr>
        <w:t>n</w:t>
      </w:r>
      <w:r w:rsidRPr="008B2A01">
        <w:rPr>
          <w:rFonts w:cs="Times New Roman"/>
          <w:color w:val="000000" w:themeColor="text1"/>
        </w:rPr>
        <w:t>.</w:t>
      </w:r>
    </w:p>
  </w:footnote>
  <w:footnote w:id="70">
    <w:p w14:paraId="7769DCA0"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Investigation","type":"report"},"locator":"25","uris":["http://www.mendeley.com/documents/?uuid=86c63012-4b86-498f-b739-897ea14abd1a"]}],"mendeley":{"formattedCitation":"Fox-IT, “Expert Witness Report on ByLock Investigation,” 25.","plainTextFormattedCitation":"Fox-IT, “Expert Witness Report on ByLock Investigation,” 25.","previouslyFormattedCitation":"Fox-IT, “Expert Witness Report on ByLock Investigation,” 25."},"properties":{"noteIndex":71},"schema":"https://github.com/citation-style-language/schema/raw/master/csl-citation.json"}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25.</w:t>
      </w:r>
      <w:r w:rsidRPr="008B2A01">
        <w:rPr>
          <w:rFonts w:cs="Times New Roman"/>
        </w:rPr>
        <w:fldChar w:fldCharType="end"/>
      </w:r>
    </w:p>
  </w:footnote>
  <w:footnote w:id="71">
    <w:p w14:paraId="3341D6E5"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20.","plainTextFormattedCitation":"Fox-IT, 20.","previouslyFormattedCitation":"Fox-IT, 20."},"properties":{"noteIndex":72},"schema":"https://github.com/citation-style-language/schema/raw/master/csl-citation.json"}</w:instrText>
      </w:r>
      <w:r w:rsidRPr="008B2A01">
        <w:rPr>
          <w:rFonts w:cs="Times New Roman"/>
        </w:rPr>
        <w:fldChar w:fldCharType="separate"/>
      </w:r>
      <w:r w:rsidRPr="008B2A01">
        <w:rPr>
          <w:rFonts w:cs="Times New Roman"/>
          <w:bCs/>
          <w:noProof/>
        </w:rPr>
        <w:t>Fox-IT, 20.</w:t>
      </w:r>
      <w:r w:rsidRPr="008B2A01">
        <w:rPr>
          <w:rFonts w:cs="Times New Roman"/>
        </w:rPr>
        <w:fldChar w:fldCharType="end"/>
      </w:r>
    </w:p>
  </w:footnote>
  <w:footnote w:id="72">
    <w:p w14:paraId="7FDDD0E6"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20.","plainTextFormattedCitation":"Fox-IT, 20.","previouslyFormattedCitation":"Fox-IT, 20."},"properties":{"noteIndex":73},"schema":"https://github.com/citation-style-language/schema/raw/master/csl-citation.json"}</w:instrText>
      </w:r>
      <w:r w:rsidRPr="008B2A01">
        <w:rPr>
          <w:rFonts w:cs="Times New Roman"/>
        </w:rPr>
        <w:fldChar w:fldCharType="separate"/>
      </w:r>
      <w:r w:rsidRPr="008B2A01">
        <w:rPr>
          <w:rFonts w:cs="Times New Roman"/>
          <w:bCs/>
          <w:noProof/>
        </w:rPr>
        <w:t>Fox-IT, 20.</w:t>
      </w:r>
      <w:r w:rsidRPr="008B2A01">
        <w:rPr>
          <w:rFonts w:cs="Times New Roman"/>
        </w:rPr>
        <w:fldChar w:fldCharType="end"/>
      </w:r>
    </w:p>
  </w:footnote>
  <w:footnote w:id="73">
    <w:p w14:paraId="7BA4133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Investigation","type":"report"},"locator":"25","uris":["http://www.mendeley.com/documents/?uuid=86c63012-4b86-498f-b739-897ea14abd1a"]}],"mendeley":{"formattedCitation":"Fox-IT, 25.","plainTextFormattedCitation":"Fox-IT, 25.","previouslyFormattedCitation":"Fox-IT, 25."},"properties":{"noteIndex":74},"schema":"https://github.com/citation-style-language/schema/raw/master/csl-citation.json"}</w:instrText>
      </w:r>
      <w:r w:rsidRPr="008B2A01">
        <w:rPr>
          <w:rFonts w:cs="Times New Roman"/>
        </w:rPr>
        <w:fldChar w:fldCharType="separate"/>
      </w:r>
      <w:r w:rsidRPr="008B2A01">
        <w:rPr>
          <w:rFonts w:cs="Times New Roman"/>
          <w:bCs/>
          <w:noProof/>
        </w:rPr>
        <w:t>Fox-IT, 25.</w:t>
      </w:r>
      <w:r w:rsidRPr="008B2A01">
        <w:rPr>
          <w:rFonts w:cs="Times New Roman"/>
        </w:rPr>
        <w:fldChar w:fldCharType="end"/>
      </w:r>
    </w:p>
  </w:footnote>
  <w:footnote w:id="74">
    <w:p w14:paraId="60823B5C"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Investigation","type":"report"},"locator":"21","uris":["http://www.mendeley.com/documents/?uuid=86c63012-4b86-498f-b739-897ea14abd1a"]}],"mendeley":{"formattedCitation":"Fox-IT, 21.","plainTextFormattedCitation":"Fox-IT, 21.","previouslyFormattedCitation":"Fox-IT, 21."},"properties":{"noteIndex":75},"schema":"https://github.com/citation-style-language/schema/raw/master/csl-citation.json"}</w:instrText>
      </w:r>
      <w:r w:rsidRPr="008B2A01">
        <w:rPr>
          <w:rFonts w:cs="Times New Roman"/>
        </w:rPr>
        <w:fldChar w:fldCharType="separate"/>
      </w:r>
      <w:r w:rsidRPr="008B2A01">
        <w:rPr>
          <w:rFonts w:cs="Times New Roman"/>
          <w:bCs/>
          <w:noProof/>
        </w:rPr>
        <w:t>Fox-IT, 21.</w:t>
      </w:r>
      <w:r w:rsidRPr="008B2A01">
        <w:rPr>
          <w:rFonts w:cs="Times New Roman"/>
        </w:rPr>
        <w:fldChar w:fldCharType="end"/>
      </w:r>
    </w:p>
  </w:footnote>
  <w:footnote w:id="75">
    <w:p w14:paraId="7F2C2789"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Investigation","type":"report"},"locator":"28","uris":["http://www.mendeley.com/documents/?uuid=86c63012-4b86-498f-b739-897ea14abd1a"]}],"mendeley":{"formattedCitation":"Fox-IT, 28.","plainTextFormattedCitation":"Fox-IT, 28.","previouslyFormattedCitation":"Fox-IT, 28."},"properties":{"noteIndex":76},"schema":"https://github.com/citation-style-language/schema/raw/master/csl-citation.json"}</w:instrText>
      </w:r>
      <w:r w:rsidRPr="008B2A01">
        <w:rPr>
          <w:rFonts w:cs="Times New Roman"/>
        </w:rPr>
        <w:fldChar w:fldCharType="separate"/>
      </w:r>
      <w:r w:rsidRPr="008B2A01">
        <w:rPr>
          <w:rFonts w:cs="Times New Roman"/>
          <w:bCs/>
          <w:noProof/>
        </w:rPr>
        <w:t>Fox-IT, 28.</w:t>
      </w:r>
      <w:r w:rsidRPr="008B2A01">
        <w:rPr>
          <w:rFonts w:cs="Times New Roman"/>
        </w:rPr>
        <w:fldChar w:fldCharType="end"/>
      </w:r>
    </w:p>
  </w:footnote>
  <w:footnote w:id="76">
    <w:p w14:paraId="5BF5C14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Investigation","type":"report"},"locator":"8","uris":["http://www.mendeley.com/documents/?uuid=86c63012-4b86-498f-b739-897ea14abd1a"]}],"mendeley":{"formattedCitation":"Fox-IT, “Expert Witness Report on ByLock Investigation,” 8.","manualFormatting":"FOX-IT, 8.","plainTextFormattedCitation":"Fox-IT, “Expert Witness Report on ByLock Investigation,” 8.","previouslyFormattedCitation":"Fox-IT, “Expert Witness Report on ByLock Investigation,” 8."},"properties":{"noteIndex":78},"schema":"https://github.com/citation-style-language/schema/raw/master/csl-citation.json"}</w:instrText>
      </w:r>
      <w:r w:rsidRPr="008B2A01">
        <w:rPr>
          <w:rFonts w:cs="Times New Roman"/>
        </w:rPr>
        <w:fldChar w:fldCharType="separate"/>
      </w:r>
      <w:r w:rsidRPr="008B2A01">
        <w:rPr>
          <w:rFonts w:cs="Times New Roman"/>
          <w:bCs/>
          <w:noProof/>
        </w:rPr>
        <w:t>Fox-IT, 8.</w:t>
      </w:r>
      <w:r w:rsidRPr="008B2A01">
        <w:rPr>
          <w:rFonts w:cs="Times New Roman"/>
        </w:rPr>
        <w:fldChar w:fldCharType="end"/>
      </w:r>
    </w:p>
  </w:footnote>
  <w:footnote w:id="77">
    <w:p w14:paraId="7E04D393"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Investigation","type":"report"},"locator":"29","uris":["http://www.mendeley.com/documents/?uuid=86c63012-4b86-498f-b739-897ea14abd1a"]}],"mendeley":{"formattedCitation":"Fox-IT, 29.","plainTextFormattedCitation":"Fox-IT, 29.","previouslyFormattedCitation":"Fox-IT, 29."},"properties":{"noteIndex":79},"schema":"https://github.com/citation-style-language/schema/raw/master/csl-citation.json"}</w:instrText>
      </w:r>
      <w:r w:rsidRPr="008B2A01">
        <w:rPr>
          <w:rFonts w:cs="Times New Roman"/>
        </w:rPr>
        <w:fldChar w:fldCharType="separate"/>
      </w:r>
      <w:r w:rsidRPr="008B2A01">
        <w:rPr>
          <w:rFonts w:cs="Times New Roman"/>
          <w:bCs/>
          <w:noProof/>
        </w:rPr>
        <w:t>Fox-IT, 29.</w:t>
      </w:r>
      <w:r w:rsidRPr="008B2A01">
        <w:rPr>
          <w:rFonts w:cs="Times New Roman"/>
        </w:rPr>
        <w:fldChar w:fldCharType="end"/>
      </w:r>
    </w:p>
  </w:footnote>
  <w:footnote w:id="78">
    <w:p w14:paraId="1A35A83D"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Turkey","type":"article-journal"},"locator":"10","uris":["http://www.mendeley.com/documents/?uuid=6bd59498-37d9-4ddc-917e-0ca87fdf33c8"]}],"mendeley":{"formattedCitation":"Gokce, “The Bylock Fallacy: An In-Depth Analysis of the Bylock Investigations in Turkey,” 10.","plainTextFormattedCitation":"Gokce, “The Bylock Fallacy: An In-Depth Analysis of the Bylock Investigations in Turkey,” 10.","previouslyFormattedCitation":"Gokce, “The Bylock Fallacy: An In-Depth Analysis of the Bylock Investigations in Turkey,” 10."},"properties":{"noteIndex":80},"schema":"https://github.com/citation-style-language/schema/raw/master/csl-citation.json"}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10.</w:t>
      </w:r>
      <w:r w:rsidRPr="008B2A01">
        <w:rPr>
          <w:rFonts w:cs="Times New Roman"/>
        </w:rPr>
        <w:fldChar w:fldCharType="end"/>
      </w:r>
    </w:p>
  </w:footnote>
  <w:footnote w:id="79">
    <w:p w14:paraId="1783ED2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Turkey","type":"article-journal"},"locator":"7","uris":["http://www.mendeley.com/documents/?uuid=6bd59498-37d9-4ddc-917e-0ca87fdf33c8"]}],"mendeley":{"formattedCitation":"Gokce, 7.","plainTextFormattedCitation":"Gokce, 7.","previouslyFormattedCitation":"Gokce, 7."},"properties":{"noteIndex":81},"schema":"https://github.com/citation-style-language/schema/raw/master/csl-citation.json"}</w:instrText>
      </w:r>
      <w:r w:rsidRPr="008B2A01">
        <w:rPr>
          <w:rFonts w:cs="Times New Roman"/>
        </w:rPr>
        <w:fldChar w:fldCharType="separate"/>
      </w:r>
      <w:r w:rsidRPr="008B2A01">
        <w:rPr>
          <w:rFonts w:cs="Times New Roman"/>
          <w:bCs/>
          <w:noProof/>
        </w:rPr>
        <w:t>Gokce, 7.</w:t>
      </w:r>
      <w:r w:rsidRPr="008B2A01">
        <w:rPr>
          <w:rFonts w:cs="Times New Roman"/>
        </w:rPr>
        <w:fldChar w:fldCharType="end"/>
      </w:r>
    </w:p>
  </w:footnote>
  <w:footnote w:id="80">
    <w:p w14:paraId="3B2CAA9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critics","type":"report"},"locator":"14","uris":["http://www.mendeley.com/documents/?uuid=da41119c-d359-42d0-bd97-7877501b55b5"]}],"mendeley":{"formattedCitation":"The Arrested Lawyers Initiative, “Ever-Changing Evidence ByLock: Turkish Government’s Favourite Tool to Arrest Its Critics,” 2017, 14, https://arrestedlawyers.files.wordpress.com/2018/01/bylock_report_by_the_arrested_lawyers.pdf.","plainTextFormattedCitation":"The Arrested Lawyers Initiative, “Ever-Changing Evidence ByLock: Turkish Government’s Favourite Tool to Arrest Its Critics,” 2017, 14, https://arrestedlawyers.files.wordpress.com/2018/01/bylock_report_by_the_arrested_lawyers.pdf.","previouslyFormattedCitation":"The Arrested Lawyers Initiative, “Ever-Changing Evidence ByLock: Turkish Government’s Favourite Tool to Arrest Its Critics,” 2017, 14, https://arrestedlawyers.files.wordpress.com/2018/01/bylock_report_by_the_arrested_lawyers.pdf."},"properties":{"noteIndex":82},"schema":"https://github.com/citation-style-language/schema/raw/master/csl-citation.json"}</w:instrText>
      </w:r>
      <w:r w:rsidRPr="008B2A01">
        <w:rPr>
          <w:rFonts w:cs="Times New Roman"/>
        </w:rPr>
        <w:fldChar w:fldCharType="separate"/>
      </w:r>
      <w:r w:rsidRPr="008B2A01">
        <w:rPr>
          <w:rFonts w:cs="Times New Roman"/>
          <w:bCs/>
          <w:noProof/>
        </w:rPr>
        <w:t>The Arrested Lawyers Initiative, ‘Ever-Changing Evidence ByLock: Turkish Government’s Favourite Tool to Arrest Its Critics,’ 2017, 14, https://arrestedlawyers.files.wordpress.com/2018/01/bylock_report_by_the_arrested_lawyers.pdf.</w:t>
      </w:r>
      <w:r w:rsidRPr="008B2A01">
        <w:rPr>
          <w:rFonts w:cs="Times New Roman"/>
        </w:rPr>
        <w:fldChar w:fldCharType="end"/>
      </w:r>
    </w:p>
  </w:footnote>
  <w:footnote w:id="81">
    <w:p w14:paraId="3B99EF2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Turkey","type":"article-journal"},"locator":"9","uris":["http://www.mendeley.com/documents/?uuid=6bd59498-37d9-4ddc-917e-0ca87fdf33c8"]}],"mendeley":{"formattedCitation":"Gokce, “The Bylock Fallacy: An In-Depth Analysis of the Bylock Investigations in Turkey,” 9.","plainTextFormattedCitation":"Gokce, “The Bylock Fallacy: An In-Depth Analysis of the Bylock Investigations in Turkey,” 9.","previouslyFormattedCitation":"Gokce, “The Bylock Fallacy: An In-Depth Analysis of the Bylock Investigations in Turkey,” 9."},"properties":{"noteIndex":83},"schema":"https://github.com/citation-style-language/schema/raw/master/csl-citation.json"}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9.</w:t>
      </w:r>
      <w:r w:rsidRPr="008B2A01">
        <w:rPr>
          <w:rFonts w:cs="Times New Roman"/>
        </w:rPr>
        <w:fldChar w:fldCharType="end"/>
      </w:r>
    </w:p>
  </w:footnote>
  <w:footnote w:id="82">
    <w:p w14:paraId="1B79564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Turkey","type":"article-journal"},"locator":"10","uris":["http://www.mendeley.com/documents/?uuid=6bd59498-37d9-4ddc-917e-0ca87fdf33c8"]}],"mendeley":{"formattedCitation":"Gokce, 10.","plainTextFormattedCitation":"Gokce, 10.","previouslyFormattedCitation":"Gokce, 10."},"properties":{"noteIndex":84},"schema":"https://github.com/citation-style-language/schema/raw/master/csl-citation.json"}</w:instrText>
      </w:r>
      <w:r w:rsidRPr="008B2A01">
        <w:rPr>
          <w:rFonts w:cs="Times New Roman"/>
        </w:rPr>
        <w:fldChar w:fldCharType="separate"/>
      </w:r>
      <w:r w:rsidRPr="008B2A01">
        <w:rPr>
          <w:rFonts w:cs="Times New Roman"/>
          <w:bCs/>
          <w:noProof/>
        </w:rPr>
        <w:t>Gokce, 10.</w:t>
      </w:r>
      <w:r w:rsidRPr="008B2A01">
        <w:rPr>
          <w:rFonts w:cs="Times New Roman"/>
        </w:rPr>
        <w:fldChar w:fldCharType="end"/>
      </w:r>
    </w:p>
  </w:footnote>
  <w:footnote w:id="83">
    <w:p w14:paraId="18EFE63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critics","type":"report"},"uris":["http://www.mendeley.com/documents/?uuid=da41119c-d359-42d0-bd97-7877501b55b5"]}],"mendeley":{"formattedCitation":"The Arrested Lawyers Initiative, “Ever-Changing Evidence ByLock: Turkish Government’s Favourite Tool to Arrest Its Critics.”","plainTextFormattedCitation":"The Arrested Lawyers Initiative, “Ever-Changing Evidence ByLock: Turkish Government’s Favourite Tool to Arrest Its Critics.”","previouslyFormattedCitation":"The Arrested Lawyers Initiative, “Ever-Changing Evidence ByLock: Turkish Government’s Favourite Tool to Arrest Its Critics.”"},"properties":{"noteIndex":85},"schema":"https://github.com/citation-style-language/schema/raw/master/csl-citation.json"}</w:instrText>
      </w:r>
      <w:r w:rsidRPr="008B2A01">
        <w:rPr>
          <w:rFonts w:cs="Times New Roman"/>
        </w:rPr>
        <w:fldChar w:fldCharType="separate"/>
      </w:r>
      <w:r w:rsidRPr="008B2A01">
        <w:rPr>
          <w:rFonts w:cs="Times New Roman"/>
          <w:noProof/>
        </w:rPr>
        <w:t>The Arrested Lawyers Initiative, ‘Ever-Changing Evidence ByLock: Turkish Government’s Favourite Tool to Arrest Its Critics.’</w:t>
      </w:r>
      <w:r w:rsidRPr="008B2A01">
        <w:rPr>
          <w:rFonts w:cs="Times New Roman"/>
        </w:rPr>
        <w:fldChar w:fldCharType="end"/>
      </w:r>
    </w:p>
  </w:footnote>
  <w:footnote w:id="84">
    <w:p w14:paraId="465EBE1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Turkish Minister of Science and Technology first argued to have identified 215</w:t>
      </w:r>
      <w:r>
        <w:rPr>
          <w:rFonts w:cs="Times New Roman"/>
        </w:rPr>
        <w:t>,</w:t>
      </w:r>
      <w:r w:rsidRPr="008B2A01">
        <w:rPr>
          <w:rFonts w:cs="Times New Roman"/>
        </w:rPr>
        <w:t xml:space="preserve">000 </w:t>
      </w:r>
      <w:proofErr w:type="spellStart"/>
      <w:r w:rsidRPr="008B2A01">
        <w:rPr>
          <w:rFonts w:cs="Times New Roman"/>
        </w:rPr>
        <w:t>By</w:t>
      </w:r>
      <w:r>
        <w:rPr>
          <w:rFonts w:cs="Times New Roman"/>
        </w:rPr>
        <w:t>L</w:t>
      </w:r>
      <w:r w:rsidRPr="008B2A01">
        <w:rPr>
          <w:rFonts w:cs="Times New Roman"/>
        </w:rPr>
        <w:t>ock</w:t>
      </w:r>
      <w:proofErr w:type="spellEnd"/>
      <w:r w:rsidRPr="008B2A01">
        <w:rPr>
          <w:rFonts w:cs="Times New Roman"/>
        </w:rPr>
        <w:t xml:space="preserve"> users in September 2016. Then, in April 2017, AKP</w:t>
      </w:r>
      <w:r>
        <w:rPr>
          <w:rFonts w:cs="Times New Roman"/>
        </w:rPr>
        <w:t>-</w:t>
      </w:r>
      <w:r w:rsidRPr="008B2A01">
        <w:rPr>
          <w:rFonts w:cs="Times New Roman"/>
        </w:rPr>
        <w:t xml:space="preserve">linked media reported that the number of </w:t>
      </w:r>
      <w:proofErr w:type="spellStart"/>
      <w:r w:rsidRPr="008B2A01">
        <w:rPr>
          <w:rFonts w:cs="Times New Roman"/>
        </w:rPr>
        <w:t>By</w:t>
      </w:r>
      <w:r>
        <w:rPr>
          <w:rFonts w:cs="Times New Roman"/>
        </w:rPr>
        <w:t>L</w:t>
      </w:r>
      <w:r w:rsidRPr="008B2A01">
        <w:rPr>
          <w:rFonts w:cs="Times New Roman"/>
        </w:rPr>
        <w:t>ock</w:t>
      </w:r>
      <w:proofErr w:type="spellEnd"/>
      <w:r w:rsidRPr="008B2A01">
        <w:rPr>
          <w:rFonts w:cs="Times New Roman"/>
        </w:rPr>
        <w:t xml:space="preserve"> users </w:t>
      </w:r>
      <w:r>
        <w:rPr>
          <w:rFonts w:cs="Times New Roman"/>
        </w:rPr>
        <w:t>had</w:t>
      </w:r>
      <w:r w:rsidRPr="008B2A01">
        <w:rPr>
          <w:rFonts w:cs="Times New Roman"/>
        </w:rPr>
        <w:t xml:space="preserve"> decreased to 102</w:t>
      </w:r>
      <w:r>
        <w:rPr>
          <w:rFonts w:cs="Times New Roman"/>
        </w:rPr>
        <w:t>,</w:t>
      </w:r>
      <w:r w:rsidRPr="008B2A01">
        <w:rPr>
          <w:rFonts w:cs="Times New Roman"/>
        </w:rPr>
        <w:t xml:space="preserve">000.  In December 2017, Ankara Chief Prosecutor’s Office announced over </w:t>
      </w:r>
      <w:r>
        <w:rPr>
          <w:rFonts w:cs="Times New Roman"/>
        </w:rPr>
        <w:t>11,000</w:t>
      </w:r>
      <w:r w:rsidRPr="008B2A01">
        <w:rPr>
          <w:rFonts w:cs="Times New Roman"/>
        </w:rPr>
        <w:t xml:space="preserve"> misidentifications in </w:t>
      </w:r>
      <w:proofErr w:type="spellStart"/>
      <w:r w:rsidRPr="008B2A01">
        <w:rPr>
          <w:rFonts w:cs="Times New Roman"/>
        </w:rPr>
        <w:t>By</w:t>
      </w:r>
      <w:r>
        <w:rPr>
          <w:rFonts w:cs="Times New Roman"/>
        </w:rPr>
        <w:t>L</w:t>
      </w:r>
      <w:r w:rsidRPr="008B2A01">
        <w:rPr>
          <w:rFonts w:cs="Times New Roman"/>
        </w:rPr>
        <w:t>ock</w:t>
      </w:r>
      <w:proofErr w:type="spellEnd"/>
      <w:r w:rsidRPr="008B2A01">
        <w:rPr>
          <w:rFonts w:cs="Times New Roman"/>
        </w:rPr>
        <w:t xml:space="preserve"> lists, decreasing the final number to just over 90</w:t>
      </w:r>
      <w:r>
        <w:rPr>
          <w:rFonts w:cs="Times New Roman"/>
        </w:rPr>
        <w:t>,</w:t>
      </w:r>
      <w:r w:rsidRPr="008B2A01">
        <w:rPr>
          <w:rFonts w:cs="Times New Roman"/>
        </w:rPr>
        <w:t xml:space="preserve">000. Furthermore, </w:t>
      </w:r>
      <w:r>
        <w:rPr>
          <w:rFonts w:cs="Times New Roman"/>
        </w:rPr>
        <w:t xml:space="preserve">the </w:t>
      </w:r>
      <w:r w:rsidRPr="008B2A01">
        <w:rPr>
          <w:rFonts w:cs="Times New Roman"/>
        </w:rPr>
        <w:t xml:space="preserve">prosecution did not share digital data/evidence with defendants and their counsel. This led critics to suspect ‘fabrication, alteration or corruption of the data’ used in </w:t>
      </w:r>
      <w:proofErr w:type="spellStart"/>
      <w:r w:rsidRPr="008B2A01">
        <w:rPr>
          <w:rFonts w:cs="Times New Roman"/>
        </w:rPr>
        <w:t>By</w:t>
      </w:r>
      <w:r>
        <w:rPr>
          <w:rFonts w:cs="Times New Roman"/>
        </w:rPr>
        <w:t>L</w:t>
      </w:r>
      <w:r w:rsidRPr="008B2A01">
        <w:rPr>
          <w:rFonts w:cs="Times New Roman"/>
        </w:rPr>
        <w:t>ock</w:t>
      </w:r>
      <w:proofErr w:type="spellEnd"/>
      <w:r w:rsidRPr="008B2A01">
        <w:rPr>
          <w:rFonts w:cs="Times New Roman"/>
        </w:rPr>
        <w:t xml:space="preserve"> trials. See: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critics","type":"report"},"uris":["http://www.mendeley.com/documents/?uuid=da41119c-d359-42d0-bd97-7877501b55b5"]}],"mendeley":{"formattedCitation":"The Arrested Lawyers Initiative.","manualFormatting":"The Arrested Lawyers Initiative report for an extensive summary.","plainTextFormattedCitation":"The Arrested Lawyers Initiative.","previouslyFormattedCitation":"The Arrested Lawyers Initiative, “Ever-Changing Evidence ByLock: Turkish Government’s Favourite Tool to Arrest Its Critics.”"},"properties":{"noteIndex":86},"schema":"https://github.com/citation-style-language/schema/raw/master/csl-citation.json"}</w:instrText>
      </w:r>
      <w:r w:rsidRPr="008B2A01">
        <w:rPr>
          <w:rFonts w:cs="Times New Roman"/>
        </w:rPr>
        <w:fldChar w:fldCharType="separate"/>
      </w:r>
      <w:r w:rsidRPr="008B2A01">
        <w:rPr>
          <w:rFonts w:cs="Times New Roman"/>
          <w:noProof/>
        </w:rPr>
        <w:t>The Arrested Lawyers Initiative report for an extensive summary.</w:t>
      </w:r>
      <w:r w:rsidRPr="008B2A01">
        <w:rPr>
          <w:rFonts w:cs="Times New Roman"/>
        </w:rPr>
        <w:fldChar w:fldCharType="end"/>
      </w:r>
      <w:r w:rsidRPr="008B2A01">
        <w:rPr>
          <w:rFonts w:cs="Times New Roman"/>
        </w:rPr>
        <w:t xml:space="preserve"> </w:t>
      </w:r>
    </w:p>
  </w:footnote>
  <w:footnote w:id="85">
    <w:p w14:paraId="3BAE6A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Mackey","given":"Aaron","non-dropping-particle":"","parse-names":false,"suffix":""},{"dropping-particle":"","family":"Schoen","given":"Seth","non-dropping-particle":"","parse-names":false,"suffix":""},{"dropping-particle":"","family":"Cohn","given":"Cindy","non-dropping-particle":"","parse-names":false,"suffix":""}],"id":"ITEM-1","issue":"September","issued":{"date-parts":[["2016"]]},"number-of-pages":"1-22","title":"Unreliable Informants: IP Addresses, Digital Tips and Police Raids. How Police and Courts are Misusing Unreliable IP Address Information and What They Can Do to Better Verify Electronic Tips","type":"report"},"uris":["http://www.mendeley.com/documents/?uuid=5611f3de-286d-417f-b7bc-1c3f92a24427"]}],"mendeley":{"formattedCitation":"Aaron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https://www.eff.org/files/2016/09/22/2016.09.20_final_formatted_ip_address_white_paper.pdf.","plainTextFormattedCitation":"Aaron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https://www.eff.org/files/2016/09/22/2016.09.20_final_formatted_ip_address_white_paper.pdf.","previouslyFormattedCitation":"Aaron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https://www.eff.org/files/2016/09/22/2016.09.20_final_formatted_ip_address_white_paper.pdf."},"properties":{"noteIndex":87},"schema":"https://github.com/citation-style-language/schema/raw/master/csl-citation.json"}</w:instrText>
      </w:r>
      <w:r w:rsidRPr="008B2A01">
        <w:rPr>
          <w:rFonts w:cs="Times New Roman"/>
        </w:rPr>
        <w:fldChar w:fldCharType="separate"/>
      </w:r>
      <w:r w:rsidRPr="008B2A01">
        <w:rPr>
          <w:rFonts w:cs="Times New Roman"/>
          <w:noProof/>
        </w:rPr>
        <w:t>Aaron Mackey, Seth Schoen, and Cindy Cohn, ‘Unreliable Informants: IP Addresses, Digital Tips and Police Raids. How Police and Courts Are Misusing Unreliable IP Address Information and What They Can Do to Better Verify Electronic Tip</w:t>
      </w:r>
      <w:r>
        <w:rPr>
          <w:rFonts w:cs="Times New Roman"/>
          <w:noProof/>
        </w:rPr>
        <w:t>s</w:t>
      </w:r>
      <w:r w:rsidRPr="008B2A01">
        <w:rPr>
          <w:rFonts w:cs="Times New Roman"/>
          <w:noProof/>
        </w:rPr>
        <w:t>’</w:t>
      </w:r>
      <w:r>
        <w:rPr>
          <w:rFonts w:cs="Times New Roman"/>
          <w:noProof/>
        </w:rPr>
        <w:t>,</w:t>
      </w:r>
      <w:r w:rsidRPr="008B2A01">
        <w:rPr>
          <w:rFonts w:cs="Times New Roman"/>
          <w:noProof/>
        </w:rPr>
        <w:t xml:space="preserve"> </w:t>
      </w:r>
      <w:r w:rsidRPr="001D5DD2">
        <w:rPr>
          <w:rFonts w:cs="Times New Roman"/>
          <w:i/>
          <w:noProof/>
        </w:rPr>
        <w:t>Electronic Frontier Foundation</w:t>
      </w:r>
      <w:r>
        <w:rPr>
          <w:rFonts w:cs="Times New Roman"/>
          <w:noProof/>
        </w:rPr>
        <w:t xml:space="preserve">, </w:t>
      </w:r>
      <w:r w:rsidRPr="008B2A01">
        <w:rPr>
          <w:rFonts w:cs="Times New Roman"/>
          <w:noProof/>
        </w:rPr>
        <w:t>2016, https://www.eff.org/files/2016/09/22/2016.09.20_final_formatted_ip_address_white_paper.pdf.</w:t>
      </w:r>
      <w:r w:rsidRPr="008B2A01">
        <w:rPr>
          <w:rFonts w:cs="Times New Roman"/>
        </w:rPr>
        <w:fldChar w:fldCharType="end"/>
      </w:r>
    </w:p>
  </w:footnote>
  <w:footnote w:id="86">
    <w:p w14:paraId="2D4A68F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{"citationItems":[{"id":"ITEM-1","itemData":{"DOI":"10.1145/2987443.2987474","ISBN":"9781450345262","abstract":"As ISPs face IPv4 address scarcity they increasingly turn to network address translation (NAT) to accommodate the address needs of their customers. Recently, ISPs have moved beyond employing NATs only directly at individual customers and instead begun deploying Carrier-Grade NATs (CGNs) to apply address translation to many independent and disparate endpoints spanning physical locations, a phenomenon that so far has received little in the way of empirical assessment. In this work we present a broad and systematic study of the deployment and behavior of these middleboxes. We develop a methodology to detect the existence of hosts behind CGNs by extracting non-routable IP addresses from peer lists we obtain by crawling the BitTorrent DHT. We complement this approach with improvements to our Netalyzr troubleshooting service, enabling us to determine a range of indicators of CGN presence as well as detailed insights into key properties of CGNs. Combining the two data sources we illustrate the scope of CGN deployment on today's Internet, and report on characteristics of commonly deployed CGNs and their effect on end users.","author":[{"dropping-particle":"","family":"Richter","given":"Philipp","non-dropping-particle":"","parse-names":false,"suffix":""},{"dropping-particle":"","family":"Wohlfart","given":"Florian","non-dropping-particle":"","parse-names":false,"suffix":""},{"dropping-particle":"","family":"Vallina-rodriguez","given":"Narseo","non-dropping-particle":"","parse-names":false,"suffix":""},{"dropping-particle":"","family":"Allman","given":"Mark","non-dropping-particle":"","parse-names":false,"suffix":""},{"dropping-particle":"","family":"Bush","given":"Randy","non-dropping-particle":"","parse-names":false,"suffix":""},{"dropping-particle":"","family":"Feldmann","given":"Anja","non-dropping-particle":"","parse-names":false,"suffix":""},{"dropping-particle":"","family":"Kreibich","given":"Christian","non-dropping-particle":"","parse-names":false,"suffix":""},{"dropping-particle":"","family":"Weaver","given":"Nicholas","non-dropping-particle":"","parse-names":false,"suffix":""},{"dropping-particle":"","family":"Paxson","given":"Vern","non-dropping-particle":"","parse-names":false,"suffix":""}],"container-title":"IMC '16 Proceedings of the 2016 Internet Measurement Conference","id":"ITEM-1","issued":{"date-parts":[["2016"]]},"page":"215-229","title":"A Multi-perspective Analysis of Carrier-Grade NAT Deployment","type":"article-journal"},"locator":"223","uris":["http://www.mendeley.com/documents/?uuid=e769ce43-4f32-4317-909b-b9bf348c4d45"]}],"mendeley":{"formattedCitation":"Philipp Richter et al., “A Multi-Perspective Analysis of Carrier-Grade NAT Deployment,” &lt;i&gt;IMC ’16 Proceedings of the 2016 Internet Measurement Conference&lt;/i&gt;, 2016, 223, https://doi.org/10.1145/2987443.2987474.","plainTextFormattedCitation":"Philipp Richter et al., “A Multi-Perspective Analysis of Carrier-Grade NAT Deployment,” IMC ’16 Proceedings of the 2016 Internet Measurement Conference, 2016, 223, https://doi.org/10.1145/2987443.2987474.","previouslyFormattedCitation":"Philipp Richter et al., “A Multi-Perspective Analysis of Carrier-Grade NAT Deployment,” &lt;i&gt;IMC ’16 Proceedings of the 2016 Internet Measurement Conference&lt;/i&gt;, 2016, 223, https://doi.org/10.1145/2987443.2987474."},"properties":{"noteIndex":88},"schema":"https://github.com/citation-style-language/schema/raw/master/csl-citation.json"}</w:instrText>
      </w:r>
      <w:r w:rsidRPr="008B2A01">
        <w:rPr>
          <w:rFonts w:cs="Times New Roman"/>
        </w:rPr>
        <w:fldChar w:fldCharType="separate"/>
      </w:r>
      <w:r w:rsidRPr="008B2A01">
        <w:rPr>
          <w:rFonts w:cs="Times New Roman"/>
          <w:noProof/>
        </w:rPr>
        <w:t xml:space="preserve">Philipp Richter et al, ‘A Multi-Perspective Analysis of Carrier-Grade NAT Deployment,’ </w:t>
      </w:r>
      <w:r w:rsidRPr="008B2A01">
        <w:rPr>
          <w:rFonts w:cs="Times New Roman"/>
          <w:i/>
          <w:noProof/>
        </w:rPr>
        <w:t>IMC ’16 Proceedings of the 2016 Internet Measurement Conference</w:t>
      </w:r>
      <w:r w:rsidRPr="008B2A01">
        <w:rPr>
          <w:rFonts w:cs="Times New Roman"/>
          <w:noProof/>
        </w:rPr>
        <w:t>, 2016</w:t>
      </w:r>
      <w:r>
        <w:rPr>
          <w:rFonts w:cs="Times New Roman"/>
          <w:noProof/>
        </w:rPr>
        <w:t>:</w:t>
      </w:r>
      <w:r w:rsidRPr="008B2A01">
        <w:rPr>
          <w:rFonts w:cs="Times New Roman"/>
          <w:noProof/>
        </w:rPr>
        <w:t xml:space="preserve"> 223, </w:t>
      </w:r>
      <w:r>
        <w:rPr>
          <w:rFonts w:cs="Times New Roman"/>
          <w:noProof/>
        </w:rPr>
        <w:t xml:space="preserve">DOI: </w:t>
      </w:r>
      <w:r w:rsidRPr="008B2A01">
        <w:rPr>
          <w:rFonts w:cs="Times New Roman"/>
          <w:noProof/>
        </w:rPr>
        <w:t>https://doi.org/10.1145/2987443.2987474.</w:t>
      </w:r>
      <w:r w:rsidRPr="008B2A01">
        <w:rPr>
          <w:rFonts w:cs="Times New Roman"/>
        </w:rPr>
        <w:fldChar w:fldCharType="end"/>
      </w:r>
    </w:p>
  </w:footnote>
  <w:footnote w:id="87">
    <w:p w14:paraId="1AA8858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{"citationItems":[{"id":"ITEM-1","itemData":{"DOI":"10.2813/275589","ISBN":"9789295200753","abstract":"The 2016 Internet Organised Crime Threat Assessment (IOCTA) is a law enforcement-centric threat assessment intended to inform priority setting for the EMPACT Operational Action Plans in the three sub-priority areas of cybercrime (cyber attacks, child sexual exploitation online and payment fraud). The IOCTA also seeks to inform decision-makers at strategic, policy and tactical levels on how to fight cybercrime more effectively and to better protect online society against cyber threats. The 2016 IOCTA provides a view from the trenches, drawing primarily on the experiences of law enforcement within the EU Member States to highlight the threats visibly impacting on industry and private citizens within the EU. The IOCTA is a forward-looking assessment presenting analyses of future risks and emerging threats, providing recommendations to align and strengthen the joint efforts of EU law enforcement and its partners in preventing and fighting cybercrime.","author":[{"dropping-particle":"","family":"Europol","given":"","non-dropping-particle":"","parse-names":false,"suffix":""}],"id":"ITEM-1","issued":{"date-parts":[["2016"]]},"number-of-pages":"72","publisher-place":"The Hague","title":"iOCTA 2016: Internet Organised Crime Threat Assessment","type":"report"},"locator":"58","uris":["http://www.mendeley.com/documents/?uuid=07ae4905-373f-4c66-9000-b64a5c5d9b46"]}],"mendeley":{"formattedCitation":"Europol, “IOCTA 2016: Internet Organised Crime Threat Assessment” (The Hague, 2016), 58, https://doi.org/10.2813/275589.","plainTextFormattedCitation":"Europol, “IOCTA 2016: Internet Organised Crime Threat Assessment” (The Hague, 2016), 58, https://doi.org/10.2813/275589.","previouslyFormattedCitation":"Europol, “IOCTA 2016: Internet Organised Crime Threat Assessment” (The Hague, 2016), 58, https://doi.org/10.2813/275589."},"properties":{"noteIndex":89},"schema":"https://github.com/citation-style-language/schema/raw/master/csl-citation.json"}</w:instrText>
      </w:r>
      <w:r w:rsidRPr="008B2A01">
        <w:rPr>
          <w:rFonts w:cs="Times New Roman"/>
        </w:rPr>
        <w:fldChar w:fldCharType="separate"/>
      </w:r>
      <w:r w:rsidRPr="008B2A01">
        <w:rPr>
          <w:rFonts w:cs="Times New Roman"/>
          <w:bCs/>
          <w:noProof/>
        </w:rPr>
        <w:t xml:space="preserve">Europol, ‘IOCTA 2016: Internet Organised Crime Threat Assessment’ (The Hague, 2016), 58, </w:t>
      </w:r>
      <w:r>
        <w:rPr>
          <w:rFonts w:cs="Times New Roman"/>
          <w:bCs/>
          <w:noProof/>
        </w:rPr>
        <w:t xml:space="preserve">DOI: </w:t>
      </w:r>
      <w:r w:rsidRPr="008B2A01">
        <w:rPr>
          <w:rFonts w:cs="Times New Roman"/>
          <w:bCs/>
          <w:noProof/>
        </w:rPr>
        <w:t>https://doi.org/10.2813/275589.</w:t>
      </w:r>
      <w:r w:rsidRPr="008B2A01">
        <w:rPr>
          <w:rFonts w:cs="Times New Roman"/>
        </w:rPr>
        <w:fldChar w:fldCharType="end"/>
      </w:r>
    </w:p>
  </w:footnote>
  <w:footnote w:id="88">
    <w:p w14:paraId="4E1814D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Mackey","given":"Aaron","non-dropping-particle":"","parse-names":false,"suffix":""},{"dropping-particle":"","family":"Schoen","given":"Seth","non-dropping-particle":"","parse-names":false,"suffix":""},{"dropping-particle":"","family":"Cohn","given":"Cindy","non-dropping-particle":"","parse-names":false,"suffix":""}],"id":"ITEM-1","issue":"September","issued":{"date-parts":[["2016"]]},"number-of-pages":"1-22","title":"Unreliable Informants: IP Addresses, Digital Tips and Police Raids. How Police and Courts are Misusing Unreliable IP Address Information and What They Can Do to Better Verify Electronic Tips","type":"report"},"uris":["http://www.mendeley.com/documents/?uuid=5611f3de-286d-417f-b7bc-1c3f92a24427"]}],"mendeley":{"formattedCitation":"Mackey, Schoen, and Cohn, “Unreliable Informants: IP Addresses, Digital Tips and Police Raids. How Police and Courts Are Misusing Unreliable IP Address Information and What They Can Do to Better Verify Electronic Tips.”","plainTextFormattedCitation":"Mackey, Schoen, and Cohn, “Unreliable Informants: IP Addresses, Digital Tips and Police Raids. How Police and Courts Are Misusing Unreliable IP Address Information and What They Can Do to Better Verify Electronic Tips.”","previouslyFormattedCitation":"Mackey, Schoen, and Cohn, “Unreliable Informants: IP Addresses, Digital Tips and Police Raids. How Police and Courts Are Misusing Unreliable IP Address Information and What They Can Do to Better Verify Electronic Tips.”"},"properties":{"noteIndex":90},"schema":"https://github.com/citation-style-language/schema/raw/master/csl-citation.json"}</w:instrText>
      </w:r>
      <w:r w:rsidRPr="008B2A01">
        <w:rPr>
          <w:rFonts w:cs="Times New Roman"/>
        </w:rPr>
        <w:fldChar w:fldCharType="separate"/>
      </w:r>
      <w:r w:rsidRPr="008B2A01">
        <w:rPr>
          <w:rFonts w:cs="Times New Roman"/>
          <w:noProof/>
        </w:rPr>
        <w:t>Mackey, Schoen, and Cohn, ‘Unreliable Informants: IP Addresses, Digital Tips and Police Raids</w:t>
      </w:r>
      <w:r>
        <w:rPr>
          <w:rFonts w:cs="Times New Roman"/>
          <w:noProof/>
        </w:rPr>
        <w:t>'.</w:t>
      </w:r>
      <w:r w:rsidRPr="008B2A01">
        <w:rPr>
          <w:rFonts w:cs="Times New Roman"/>
        </w:rPr>
        <w:fldChar w:fldCharType="end"/>
      </w:r>
    </w:p>
  </w:footnote>
  <w:footnote w:id="89">
    <w:p w14:paraId="0CE452C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organisation","type":"report"},"locator":"24","uris":["http://www.mendeley.com/documents/?uuid=d0367a8d-8d8d-4532-b52f-c203f96c930a"]}],"mendeley":{"formattedCitation":"William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http://2oq5cg28288838bmfu32g94v-wpengine.netdna-ssl.com/wp-content/uploads/2017/09/Redacted-Opinion.pdf.","plainTextFormattedCitation":"William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http://2oq5cg28288838bmfu32g94v-wpengine.netdna-ssl.com/wp-content/uploads/2017/09/Redacted-Opinion.pdf.","previouslyFormattedCitation":"William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http://2oq5cg28288838bmfu32g94v-wpengine.netdna-ssl.com/wp-content/uploads/2017/09/Redacted-Opinion.pdf."},"properties":{"noteIndex":91},"schema":"https://github.com/citation-style-language/schema/raw/master/csl-citation.json"}</w:instrText>
      </w:r>
      <w:r w:rsidRPr="008B2A01">
        <w:rPr>
          <w:rFonts w:cs="Times New Roman"/>
        </w:rPr>
        <w:fldChar w:fldCharType="separate"/>
      </w:r>
      <w:r w:rsidRPr="008B2A01">
        <w:rPr>
          <w:rFonts w:cs="Times New Roman"/>
          <w:bCs/>
          <w:noProof/>
        </w:rPr>
        <w:t>William Clegg and Simon Baker, ‘Opinion on the Legality of the Actions of the Turkish State in the Aftermath of the Failed Coup Attempt in 2016 and the Reliance on Use of the Bylock App as Evidence of Membership of a Terrorist Organisation’</w:t>
      </w:r>
      <w:r>
        <w:rPr>
          <w:rFonts w:cs="Times New Roman"/>
          <w:bCs/>
          <w:noProof/>
        </w:rPr>
        <w:t xml:space="preserve">, </w:t>
      </w:r>
      <w:r w:rsidRPr="008B2A01">
        <w:rPr>
          <w:rFonts w:cs="Times New Roman"/>
          <w:bCs/>
          <w:noProof/>
        </w:rPr>
        <w:t>London, 2017, 24, http://2oq5cg28288838bmfu32g94v-wpengine.netdna-ssl.com/wp-content/uploads/2017/09/Redacted-Opinion.pdf.</w:t>
      </w:r>
      <w:r w:rsidRPr="008B2A01">
        <w:rPr>
          <w:rFonts w:cs="Times New Roman"/>
        </w:rPr>
        <w:fldChar w:fldCharType="end"/>
      </w:r>
    </w:p>
  </w:footnote>
  <w:footnote w:id="90">
    <w:p w14:paraId="2E493C0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organisation","type":"report"},"locator":"25","uris":["http://www.mendeley.com/documents/?uuid=d0367a8d-8d8d-4532-b52f-c203f96c930a"]}],"mendeley":{"formattedCitation":"Clegg and Baker, 25.","plainTextFormattedCitation":"Clegg and Baker, 25.","previouslyFormattedCitation":"Clegg and Baker, 25."},"properties":{"noteIndex":92},"schema":"https://github.com/citation-style-language/schema/raw/master/csl-citation.json"}</w:instrText>
      </w:r>
      <w:r w:rsidRPr="008B2A01">
        <w:rPr>
          <w:rFonts w:cs="Times New Roman"/>
        </w:rPr>
        <w:fldChar w:fldCharType="separate"/>
      </w:r>
      <w:r w:rsidRPr="008B2A01">
        <w:rPr>
          <w:rFonts w:cs="Times New Roman"/>
          <w:bCs/>
          <w:noProof/>
        </w:rPr>
        <w:t>Clegg and Baker, 25.</w:t>
      </w:r>
      <w:r w:rsidRPr="008B2A01">
        <w:rPr>
          <w:rFonts w:cs="Times New Roman"/>
        </w:rPr>
        <w:fldChar w:fldCharType="end"/>
      </w:r>
    </w:p>
  </w:footnote>
  <w:footnote w:id="91">
    <w:p w14:paraId="4A90527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organisation","type":"report"},"locator":"26","uris":["http://www.mendeley.com/documents/?uuid=d0367a8d-8d8d-4532-b52f-c203f96c930a"]}],"mendeley":{"formattedCitation":"Clegg and Baker, 26.","plainTextFormattedCitation":"Clegg and Baker, 26.","previouslyFormattedCitation":"Clegg and Baker, 26."},"properties":{"noteIndex":93},"schema":"https://github.com/citation-style-language/schema/raw/master/csl-citation.json"}</w:instrText>
      </w:r>
      <w:r w:rsidRPr="008B2A01">
        <w:rPr>
          <w:rFonts w:cs="Times New Roman"/>
        </w:rPr>
        <w:fldChar w:fldCharType="separate"/>
      </w:r>
      <w:r w:rsidRPr="008B2A01">
        <w:rPr>
          <w:rFonts w:cs="Times New Roman"/>
          <w:bCs/>
          <w:noProof/>
        </w:rPr>
        <w:t>Clegg and Baker, 26.</w:t>
      </w:r>
      <w:r w:rsidRPr="008B2A01">
        <w:rPr>
          <w:rFonts w:cs="Times New Roman"/>
        </w:rPr>
        <w:fldChar w:fldCharType="end"/>
      </w:r>
    </w:p>
  </w:footnote>
  <w:footnote w:id="92">
    <w:p w14:paraId="1DB8D0D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organisation","type":"report"},"locator":"28","uris":["http://www.mendeley.com/documents/?uuid=d0367a8d-8d8d-4532-b52f-c203f96c930a"]}],"mendeley":{"formattedCitation":"Clegg and Baker, 28.","plainTextFormattedCitation":"Clegg and Baker, 28.","previouslyFormattedCitation":"Clegg and Baker, 28."},"properties":{"noteIndex":94},"schema":"https://github.com/citation-style-language/schema/raw/master/csl-citation.json"}</w:instrText>
      </w:r>
      <w:r w:rsidRPr="008B2A01">
        <w:rPr>
          <w:rFonts w:cs="Times New Roman"/>
        </w:rPr>
        <w:fldChar w:fldCharType="separate"/>
      </w:r>
      <w:r w:rsidRPr="008B2A01">
        <w:rPr>
          <w:rFonts w:cs="Times New Roman"/>
          <w:bCs/>
          <w:noProof/>
        </w:rPr>
        <w:t>Clegg and Baker, 28.</w:t>
      </w:r>
      <w:r w:rsidRPr="008B2A01">
        <w:rPr>
          <w:rFonts w:cs="Times New Roman"/>
        </w:rPr>
        <w:fldChar w:fldCharType="end"/>
      </w:r>
    </w:p>
  </w:footnote>
  <w:footnote w:id="93">
    <w:p w14:paraId="562F81C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Kaye","type":"report"},"locator":"19","uris":["http://www.mendeley.com/documents/?uuid=33fc6dfc-f72c-463f-852c-ce9ac2d68e9a"]}],"mendeley":{"formattedCitation":"UN Human Rights Council, “Report of the Special Rapporteur on the Promotion and Protection of the Right to Freedom of Opinion and Expression, David Kaye,” 19.","plainTextFormattedCitation":"UN Human Rights Council, “Report of the Special Rapporteur on the Promotion and Protection of the Right to Freedom of Opinion and Expression, David Kaye,” 19.","previouslyFormattedCitation":"UN Human Rights Council, “Report of the Special Rapporteur on the Promotion and Protection of the Right to Freedom of Opinion and Expression, David Kaye,” 19."},"properties":{"noteIndex":95},"schema":"https://github.com/citation-style-language/schema/raw/master/csl-citation.json"}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David Kaye,’ 19.</w:t>
      </w:r>
      <w:r w:rsidRPr="008B2A01">
        <w:rPr>
          <w:rFonts w:cs="Times New Roman"/>
        </w:rPr>
        <w:fldChar w:fldCharType="end"/>
      </w:r>
    </w:p>
  </w:footnote>
  <w:footnote w:id="94">
    <w:p w14:paraId="779243F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Stepanovich","given":"Amie","non-dropping-particle":"","parse-names":false,"suffix":""},{"dropping-particle":"","family":"Mitnick","given":"Drew","non-dropping-particle":"","parse-names":false,"suffix":""}],"id":"ITEM-1","issued":{"date-parts":[["2015"]]},"title":"Universal Implementation Guide for the International Principles on the Application of Human Rights to Communications Surveillance","type":"report"},"locator":"41","uris":["http://www.mendeley.com/documents/?uuid=01f311ff-43a3-4a51-874f-1387beb1f771"]}],"mendeley":{"formattedCitation":"Amie Stepanovich and Drew Mitnick, “Universal Implementation Guide for the International Principles on the Application of Human Rights to Communications Surveillance,” 2015, 41, https://www.accessnow.org/cms/assets/uploads/archive/docs/Implementation_guide_-_July_10_print.pdf.","plainTextFormattedCitation":"Amie Stepanovich and Drew Mitnick, “Universal Implementation Guide for the International Principles on the Application of Human Rights to Communications Surveillance,” 2015, 41, https://www.accessnow.org/cms/assets/uploads/archive/docs/Implementation_guide_-_July_10_print.pdf.","previouslyFormattedCitation":"Amie Stepanovich and Drew Mitnick, “Universal Implementation Guide for the International Principles on the Application of Human Rights to Communications Surveillance,” 2015, 41, https://www.accessnow.org/cms/assets/uploads/archive/docs/Implementation_guide_-_July_10_print.pdf."},"properties":{"noteIndex":96},"schema":"https://github.com/citation-style-language/schema/raw/master/csl-citation.json"}</w:instrText>
      </w:r>
      <w:r w:rsidRPr="008B2A01">
        <w:rPr>
          <w:rFonts w:cs="Times New Roman"/>
        </w:rPr>
        <w:fldChar w:fldCharType="separate"/>
      </w:r>
      <w:r w:rsidRPr="008B2A01">
        <w:rPr>
          <w:rFonts w:cs="Times New Roman"/>
          <w:bCs/>
          <w:noProof/>
        </w:rPr>
        <w:t xml:space="preserve">Amie Stepanovich and Drew Mitnick, ‘Universal Implementation Guide for the International Principles on the Application of Human Rights to Communications Surveillance,’ </w:t>
      </w:r>
      <w:r w:rsidRPr="001D5DD2">
        <w:rPr>
          <w:rFonts w:cs="Times New Roman"/>
          <w:bCs/>
          <w:i/>
          <w:noProof/>
        </w:rPr>
        <w:t>Access Now</w:t>
      </w:r>
      <w:r>
        <w:rPr>
          <w:rFonts w:cs="Times New Roman"/>
          <w:bCs/>
          <w:noProof/>
        </w:rPr>
        <w:t xml:space="preserve">, </w:t>
      </w:r>
      <w:r w:rsidRPr="008B2A01">
        <w:rPr>
          <w:rFonts w:cs="Times New Roman"/>
          <w:bCs/>
          <w:noProof/>
        </w:rPr>
        <w:t>2015, 41, https://www.accessnow.org/cms/assets/uploads/archive/docs/Implementation_guide_-_July_10_print.pdf.</w:t>
      </w:r>
      <w:r w:rsidRPr="008B2A01">
        <w:rPr>
          <w:rFonts w:cs="Times New Roman"/>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3A"/>
    <w:rsid w:val="00153F3A"/>
    <w:rsid w:val="00165C0D"/>
    <w:rsid w:val="001D4337"/>
    <w:rsid w:val="002211EE"/>
    <w:rsid w:val="002963AD"/>
    <w:rsid w:val="00345BE7"/>
    <w:rsid w:val="00360F6C"/>
    <w:rsid w:val="00363754"/>
    <w:rsid w:val="00585FE6"/>
    <w:rsid w:val="005B6E0C"/>
    <w:rsid w:val="00762B4E"/>
    <w:rsid w:val="00F652CA"/>
    <w:rsid w:val="00FC49C3"/>
    <w:rsid w:val="00FE4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89656"/>
  <w14:defaultImageDpi w14:val="32767"/>
  <w15:chartTrackingRefBased/>
  <w15:docId w15:val="{0E508B65-843D-0549-A35C-B70FFD11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3F3A"/>
    <w:pPr>
      <w:spacing w:after="160" w:line="259" w:lineRule="auto"/>
    </w:pPr>
    <w:rPr>
      <w:sz w:val="22"/>
      <w:szCs w:val="22"/>
      <w:lang w:val="en-AU"/>
    </w:rPr>
  </w:style>
  <w:style w:type="paragraph" w:styleId="Heading1">
    <w:name w:val="heading 1"/>
    <w:basedOn w:val="Normal"/>
    <w:next w:val="Normal"/>
    <w:link w:val="Heading1Char"/>
    <w:uiPriority w:val="9"/>
    <w:qFormat/>
    <w:rsid w:val="00153F3A"/>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153F3A"/>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153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3A"/>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153F3A"/>
    <w:rPr>
      <w:rFonts w:ascii="Times New Roman" w:eastAsia="Calibri" w:hAnsi="Times New Roman" w:cs="Times New Roman"/>
      <w:b/>
      <w:color w:val="000000"/>
      <w:sz w:val="28"/>
      <w:szCs w:val="28"/>
      <w:lang w:val="en-US" w:eastAsia="en-AU"/>
    </w:rPr>
  </w:style>
  <w:style w:type="character" w:styleId="Hyperlink">
    <w:name w:val="Hyperlink"/>
    <w:basedOn w:val="DefaultParagraphFont"/>
    <w:uiPriority w:val="99"/>
    <w:unhideWhenUsed/>
    <w:rsid w:val="00153F3A"/>
    <w:rPr>
      <w:color w:val="0000FF"/>
      <w:u w:val="single"/>
    </w:rPr>
  </w:style>
  <w:style w:type="paragraph" w:styleId="FootnoteText">
    <w:name w:val="footnote text"/>
    <w:basedOn w:val="Normal"/>
    <w:link w:val="FootnoteTextChar"/>
    <w:uiPriority w:val="99"/>
    <w:unhideWhenUsed/>
    <w:qFormat/>
    <w:rsid w:val="00153F3A"/>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153F3A"/>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153F3A"/>
    <w:rPr>
      <w:vertAlign w:val="superscript"/>
    </w:rPr>
  </w:style>
  <w:style w:type="character" w:customStyle="1" w:styleId="Heading3Char">
    <w:name w:val="Heading 3 Char"/>
    <w:basedOn w:val="DefaultParagraphFont"/>
    <w:link w:val="Heading3"/>
    <w:uiPriority w:val="9"/>
    <w:rsid w:val="00153F3A"/>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1D4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337"/>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6914</Words>
  <Characters>39414</Characters>
  <Application>Microsoft Office Word</Application>
  <DocSecurity>0</DocSecurity>
  <Lines>328</Lines>
  <Paragraphs>92</Paragraphs>
  <ScaleCrop>false</ScaleCrop>
  <Company/>
  <LinksUpToDate>false</LinksUpToDate>
  <CharactersWithSpaces>46236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2018-12-10T10:24:00Z</dcterms:created>
  <dcterms:modified xsi:type="dcterms:W3CDTF">2018-12-13T11:13:00Z</dcterms:modified>
</cp:coreProperties>
</file>