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D9E4" w14:textId="1A335E3A" w:rsidR="00310B95" w:rsidRDefault="00310B95" w:rsidP="002E6BD1">
      <w:pPr>
        <w:pStyle w:val="Title"/>
      </w:pPr>
      <w:r>
        <w:t xml:space="preserve">Chapter Nine: </w:t>
      </w:r>
      <w:r w:rsidRPr="005870E3">
        <w:t xml:space="preserve">Data Localization: </w:t>
      </w:r>
      <w:r>
        <w:t>Policymaking or Gambling?</w:t>
      </w:r>
    </w:p>
    <w:p w14:paraId="0C4F03DB" w14:textId="2D63C679" w:rsidR="00310B95" w:rsidRPr="005A04D7" w:rsidRDefault="00310B95" w:rsidP="00310B95">
      <w:r>
        <w:t>Nikita Melashchenko</w:t>
      </w:r>
      <w:r>
        <w:rPr>
          <w:rStyle w:val="FootnoteReference"/>
        </w:rPr>
        <w:footnoteReference w:customMarkFollows="1" w:id="1"/>
        <w:t>*</w:t>
      </w:r>
    </w:p>
    <w:p w14:paraId="78E65351" w14:textId="77777777" w:rsidR="00310B95" w:rsidRDefault="00310B95" w:rsidP="00310B95">
      <w:pPr>
        <w:suppressLineNumbers/>
      </w:pPr>
    </w:p>
    <w:p w14:paraId="371749E1" w14:textId="77777777" w:rsidR="00310B95" w:rsidRPr="002E6BD1" w:rsidRDefault="00310B95" w:rsidP="002E6BD1">
      <w:pPr>
        <w:pStyle w:val="Quote"/>
      </w:pPr>
      <w:r w:rsidRPr="002E6BD1">
        <w:t>‘Sir, the possibility of successfully navigating an asteroid field is approximately 3,720 to 1.’</w:t>
      </w:r>
    </w:p>
    <w:p w14:paraId="137A1588" w14:textId="77777777" w:rsidR="00310B95" w:rsidRPr="002E6BD1" w:rsidRDefault="00310B95" w:rsidP="002E6BD1">
      <w:pPr>
        <w:pStyle w:val="Quote"/>
      </w:pPr>
      <w:r w:rsidRPr="002E6BD1">
        <w:t>C-3PO, Star Wars: The Empire Strikes Back</w:t>
      </w:r>
    </w:p>
    <w:p w14:paraId="4D98BF3F" w14:textId="77777777" w:rsidR="00310B95" w:rsidRPr="00273C6C" w:rsidRDefault="00310B95" w:rsidP="002E6BD1">
      <w:pPr>
        <w:pStyle w:val="Heading1"/>
      </w:pPr>
      <w:r w:rsidRPr="00273C6C">
        <w:t>Abstract</w:t>
      </w:r>
    </w:p>
    <w:p w14:paraId="7702E9A6" w14:textId="6AF59EE3" w:rsidR="00310B95" w:rsidRPr="002E6BD1" w:rsidRDefault="00310B95" w:rsidP="00310B95">
      <w:pPr>
        <w:spacing w:line="240" w:lineRule="auto"/>
        <w:rPr>
          <w:rFonts w:ascii="Times New Roman" w:hAnsi="Times New Roman" w:cs="Times New Roman"/>
          <w:sz w:val="24"/>
          <w:szCs w:val="24"/>
        </w:rPr>
      </w:pPr>
      <w:r w:rsidRPr="00273C6C">
        <w:rPr>
          <w:rFonts w:ascii="Times New Roman" w:eastAsia="Times New Roman" w:hAnsi="Times New Roman" w:cs="Times New Roman"/>
          <w:sz w:val="24"/>
          <w:szCs w:val="24"/>
          <w:lang w:val="en-US"/>
        </w:rPr>
        <w:t>The benefits of</w:t>
      </w:r>
      <w:r>
        <w:rPr>
          <w:rFonts w:ascii="Times New Roman" w:eastAsia="Times New Roman" w:hAnsi="Times New Roman" w:cs="Times New Roman"/>
          <w:sz w:val="24"/>
          <w:szCs w:val="24"/>
          <w:lang w:val="en-US"/>
        </w:rPr>
        <w:t xml:space="preserve"> the</w:t>
      </w:r>
      <w:r w:rsidRPr="00273C6C">
        <w:rPr>
          <w:rFonts w:ascii="Times New Roman" w:eastAsia="Times New Roman" w:hAnsi="Times New Roman" w:cs="Times New Roman"/>
          <w:sz w:val="24"/>
          <w:szCs w:val="24"/>
          <w:lang w:val="en-US"/>
        </w:rPr>
        <w:t xml:space="preserve"> information society come at the price of increasing data dependency. This creates tensions between economic, privacy, and public security interests. While data fuels </w:t>
      </w:r>
      <w:r>
        <w:rPr>
          <w:rFonts w:ascii="Times New Roman" w:eastAsia="Times New Roman" w:hAnsi="Times New Roman" w:cs="Times New Roman"/>
          <w:sz w:val="24"/>
          <w:szCs w:val="24"/>
          <w:lang w:val="en-US"/>
        </w:rPr>
        <w:t xml:space="preserve">the </w:t>
      </w:r>
      <w:r w:rsidRPr="00273C6C">
        <w:rPr>
          <w:rFonts w:ascii="Times New Roman" w:eastAsia="Times New Roman" w:hAnsi="Times New Roman" w:cs="Times New Roman"/>
          <w:sz w:val="24"/>
          <w:szCs w:val="24"/>
          <w:lang w:val="en-US"/>
        </w:rPr>
        <w:t>digital economy and production of cross-border value, it also affects power relations between states and other actors. In response, data localization policies have emerged addressing data flows in the context of information sovereignty. This chapter unfolds the basic concept of data localization and outlines how the underlying policy objectives correspond within the WTO framework. It further examines the principles of data regulation drawing on the nature of information and its lifecycles. The chapter concludes with a mapping tool for data localization policies and moves towards the analytical framework for data regulation.</w:t>
      </w:r>
    </w:p>
    <w:p w14:paraId="45CA8283" w14:textId="77777777" w:rsidR="00310B95" w:rsidRPr="00273C6C" w:rsidRDefault="00310B95" w:rsidP="002E6BD1">
      <w:pPr>
        <w:pStyle w:val="Heading1"/>
      </w:pPr>
      <w:r w:rsidRPr="00273C6C">
        <w:t>Introduction</w:t>
      </w:r>
    </w:p>
    <w:p w14:paraId="04FDA326"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Data has a location and its regulation matters. Whether data constitutes paper records collecting dust on a shelf, or electronic records embedded in a database, it is physically stored somewhere. In a data dependent society, the governance of data and specifically its physical infrastructure is critically important as they are the basis of all activities, particularly which take place in virtual reality. No services provided in cyberspace (e.g. messengers, online video games or cloud storage) can work without servers maintained in the real world. </w:t>
      </w:r>
    </w:p>
    <w:p w14:paraId="1168AE31"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However, the whole architecture of storing data while providing services is invisible to users and is therefore seen as a technical matter.</w:t>
      </w:r>
      <w:r w:rsidRPr="00273C6C">
        <w:rPr>
          <w:rStyle w:val="FootnoteReference"/>
          <w:rFonts w:ascii="Times New Roman" w:hAnsi="Times New Roman" w:cs="Times New Roman"/>
          <w:sz w:val="24"/>
          <w:szCs w:val="24"/>
          <w:lang w:val="en-US"/>
        </w:rPr>
        <w:footnoteReference w:id="2"/>
      </w:r>
      <w:r w:rsidRPr="00273C6C">
        <w:rPr>
          <w:rFonts w:ascii="Times New Roman" w:hAnsi="Times New Roman" w:cs="Times New Roman"/>
          <w:sz w:val="24"/>
          <w:szCs w:val="24"/>
          <w:lang w:val="en-US"/>
        </w:rPr>
        <w:t xml:space="preserve"> Nonetheless, depending on the regulatory model, physical infrastructure might affect social welfare in one way or another. This is evident in the emerging fight for allocation and redistribution of data among storage facilities in various jurisdictions. One of the tools states use in this struggle is data localization (DL) – the reason why LinkedIn stopped operating in Russia, Apple is opening data centers in China </w:t>
      </w:r>
      <w:r>
        <w:rPr>
          <w:rFonts w:ascii="Times New Roman" w:hAnsi="Times New Roman" w:cs="Times New Roman"/>
          <w:sz w:val="24"/>
          <w:szCs w:val="24"/>
          <w:lang w:val="en-US"/>
        </w:rPr>
        <w:t>a</w:t>
      </w:r>
      <w:r w:rsidRPr="00273C6C">
        <w:rPr>
          <w:rFonts w:ascii="Times New Roman" w:hAnsi="Times New Roman" w:cs="Times New Roman"/>
          <w:sz w:val="24"/>
          <w:szCs w:val="24"/>
          <w:lang w:val="en-US"/>
        </w:rPr>
        <w:t>nd moving encryption keys onshore, and Microsoft wallowed in disputes with the US Government.</w:t>
      </w:r>
      <w:r w:rsidRPr="00273C6C">
        <w:rPr>
          <w:rStyle w:val="FootnoteReference"/>
          <w:rFonts w:ascii="Times New Roman" w:hAnsi="Times New Roman" w:cs="Times New Roman"/>
          <w:sz w:val="24"/>
          <w:szCs w:val="24"/>
          <w:lang w:val="en-US"/>
        </w:rPr>
        <w:footnoteReference w:id="3"/>
      </w:r>
    </w:p>
    <w:p w14:paraId="77EF48EB"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lastRenderedPageBreak/>
        <w:t xml:space="preserve">States have been utilizing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localization of technology and information as a policy tool for years.</w:t>
      </w:r>
      <w:r w:rsidRPr="00273C6C">
        <w:rPr>
          <w:rStyle w:val="FootnoteReference"/>
          <w:rFonts w:ascii="Times New Roman" w:hAnsi="Times New Roman" w:cs="Times New Roman"/>
          <w:sz w:val="24"/>
          <w:szCs w:val="24"/>
          <w:lang w:val="en-US"/>
        </w:rPr>
        <w:footnoteReference w:id="4"/>
      </w:r>
      <w:r w:rsidRPr="00273C6C">
        <w:rPr>
          <w:rFonts w:ascii="Times New Roman" w:hAnsi="Times New Roman" w:cs="Times New Roman"/>
          <w:sz w:val="24"/>
          <w:szCs w:val="24"/>
          <w:lang w:val="en-US"/>
        </w:rPr>
        <w:t xml:space="preserve"> </w:t>
      </w:r>
      <w:r w:rsidRPr="00273C6C">
        <w:rPr>
          <w:rFonts w:ascii="Times New Roman" w:hAnsi="Times New Roman" w:cs="Times New Roman"/>
          <w:sz w:val="24"/>
          <w:szCs w:val="24"/>
        </w:rPr>
        <w:t xml:space="preserve">When states adopted privacy and data protection regulations in the 1970s, </w:t>
      </w:r>
      <w:r w:rsidRPr="00273C6C">
        <w:rPr>
          <w:rFonts w:ascii="Times New Roman" w:hAnsi="Times New Roman" w:cs="Times New Roman"/>
          <w:sz w:val="24"/>
          <w:szCs w:val="24"/>
          <w:lang w:val="en-US"/>
        </w:rPr>
        <w:t>scholars began analyzing t</w:t>
      </w:r>
      <w:r w:rsidRPr="00273C6C">
        <w:rPr>
          <w:rFonts w:ascii="Times New Roman" w:hAnsi="Times New Roman" w:cs="Times New Roman"/>
          <w:sz w:val="24"/>
          <w:szCs w:val="24"/>
        </w:rPr>
        <w:t>he possibility of data privacy and international laws colliding.</w:t>
      </w:r>
      <w:r w:rsidRPr="00273C6C">
        <w:rPr>
          <w:rFonts w:ascii="Times New Roman" w:hAnsi="Times New Roman" w:cs="Times New Roman"/>
          <w:sz w:val="24"/>
          <w:szCs w:val="24"/>
          <w:vertAlign w:val="superscript"/>
        </w:rPr>
        <w:footnoteReference w:id="5"/>
      </w:r>
      <w:r w:rsidRPr="00273C6C">
        <w:rPr>
          <w:rFonts w:ascii="Times New Roman" w:hAnsi="Times New Roman" w:cs="Times New Roman"/>
          <w:sz w:val="24"/>
          <w:szCs w:val="24"/>
          <w:lang w:val="en-US"/>
        </w:rPr>
        <w:t xml:space="preserve"> The discussion eventually recognized important international trade issues: data is foundational to most business interactions, meaning that limiting data flows directly affects trade.</w:t>
      </w:r>
      <w:r w:rsidRPr="00273C6C">
        <w:rPr>
          <w:rStyle w:val="FootnoteReference"/>
          <w:rFonts w:ascii="Times New Roman" w:hAnsi="Times New Roman" w:cs="Times New Roman"/>
          <w:sz w:val="24"/>
          <w:szCs w:val="24"/>
          <w:lang w:val="en-US"/>
        </w:rPr>
        <w:footnoteReference w:id="6"/>
      </w:r>
      <w:r w:rsidRPr="00273C6C">
        <w:rPr>
          <w:rFonts w:ascii="Times New Roman" w:hAnsi="Times New Roman" w:cs="Times New Roman"/>
          <w:sz w:val="24"/>
          <w:szCs w:val="24"/>
          <w:lang w:val="en-US"/>
        </w:rPr>
        <w:t xml:space="preserve"> However, little attention has been paid to the variety of DL regulations and how such variety affects the end results of regulatory policies.</w:t>
      </w:r>
    </w:p>
    <w:p w14:paraId="31CD4546"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To keep up with the social and business expectations and practices the DL discussion has to transform.</w:t>
      </w:r>
      <w:r w:rsidRPr="00273C6C">
        <w:rPr>
          <w:rStyle w:val="FootnoteReference"/>
          <w:rFonts w:ascii="Times New Roman" w:hAnsi="Times New Roman" w:cs="Times New Roman"/>
          <w:sz w:val="24"/>
          <w:szCs w:val="24"/>
          <w:lang w:val="en-US"/>
        </w:rPr>
        <w:footnoteReference w:id="7"/>
      </w:r>
      <w:r w:rsidRPr="00273C6C">
        <w:rPr>
          <w:rFonts w:ascii="Times New Roman" w:hAnsi="Times New Roman" w:cs="Times New Roman"/>
          <w:sz w:val="24"/>
          <w:szCs w:val="24"/>
          <w:lang w:val="en-US"/>
        </w:rPr>
        <w:t xml:space="preserve"> Designing smart data regulations and calibrating DL is necessary given the dependency of the global community on data. However, this is impossible unless we consider the diverse kinds of information and the different regulatory goals that states seek to achieve through controlling information. Thus, DL is not a single, uniform policy measure that always has the same positive or negative consequences; it all depends on what DL measure is adopted. If regulators fail to make DL measures that are fair and just, they risk causing conflict, whether at domestic or international levels.</w:t>
      </w:r>
    </w:p>
    <w:p w14:paraId="0AC5EEAC" w14:textId="6BDD50AA"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This chapter explains the essence of DL policies, including the basic goals they seek to achieve. It reviews DL policy taxonomies and explains their limitations. Then, it outlines the tensions between privacy, information sovereignty and international trade in the context of the World Trade Organization (WTO). Against this background, it examines the role of information management cycles (IMCs) and regulatory principles in data regulation. This allows the final analysis that maps DL policies and</w:t>
      </w:r>
      <w:r w:rsidRPr="00273C6C">
        <w:rPr>
          <w:rFonts w:ascii="Times New Roman" w:hAnsi="Times New Roman" w:cs="Times New Roman"/>
          <w:sz w:val="24"/>
          <w:szCs w:val="24"/>
        </w:rPr>
        <w:t xml:space="preserve"> provides insights </w:t>
      </w:r>
      <w:r>
        <w:rPr>
          <w:rFonts w:ascii="Times New Roman" w:hAnsi="Times New Roman" w:cs="Times New Roman"/>
          <w:sz w:val="24"/>
          <w:szCs w:val="24"/>
        </w:rPr>
        <w:t xml:space="preserve">into </w:t>
      </w:r>
      <w:r w:rsidRPr="00273C6C">
        <w:rPr>
          <w:rFonts w:ascii="Times New Roman" w:hAnsi="Times New Roman" w:cs="Times New Roman"/>
          <w:sz w:val="24"/>
          <w:szCs w:val="24"/>
        </w:rPr>
        <w:t>how DL features such as storage location and technological implementation could affect the output of DL policy – providing the key analytical framework for</w:t>
      </w:r>
      <w:r w:rsidRPr="00273C6C">
        <w:rPr>
          <w:rFonts w:ascii="Times New Roman" w:hAnsi="Times New Roman" w:cs="Times New Roman"/>
          <w:sz w:val="24"/>
          <w:szCs w:val="24"/>
          <w:lang w:val="en-US"/>
        </w:rPr>
        <w:t xml:space="preserve"> crafting data regulations that avoid </w:t>
      </w:r>
      <w:r w:rsidRPr="00273C6C">
        <w:rPr>
          <w:rFonts w:ascii="Times New Roman" w:hAnsi="Times New Roman" w:cs="Times New Roman"/>
          <w:sz w:val="24"/>
          <w:szCs w:val="24"/>
          <w:lang w:val="en-US"/>
        </w:rPr>
        <w:lastRenderedPageBreak/>
        <w:t>negative consequences. While mapping is not a new theory, it is the analytical framework that should initiate the transition from DL taxonomical description to data policy evaluation, modelling and projection.</w:t>
      </w:r>
    </w:p>
    <w:p w14:paraId="6661FA4C" w14:textId="77777777" w:rsidR="00310B95" w:rsidRPr="00273C6C" w:rsidRDefault="00310B95" w:rsidP="002E6BD1">
      <w:pPr>
        <w:pStyle w:val="Heading1"/>
      </w:pPr>
      <w:r w:rsidRPr="00273C6C">
        <w:t xml:space="preserve">What is Data Localization?  </w:t>
      </w:r>
    </w:p>
    <w:p w14:paraId="57CC3031"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The term </w:t>
      </w:r>
      <w:r w:rsidRPr="00273C6C">
        <w:rPr>
          <w:rFonts w:ascii="Times New Roman" w:hAnsi="Times New Roman" w:cs="Times New Roman"/>
          <w:i/>
          <w:sz w:val="24"/>
          <w:szCs w:val="24"/>
        </w:rPr>
        <w:t>data localization</w:t>
      </w:r>
      <w:r w:rsidRPr="00273C6C">
        <w:rPr>
          <w:rFonts w:ascii="Times New Roman" w:hAnsi="Times New Roman" w:cs="Times New Roman"/>
          <w:sz w:val="24"/>
          <w:szCs w:val="24"/>
        </w:rPr>
        <w:t xml:space="preserve"> refers to compulsory legal requirements to store data in a specific territory. This broad concept is implemented in a myriad of laws and regulations.</w:t>
      </w:r>
      <w:r w:rsidRPr="00273C6C">
        <w:rPr>
          <w:rStyle w:val="FootnoteReference"/>
          <w:rFonts w:ascii="Times New Roman" w:hAnsi="Times New Roman" w:cs="Times New Roman"/>
          <w:sz w:val="24"/>
          <w:szCs w:val="24"/>
        </w:rPr>
        <w:footnoteReference w:id="8"/>
      </w:r>
    </w:p>
    <w:p w14:paraId="4F61A7EF"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DL policy aims to achieve multiple social goals and potentially may disrupt the informational environment, where agents interact and contribute to improvement of social welfare.</w:t>
      </w:r>
      <w:r w:rsidRPr="00273C6C">
        <w:rPr>
          <w:rStyle w:val="FootnoteReference"/>
          <w:rFonts w:ascii="Times New Roman" w:hAnsi="Times New Roman" w:cs="Times New Roman"/>
          <w:sz w:val="24"/>
          <w:szCs w:val="24"/>
          <w:lang w:val="en-US"/>
        </w:rPr>
        <w:footnoteReference w:id="9"/>
      </w:r>
      <w:r w:rsidRPr="00273C6C">
        <w:rPr>
          <w:rFonts w:ascii="Times New Roman" w:hAnsi="Times New Roman" w:cs="Times New Roman"/>
          <w:sz w:val="24"/>
          <w:szCs w:val="24"/>
          <w:lang w:val="en-US"/>
        </w:rPr>
        <w:t xml:space="preserve"> This is due to conceptual labyrinth where states are forced to regulate the use of technologies that facilitate universal human rights, promote economic activities and enhance national security, despite the way that these values can come into conflict. Encrypted apps such as Telegram and Zello are the examples of technological progress reaching twofold results. On one hand, they protect privacy and globally improve welfare; on the other they raise national security issues by limiting opportunities to enforce domestic legislation regarding users and their own activities.</w:t>
      </w:r>
      <w:r w:rsidRPr="00273C6C">
        <w:rPr>
          <w:rStyle w:val="FootnoteReference"/>
          <w:rFonts w:ascii="Times New Roman" w:hAnsi="Times New Roman" w:cs="Times New Roman"/>
          <w:sz w:val="24"/>
          <w:szCs w:val="24"/>
          <w:lang w:val="en-US"/>
        </w:rPr>
        <w:footnoteReference w:id="10"/>
      </w:r>
      <w:r w:rsidRPr="00273C6C">
        <w:rPr>
          <w:rFonts w:ascii="Times New Roman" w:hAnsi="Times New Roman" w:cs="Times New Roman"/>
          <w:sz w:val="24"/>
          <w:szCs w:val="24"/>
          <w:lang w:val="en-US"/>
        </w:rPr>
        <w:t xml:space="preserve"> </w:t>
      </w:r>
      <w:r w:rsidRPr="00273C6C">
        <w:rPr>
          <w:rFonts w:ascii="Times New Roman" w:hAnsi="Times New Roman" w:cs="Times New Roman"/>
          <w:i/>
          <w:sz w:val="24"/>
          <w:szCs w:val="24"/>
          <w:lang w:val="en-US"/>
        </w:rPr>
        <w:t xml:space="preserve">  </w:t>
      </w:r>
    </w:p>
    <w:p w14:paraId="70745762"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DL practices continuously evolve and have drawn wide attention of scholars in the last few years. There have been several taxonomies of DL practices that are substantively different, but similar in descriptive approach.</w:t>
      </w:r>
      <w:bookmarkStart w:id="0" w:name="_Ref494616873"/>
      <w:r w:rsidRPr="00273C6C">
        <w:rPr>
          <w:rFonts w:ascii="Times New Roman" w:hAnsi="Times New Roman" w:cs="Times New Roman"/>
          <w:sz w:val="24"/>
          <w:szCs w:val="24"/>
          <w:vertAlign w:val="superscript"/>
        </w:rPr>
        <w:footnoteReference w:id="11"/>
      </w:r>
      <w:bookmarkEnd w:id="0"/>
      <w:r w:rsidRPr="00273C6C">
        <w:rPr>
          <w:rFonts w:ascii="Times New Roman" w:hAnsi="Times New Roman" w:cs="Times New Roman"/>
          <w:sz w:val="24"/>
          <w:szCs w:val="24"/>
        </w:rPr>
        <w:t xml:space="preserve"> Broad measures embrace as much data as possible, while narrow DL measures can specify particular sets of data or particular businesses that are obliged to localize data.</w:t>
      </w:r>
      <w:bookmarkStart w:id="1" w:name="_Ref494623912"/>
      <w:r w:rsidRPr="00273C6C">
        <w:rPr>
          <w:rFonts w:ascii="Times New Roman" w:hAnsi="Times New Roman" w:cs="Times New Roman"/>
          <w:sz w:val="24"/>
          <w:szCs w:val="24"/>
          <w:vertAlign w:val="superscript"/>
        </w:rPr>
        <w:footnoteReference w:id="12"/>
      </w:r>
      <w:bookmarkEnd w:id="1"/>
      <w:r w:rsidRPr="00273C6C">
        <w:rPr>
          <w:rFonts w:ascii="Times New Roman" w:hAnsi="Times New Roman" w:cs="Times New Roman"/>
          <w:sz w:val="24"/>
          <w:szCs w:val="24"/>
        </w:rPr>
        <w:t xml:space="preserve"> On a broad approach DL measures could be defined as any measures that affect cross-border data transfer. Further, they could be grouped by the forms of implementation: (i) rules prohibiting overseas data transfers; (ii) rules restricting overseas data transfers by authorization; (iii) rules requiring </w:t>
      </w:r>
      <w:r w:rsidRPr="00273C6C">
        <w:rPr>
          <w:rFonts w:ascii="Times New Roman" w:hAnsi="Times New Roman" w:cs="Times New Roman"/>
          <w:i/>
          <w:sz w:val="24"/>
          <w:szCs w:val="24"/>
        </w:rPr>
        <w:t>per se</w:t>
      </w:r>
      <w:r w:rsidRPr="00273C6C">
        <w:rPr>
          <w:rFonts w:ascii="Times New Roman" w:hAnsi="Times New Roman" w:cs="Times New Roman"/>
          <w:sz w:val="24"/>
          <w:szCs w:val="24"/>
        </w:rPr>
        <w:t xml:space="preserve"> localization of data; (iv) taxes on data export.</w:t>
      </w:r>
      <w:r w:rsidRPr="00273C6C">
        <w:rPr>
          <w:rStyle w:val="FootnoteReference"/>
          <w:rFonts w:ascii="Times New Roman" w:hAnsi="Times New Roman" w:cs="Times New Roman"/>
          <w:sz w:val="24"/>
          <w:szCs w:val="24"/>
        </w:rPr>
        <w:footnoteReference w:id="13"/>
      </w:r>
      <w:r w:rsidRPr="00273C6C">
        <w:rPr>
          <w:rFonts w:ascii="Times New Roman" w:hAnsi="Times New Roman" w:cs="Times New Roman"/>
          <w:sz w:val="24"/>
          <w:szCs w:val="24"/>
        </w:rPr>
        <w:t xml:space="preserve"> Such classification is not </w:t>
      </w:r>
      <w:r w:rsidRPr="00273C6C">
        <w:rPr>
          <w:rFonts w:ascii="Times New Roman" w:hAnsi="Times New Roman" w:cs="Times New Roman"/>
          <w:sz w:val="24"/>
          <w:szCs w:val="24"/>
          <w:lang w:val="en-US"/>
        </w:rPr>
        <w:t xml:space="preserve">exhaustive. It could be supplemented at least with two additional types of DL: </w:t>
      </w:r>
      <w:r w:rsidRPr="00273C6C">
        <w:rPr>
          <w:rFonts w:ascii="Times New Roman" w:hAnsi="Times New Roman" w:cs="Times New Roman"/>
          <w:sz w:val="24"/>
          <w:szCs w:val="24"/>
        </w:rPr>
        <w:t>(v) disclosure of cryptographic keys; and (vi) obligatory disclosure of the requested information by entities subject to</w:t>
      </w:r>
      <w:r>
        <w:rPr>
          <w:rFonts w:ascii="Times New Roman" w:hAnsi="Times New Roman" w:cs="Times New Roman"/>
          <w:sz w:val="24"/>
          <w:szCs w:val="24"/>
        </w:rPr>
        <w:t xml:space="preserve"> a</w:t>
      </w:r>
      <w:r w:rsidRPr="00273C6C">
        <w:rPr>
          <w:rFonts w:ascii="Times New Roman" w:hAnsi="Times New Roman" w:cs="Times New Roman"/>
          <w:sz w:val="24"/>
          <w:szCs w:val="24"/>
        </w:rPr>
        <w:t xml:space="preserve"> particular jurisdiction regardless of the storage location.</w:t>
      </w:r>
      <w:r w:rsidRPr="00273C6C">
        <w:rPr>
          <w:rStyle w:val="FootnoteReference"/>
          <w:rFonts w:ascii="Times New Roman" w:hAnsi="Times New Roman" w:cs="Times New Roman"/>
          <w:sz w:val="24"/>
          <w:szCs w:val="24"/>
        </w:rPr>
        <w:footnoteReference w:id="14"/>
      </w:r>
      <w:r w:rsidRPr="00273C6C">
        <w:rPr>
          <w:rFonts w:ascii="Times New Roman" w:hAnsi="Times New Roman" w:cs="Times New Roman"/>
          <w:sz w:val="24"/>
          <w:szCs w:val="24"/>
        </w:rPr>
        <w:t xml:space="preserve"> Relying on</w:t>
      </w:r>
      <w:r>
        <w:rPr>
          <w:rFonts w:ascii="Times New Roman" w:hAnsi="Times New Roman" w:cs="Times New Roman"/>
          <w:sz w:val="24"/>
          <w:szCs w:val="24"/>
        </w:rPr>
        <w:t xml:space="preserve"> the</w:t>
      </w:r>
      <w:r w:rsidRPr="00273C6C">
        <w:rPr>
          <w:rFonts w:ascii="Times New Roman" w:hAnsi="Times New Roman" w:cs="Times New Roman"/>
          <w:sz w:val="24"/>
          <w:szCs w:val="24"/>
        </w:rPr>
        <w:t xml:space="preserve"> broad approach scholars also distinguish two more categories of DL measures by distinguishing between different technological means of implementation. Thus, states invoke policies of localized data hosting (e.g. sole or local copy) </w:t>
      </w:r>
      <w:r w:rsidRPr="00273C6C">
        <w:rPr>
          <w:rFonts w:ascii="Times New Roman" w:hAnsi="Times New Roman" w:cs="Times New Roman"/>
          <w:sz w:val="24"/>
          <w:szCs w:val="24"/>
        </w:rPr>
        <w:lastRenderedPageBreak/>
        <w:t>and localized data routing (e.g. data packets routing through the designated routes).</w:t>
      </w:r>
      <w:bookmarkStart w:id="2" w:name="_Ref494646641"/>
      <w:r w:rsidRPr="00273C6C">
        <w:rPr>
          <w:rFonts w:ascii="Times New Roman" w:hAnsi="Times New Roman" w:cs="Times New Roman"/>
          <w:sz w:val="24"/>
          <w:szCs w:val="24"/>
          <w:vertAlign w:val="superscript"/>
        </w:rPr>
        <w:footnoteReference w:id="15"/>
      </w:r>
      <w:bookmarkEnd w:id="2"/>
      <w:r w:rsidRPr="00273C6C">
        <w:rPr>
          <w:rFonts w:ascii="Times New Roman" w:hAnsi="Times New Roman" w:cs="Times New Roman"/>
          <w:sz w:val="24"/>
          <w:szCs w:val="24"/>
        </w:rPr>
        <w:t xml:space="preserve"> Such state interventions in data traffic are usually ensured by cooperation with internet service providers such as content filtering (censorship), access control (website blocking) and regulation of privacy enhancing technologies such as virtual private networks.</w:t>
      </w:r>
      <w:r w:rsidRPr="00273C6C">
        <w:rPr>
          <w:rStyle w:val="FootnoteReference"/>
          <w:rFonts w:ascii="Times New Roman" w:hAnsi="Times New Roman" w:cs="Times New Roman"/>
          <w:sz w:val="24"/>
          <w:szCs w:val="24"/>
        </w:rPr>
        <w:footnoteReference w:id="16"/>
      </w:r>
      <w:r w:rsidRPr="00273C6C">
        <w:rPr>
          <w:rFonts w:ascii="Times New Roman" w:hAnsi="Times New Roman" w:cs="Times New Roman"/>
          <w:sz w:val="24"/>
          <w:szCs w:val="24"/>
        </w:rPr>
        <w:t xml:space="preserve"> On the narrow approach to DL, there are three types of DL measures: (i) requirements to store </w:t>
      </w:r>
      <w:r w:rsidRPr="00273C6C">
        <w:rPr>
          <w:rFonts w:ascii="Times New Roman" w:hAnsi="Times New Roman" w:cs="Times New Roman"/>
          <w:i/>
          <w:sz w:val="24"/>
          <w:szCs w:val="24"/>
        </w:rPr>
        <w:t>all</w:t>
      </w:r>
      <w:r w:rsidRPr="00273C6C">
        <w:rPr>
          <w:rFonts w:ascii="Times New Roman" w:hAnsi="Times New Roman" w:cs="Times New Roman"/>
          <w:sz w:val="24"/>
          <w:szCs w:val="24"/>
        </w:rPr>
        <w:t xml:space="preserve"> data in facilities located inside of the state; (ii) requirements to store </w:t>
      </w:r>
      <w:r w:rsidRPr="00273C6C">
        <w:rPr>
          <w:rFonts w:ascii="Times New Roman" w:hAnsi="Times New Roman" w:cs="Times New Roman"/>
          <w:i/>
          <w:sz w:val="24"/>
          <w:szCs w:val="24"/>
        </w:rPr>
        <w:t>specific</w:t>
      </w:r>
      <w:r w:rsidRPr="00273C6C">
        <w:rPr>
          <w:rFonts w:ascii="Times New Roman" w:hAnsi="Times New Roman" w:cs="Times New Roman"/>
          <w:sz w:val="24"/>
          <w:szCs w:val="24"/>
        </w:rPr>
        <w:t xml:space="preserve"> sets of data in facilities located inside of the state; and (iii) requirements to transfer data only to states with adequate legislative and security measures in place with particular purposes and for a limited time.</w:t>
      </w:r>
      <w:bookmarkStart w:id="3" w:name="_Ref494623765"/>
      <w:r w:rsidRPr="00273C6C">
        <w:rPr>
          <w:rFonts w:ascii="Times New Roman" w:hAnsi="Times New Roman" w:cs="Times New Roman"/>
          <w:sz w:val="24"/>
          <w:szCs w:val="24"/>
          <w:vertAlign w:val="superscript"/>
        </w:rPr>
        <w:footnoteReference w:id="17"/>
      </w:r>
      <w:bookmarkEnd w:id="3"/>
      <w:r w:rsidRPr="00273C6C">
        <w:rPr>
          <w:rFonts w:ascii="Times New Roman" w:hAnsi="Times New Roman" w:cs="Times New Roman"/>
          <w:sz w:val="24"/>
          <w:szCs w:val="24"/>
        </w:rPr>
        <w:t xml:space="preserve"> </w:t>
      </w:r>
    </w:p>
    <w:p w14:paraId="3A494975"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rPr>
        <w:t>Whatever particular DL measures are taken, they may be seen as information barriers,</w:t>
      </w:r>
      <w:r w:rsidRPr="00273C6C">
        <w:rPr>
          <w:rStyle w:val="FootnoteReference"/>
          <w:rFonts w:ascii="Times New Roman" w:hAnsi="Times New Roman" w:cs="Times New Roman"/>
          <w:sz w:val="24"/>
          <w:szCs w:val="24"/>
        </w:rPr>
        <w:footnoteReference w:id="18"/>
      </w:r>
      <w:r w:rsidRPr="00273C6C">
        <w:rPr>
          <w:rFonts w:ascii="Times New Roman" w:hAnsi="Times New Roman" w:cs="Times New Roman"/>
          <w:sz w:val="24"/>
          <w:szCs w:val="24"/>
        </w:rPr>
        <w:t xml:space="preserve"> as they can limit information flows in various ways within the infosphere or specifically within a particular political agent like </w:t>
      </w:r>
      <w:r>
        <w:rPr>
          <w:rFonts w:ascii="Times New Roman" w:hAnsi="Times New Roman" w:cs="Times New Roman"/>
          <w:sz w:val="24"/>
          <w:szCs w:val="24"/>
        </w:rPr>
        <w:t xml:space="preserve">a </w:t>
      </w:r>
      <w:r w:rsidRPr="00273C6C">
        <w:rPr>
          <w:rFonts w:ascii="Times New Roman" w:hAnsi="Times New Roman" w:cs="Times New Roman"/>
          <w:sz w:val="24"/>
          <w:szCs w:val="24"/>
        </w:rPr>
        <w:t>state or economic union.</w:t>
      </w:r>
      <w:r w:rsidRPr="00273C6C">
        <w:rPr>
          <w:rStyle w:val="FootnoteReference"/>
          <w:rFonts w:ascii="Times New Roman" w:hAnsi="Times New Roman" w:cs="Times New Roman"/>
          <w:sz w:val="24"/>
          <w:szCs w:val="24"/>
        </w:rPr>
        <w:footnoteReference w:id="19"/>
      </w:r>
      <w:r w:rsidRPr="00273C6C">
        <w:rPr>
          <w:rFonts w:ascii="Times New Roman" w:hAnsi="Times New Roman" w:cs="Times New Roman"/>
          <w:sz w:val="24"/>
          <w:szCs w:val="24"/>
        </w:rPr>
        <w:t xml:space="preserve"> DL makes access to localized data harder for some agents and increases the informational gap between them, while </w:t>
      </w:r>
      <w:r w:rsidRPr="00273C6C">
        <w:rPr>
          <w:rFonts w:ascii="Times New Roman" w:hAnsi="Times New Roman" w:cs="Times New Roman"/>
          <w:sz w:val="24"/>
          <w:szCs w:val="24"/>
          <w:lang w:val="en-US"/>
        </w:rPr>
        <w:t>strengthening</w:t>
      </w:r>
      <w:r w:rsidRPr="00273C6C">
        <w:rPr>
          <w:rFonts w:ascii="Times New Roman" w:hAnsi="Times New Roman" w:cs="Times New Roman"/>
          <w:sz w:val="24"/>
          <w:szCs w:val="24"/>
        </w:rPr>
        <w:t xml:space="preserve"> privacy and information sovereignty protection. However, DL is not only about building informational walls to exclude access of external agents, because the data also becomes more accessible for agents in the jurisdiction to which it is localized. Hence, DL can be a tool for preventing or facilitating access to information, depending on how it is used</w:t>
      </w:r>
      <w:r w:rsidRPr="00273C6C">
        <w:rPr>
          <w:rFonts w:ascii="Times New Roman" w:hAnsi="Times New Roman" w:cs="Times New Roman"/>
          <w:sz w:val="24"/>
          <w:szCs w:val="24"/>
          <w:lang w:val="en-US"/>
        </w:rPr>
        <w:t>.</w:t>
      </w:r>
    </w:p>
    <w:p w14:paraId="4A5BCC74" w14:textId="246C80AC"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Before proceeding to examine and evaluate possible DL outcomes, it will be necessary to understand the legal and policy problems that arise from the tension between the three concepts that provided grounds for DL in the first place. </w:t>
      </w:r>
    </w:p>
    <w:p w14:paraId="3EBF67DD" w14:textId="77777777" w:rsidR="00310B95" w:rsidRPr="00273C6C" w:rsidRDefault="00310B95" w:rsidP="002E6BD1">
      <w:pPr>
        <w:pStyle w:val="Heading1"/>
      </w:pPr>
      <w:r w:rsidRPr="00273C6C">
        <w:t xml:space="preserve">Localization Tensions: Privacy – Data Sovereignty – International Trade </w:t>
      </w:r>
    </w:p>
    <w:p w14:paraId="50006E70"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DL raises theoretical and practical issues on many levels. First, there is the issue of individual privacy, in particular the desire to protect personal (identifiable) information (PII) from others. Privacy over PII is the ability ‘to determine […] when, how, and to what extent information about […] [</w:t>
      </w:r>
      <w:r w:rsidRPr="00273C6C">
        <w:rPr>
          <w:rFonts w:ascii="Times New Roman" w:hAnsi="Times New Roman" w:cs="Times New Roman"/>
          <w:i/>
          <w:sz w:val="24"/>
          <w:szCs w:val="24"/>
        </w:rPr>
        <w:t>individuals, groups, institutions</w:t>
      </w:r>
      <w:r w:rsidRPr="00273C6C">
        <w:rPr>
          <w:rFonts w:ascii="Times New Roman" w:hAnsi="Times New Roman" w:cs="Times New Roman"/>
          <w:sz w:val="24"/>
          <w:szCs w:val="24"/>
        </w:rPr>
        <w:t xml:space="preserve">] is communicated to </w:t>
      </w:r>
      <w:proofErr w:type="gramStart"/>
      <w:r w:rsidRPr="00273C6C">
        <w:rPr>
          <w:rFonts w:ascii="Times New Roman" w:hAnsi="Times New Roman" w:cs="Times New Roman"/>
          <w:sz w:val="24"/>
          <w:szCs w:val="24"/>
        </w:rPr>
        <w:t>others’</w:t>
      </w:r>
      <w:proofErr w:type="gramEnd"/>
      <w:r w:rsidRPr="00273C6C">
        <w:rPr>
          <w:rFonts w:ascii="Times New Roman" w:hAnsi="Times New Roman" w:cs="Times New Roman"/>
          <w:sz w:val="24"/>
          <w:szCs w:val="24"/>
        </w:rPr>
        <w:t>.</w:t>
      </w:r>
      <w:r w:rsidRPr="00273C6C">
        <w:rPr>
          <w:rStyle w:val="FootnoteReference"/>
          <w:rFonts w:ascii="Times New Roman" w:hAnsi="Times New Roman" w:cs="Times New Roman"/>
          <w:sz w:val="24"/>
          <w:szCs w:val="24"/>
        </w:rPr>
        <w:footnoteReference w:id="20"/>
      </w:r>
      <w:r w:rsidRPr="00273C6C">
        <w:rPr>
          <w:rFonts w:ascii="Times New Roman" w:hAnsi="Times New Roman" w:cs="Times New Roman"/>
          <w:sz w:val="24"/>
          <w:szCs w:val="24"/>
        </w:rPr>
        <w:t xml:space="preserve"> Second, states as independent agents interact with individuals as well as other states. They also have an interest in protecting and accessing information that has value to them. Thus, a notion of data sovereignty arises, which in fact is very similar to individuals’ privacy in terms of guarding data of a critical importance by an independent agent. Finally, DL policy affects </w:t>
      </w:r>
      <w:r w:rsidRPr="00273C6C">
        <w:rPr>
          <w:rFonts w:ascii="Times New Roman" w:hAnsi="Times New Roman" w:cs="Times New Roman"/>
          <w:sz w:val="24"/>
          <w:szCs w:val="24"/>
        </w:rPr>
        <w:lastRenderedPageBreak/>
        <w:t xml:space="preserve">the free use of information in markets including cross-border trade, where an agenda to liberalize trade by reducing restrictions on imports and exports prevails. </w:t>
      </w:r>
    </w:p>
    <w:p w14:paraId="3B99A0C5"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These layers are inter-dependent. Privacy determines not only personal security, but also state security (e.g. consider a Twitter bot that is tracking movements of </w:t>
      </w:r>
      <w:r w:rsidRPr="00273C6C">
        <w:rPr>
          <w:rFonts w:ascii="Times New Roman" w:hAnsi="Times New Roman" w:cs="Times New Roman"/>
          <w:sz w:val="24"/>
          <w:szCs w:val="24"/>
          <w:lang w:val="en-US"/>
        </w:rPr>
        <w:t>top public officials,</w:t>
      </w:r>
      <w:r w:rsidRPr="00273C6C">
        <w:rPr>
          <w:rStyle w:val="FootnoteReference"/>
          <w:rFonts w:ascii="Times New Roman" w:hAnsi="Times New Roman" w:cs="Times New Roman"/>
          <w:sz w:val="24"/>
          <w:szCs w:val="24"/>
          <w:lang w:val="en-US"/>
        </w:rPr>
        <w:footnoteReference w:id="21"/>
      </w:r>
      <w:r w:rsidRPr="00273C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fitness app exposing military bases,</w:t>
      </w:r>
      <w:r w:rsidRPr="00273C6C">
        <w:rPr>
          <w:rStyle w:val="FootnoteReference"/>
          <w:rFonts w:ascii="Times New Roman" w:hAnsi="Times New Roman" w:cs="Times New Roman"/>
          <w:sz w:val="24"/>
          <w:szCs w:val="24"/>
          <w:lang w:val="en-US"/>
        </w:rPr>
        <w:footnoteReference w:id="22"/>
      </w:r>
      <w:r w:rsidRPr="00273C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security breach exposing records of active military)</w:t>
      </w:r>
      <w:r w:rsidRPr="00273C6C">
        <w:rPr>
          <w:rFonts w:ascii="Times New Roman" w:hAnsi="Times New Roman" w:cs="Times New Roman"/>
          <w:sz w:val="24"/>
          <w:szCs w:val="24"/>
        </w:rPr>
        <w:t>.</w:t>
      </w:r>
      <w:r w:rsidRPr="00273C6C">
        <w:rPr>
          <w:rStyle w:val="FootnoteReference"/>
          <w:rFonts w:ascii="Times New Roman" w:hAnsi="Times New Roman" w:cs="Times New Roman"/>
          <w:sz w:val="24"/>
          <w:szCs w:val="24"/>
          <w:lang w:val="en-US"/>
        </w:rPr>
        <w:footnoteReference w:id="23"/>
      </w:r>
      <w:r w:rsidRPr="00273C6C">
        <w:rPr>
          <w:rFonts w:ascii="Times New Roman" w:hAnsi="Times New Roman" w:cs="Times New Roman"/>
          <w:sz w:val="24"/>
          <w:szCs w:val="24"/>
        </w:rPr>
        <w:t xml:space="preserve"> In turn, data sovereignty provides both individual and institutional data protection (e.g. in 2007 the government of Estonia had to cut off the country from </w:t>
      </w:r>
      <w:r>
        <w:rPr>
          <w:rFonts w:ascii="Times New Roman" w:hAnsi="Times New Roman" w:cs="Times New Roman"/>
          <w:sz w:val="24"/>
          <w:szCs w:val="24"/>
        </w:rPr>
        <w:t xml:space="preserve">the </w:t>
      </w:r>
      <w:r w:rsidRPr="00273C6C">
        <w:rPr>
          <w:rFonts w:ascii="Times New Roman" w:hAnsi="Times New Roman" w:cs="Times New Roman"/>
          <w:sz w:val="24"/>
          <w:szCs w:val="24"/>
        </w:rPr>
        <w:t>outside internet in order to stop a cyber-attack and prevent possible data loss).</w:t>
      </w:r>
      <w:r w:rsidRPr="00273C6C">
        <w:rPr>
          <w:rStyle w:val="FootnoteReference"/>
          <w:rFonts w:ascii="Times New Roman" w:hAnsi="Times New Roman" w:cs="Times New Roman"/>
          <w:sz w:val="24"/>
          <w:szCs w:val="24"/>
        </w:rPr>
        <w:footnoteReference w:id="24"/>
      </w:r>
      <w:r w:rsidRPr="00273C6C">
        <w:rPr>
          <w:rFonts w:ascii="Times New Roman" w:hAnsi="Times New Roman" w:cs="Times New Roman"/>
          <w:sz w:val="24"/>
          <w:szCs w:val="24"/>
        </w:rPr>
        <w:t xml:space="preserve"> International trade therefore has an interface with domestic and international regulation of privacy as well as rules regarding</w:t>
      </w:r>
      <w:r>
        <w:rPr>
          <w:rFonts w:ascii="Times New Roman" w:hAnsi="Times New Roman" w:cs="Times New Roman"/>
          <w:sz w:val="24"/>
          <w:szCs w:val="24"/>
        </w:rPr>
        <w:t xml:space="preserve"> the</w:t>
      </w:r>
      <w:r w:rsidRPr="00273C6C">
        <w:rPr>
          <w:rFonts w:ascii="Times New Roman" w:hAnsi="Times New Roman" w:cs="Times New Roman"/>
          <w:sz w:val="24"/>
          <w:szCs w:val="24"/>
        </w:rPr>
        <w:t xml:space="preserve"> use of stat</w:t>
      </w:r>
      <w:r>
        <w:rPr>
          <w:rFonts w:ascii="Times New Roman" w:hAnsi="Times New Roman" w:cs="Times New Roman"/>
          <w:sz w:val="24"/>
          <w:szCs w:val="24"/>
        </w:rPr>
        <w:t>e</w:t>
      </w:r>
      <w:r w:rsidRPr="00273C6C">
        <w:rPr>
          <w:rFonts w:ascii="Times New Roman" w:hAnsi="Times New Roman" w:cs="Times New Roman"/>
          <w:sz w:val="24"/>
          <w:szCs w:val="24"/>
        </w:rPr>
        <w:t xml:space="preserve"> information (e.g. requirements established for activities related to critical information infrastructure).</w:t>
      </w:r>
      <w:r w:rsidRPr="00273C6C">
        <w:rPr>
          <w:rStyle w:val="FootnoteReference"/>
          <w:rFonts w:ascii="Times New Roman" w:hAnsi="Times New Roman" w:cs="Times New Roman"/>
          <w:sz w:val="24"/>
          <w:szCs w:val="24"/>
        </w:rPr>
        <w:footnoteReference w:id="25"/>
      </w:r>
      <w:r w:rsidRPr="00273C6C">
        <w:rPr>
          <w:rFonts w:ascii="Times New Roman" w:hAnsi="Times New Roman" w:cs="Times New Roman"/>
          <w:sz w:val="24"/>
          <w:szCs w:val="24"/>
        </w:rPr>
        <w:t xml:space="preserve"> </w:t>
      </w:r>
    </w:p>
    <w:p w14:paraId="0FB9767E"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Consequently, problems arise where information restrictions provided by </w:t>
      </w:r>
      <w:r>
        <w:rPr>
          <w:rFonts w:ascii="Times New Roman" w:hAnsi="Times New Roman" w:cs="Times New Roman"/>
          <w:sz w:val="24"/>
          <w:szCs w:val="24"/>
        </w:rPr>
        <w:t xml:space="preserve">the </w:t>
      </w:r>
      <w:r w:rsidRPr="00273C6C">
        <w:rPr>
          <w:rFonts w:ascii="Times New Roman" w:hAnsi="Times New Roman" w:cs="Times New Roman"/>
          <w:sz w:val="24"/>
          <w:szCs w:val="24"/>
        </w:rPr>
        <w:t>first two layers start to compete between each other and conflict with international obligations established by the third. In particular, the WTO covered agreements</w:t>
      </w:r>
      <w:r w:rsidRPr="00273C6C">
        <w:rPr>
          <w:rStyle w:val="FootnoteReference"/>
          <w:rFonts w:ascii="Times New Roman" w:hAnsi="Times New Roman" w:cs="Times New Roman"/>
          <w:sz w:val="24"/>
          <w:szCs w:val="24"/>
        </w:rPr>
        <w:footnoteReference w:id="26"/>
      </w:r>
      <w:r w:rsidRPr="00273C6C">
        <w:rPr>
          <w:rFonts w:ascii="Times New Roman" w:hAnsi="Times New Roman" w:cs="Times New Roman"/>
          <w:sz w:val="24"/>
          <w:szCs w:val="24"/>
        </w:rPr>
        <w:t xml:space="preserve"> establish the most inclusive liberalized trade regime in the world by requiring non-discrimination and predictable market access.</w:t>
      </w:r>
      <w:r w:rsidRPr="00273C6C">
        <w:rPr>
          <w:rStyle w:val="FootnoteReference"/>
          <w:rFonts w:ascii="Times New Roman" w:hAnsi="Times New Roman" w:cs="Times New Roman"/>
          <w:sz w:val="24"/>
          <w:szCs w:val="24"/>
        </w:rPr>
        <w:footnoteReference w:id="27"/>
      </w:r>
      <w:r w:rsidRPr="00273C6C">
        <w:rPr>
          <w:rFonts w:ascii="Times New Roman" w:hAnsi="Times New Roman" w:cs="Times New Roman"/>
          <w:sz w:val="24"/>
          <w:szCs w:val="24"/>
        </w:rPr>
        <w:t xml:space="preserve"> Nonetheless, WTO members frequently restrict non-discrimination obligations and market access for foreign goods and services and this includes restrictions on data flows.</w:t>
      </w:r>
      <w:r w:rsidRPr="00273C6C">
        <w:rPr>
          <w:rStyle w:val="FootnoteReference"/>
          <w:rFonts w:ascii="Times New Roman" w:hAnsi="Times New Roman" w:cs="Times New Roman"/>
          <w:sz w:val="24"/>
          <w:szCs w:val="24"/>
        </w:rPr>
        <w:footnoteReference w:id="28"/>
      </w:r>
      <w:r w:rsidRPr="00273C6C">
        <w:rPr>
          <w:rFonts w:ascii="Times New Roman" w:hAnsi="Times New Roman" w:cs="Times New Roman"/>
          <w:sz w:val="24"/>
          <w:szCs w:val="24"/>
        </w:rPr>
        <w:t xml:space="preserve"> Under trade rules, DL measures might constitute a type of non-tariff barrier in digital trade, which might affect trade in services, goods and intellectual property (IP) or constitute a technical barrier </w:t>
      </w:r>
      <w:r>
        <w:rPr>
          <w:rFonts w:ascii="Times New Roman" w:hAnsi="Times New Roman" w:cs="Times New Roman"/>
          <w:sz w:val="24"/>
          <w:szCs w:val="24"/>
        </w:rPr>
        <w:t>to</w:t>
      </w:r>
      <w:r w:rsidRPr="00273C6C">
        <w:rPr>
          <w:rFonts w:ascii="Times New Roman" w:hAnsi="Times New Roman" w:cs="Times New Roman"/>
          <w:sz w:val="24"/>
          <w:szCs w:val="24"/>
        </w:rPr>
        <w:t xml:space="preserve"> trade. However, none of the legal issues raised by DL implementation have been tested before the WTO dispute resolution body, and therefore the application of the WTO rules (about which there are different interpretations in existing disputes) remains a matter of debate.</w:t>
      </w:r>
      <w:r w:rsidRPr="00273C6C">
        <w:rPr>
          <w:rStyle w:val="FootnoteReference"/>
          <w:rFonts w:ascii="Times New Roman" w:hAnsi="Times New Roman" w:cs="Times New Roman"/>
          <w:sz w:val="24"/>
          <w:szCs w:val="24"/>
        </w:rPr>
        <w:footnoteReference w:id="29"/>
      </w:r>
    </w:p>
    <w:p w14:paraId="590379D7"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In theory the WTO regime should provide certainty and predictability of international trade, but currently it does not</w:t>
      </w:r>
      <w:r>
        <w:rPr>
          <w:rFonts w:ascii="Times New Roman" w:hAnsi="Times New Roman" w:cs="Times New Roman"/>
          <w:sz w:val="24"/>
          <w:szCs w:val="24"/>
        </w:rPr>
        <w:t xml:space="preserve"> do so</w:t>
      </w:r>
      <w:r w:rsidRPr="00273C6C">
        <w:rPr>
          <w:rFonts w:ascii="Times New Roman" w:hAnsi="Times New Roman" w:cs="Times New Roman"/>
          <w:sz w:val="24"/>
          <w:szCs w:val="24"/>
        </w:rPr>
        <w:t xml:space="preserve"> in relation to data flows. Data usage falls under numerous legal categories and the WTO Agreement provides various exceptions for legitimate non-compliance to achieve goals such as the protection of individuals’ privacy.</w:t>
      </w:r>
      <w:r w:rsidRPr="00273C6C">
        <w:rPr>
          <w:rStyle w:val="FootnoteReference"/>
          <w:rFonts w:ascii="Times New Roman" w:hAnsi="Times New Roman" w:cs="Times New Roman"/>
          <w:sz w:val="24"/>
          <w:szCs w:val="24"/>
        </w:rPr>
        <w:footnoteReference w:id="30"/>
      </w:r>
      <w:r w:rsidRPr="00273C6C">
        <w:rPr>
          <w:rFonts w:ascii="Times New Roman" w:hAnsi="Times New Roman" w:cs="Times New Roman"/>
          <w:sz w:val="24"/>
          <w:szCs w:val="24"/>
        </w:rPr>
        <w:t xml:space="preserve"> Such protection </w:t>
      </w:r>
      <w:r w:rsidRPr="00273C6C">
        <w:rPr>
          <w:rFonts w:ascii="Times New Roman" w:hAnsi="Times New Roman" w:cs="Times New Roman"/>
          <w:sz w:val="24"/>
          <w:szCs w:val="24"/>
        </w:rPr>
        <w:lastRenderedPageBreak/>
        <w:t xml:space="preserve">has to be related to PII processing and dissemination. Another exception is focused on states’ safety, which in turn can mean many things. There is also a general exception concerning public order, which applies in the event of </w:t>
      </w:r>
      <w:r w:rsidRPr="00273C6C">
        <w:rPr>
          <w:rFonts w:ascii="Times New Roman" w:hAnsi="Times New Roman" w:cs="Times New Roman"/>
          <w:sz w:val="24"/>
          <w:szCs w:val="24"/>
          <w:lang w:val="en-US"/>
        </w:rPr>
        <w:t xml:space="preserve">a </w:t>
      </w:r>
      <w:r w:rsidRPr="00273C6C">
        <w:rPr>
          <w:rFonts w:ascii="Times New Roman" w:hAnsi="Times New Roman" w:cs="Times New Roman"/>
          <w:sz w:val="24"/>
          <w:szCs w:val="24"/>
        </w:rPr>
        <w:t xml:space="preserve">‘genuine and sufficiently serious threat to important societal </w:t>
      </w:r>
      <w:proofErr w:type="gramStart"/>
      <w:r w:rsidRPr="00273C6C">
        <w:rPr>
          <w:rFonts w:ascii="Times New Roman" w:hAnsi="Times New Roman" w:cs="Times New Roman"/>
          <w:sz w:val="24"/>
          <w:szCs w:val="24"/>
        </w:rPr>
        <w:t>values’</w:t>
      </w:r>
      <w:proofErr w:type="gramEnd"/>
      <w:r w:rsidRPr="00273C6C">
        <w:rPr>
          <w:rFonts w:ascii="Times New Roman" w:hAnsi="Times New Roman" w:cs="Times New Roman"/>
          <w:sz w:val="24"/>
          <w:szCs w:val="24"/>
        </w:rPr>
        <w:t>.</w:t>
      </w:r>
      <w:r w:rsidRPr="00273C6C">
        <w:rPr>
          <w:rStyle w:val="FootnoteReference"/>
          <w:rFonts w:ascii="Times New Roman" w:hAnsi="Times New Roman" w:cs="Times New Roman"/>
          <w:sz w:val="24"/>
          <w:szCs w:val="24"/>
        </w:rPr>
        <w:footnoteReference w:id="31"/>
      </w:r>
      <w:r w:rsidRPr="00273C6C">
        <w:rPr>
          <w:rFonts w:ascii="Times New Roman" w:hAnsi="Times New Roman" w:cs="Times New Roman"/>
          <w:sz w:val="24"/>
          <w:szCs w:val="24"/>
        </w:rPr>
        <w:t xml:space="preserve"> Finally, states could purport to rely on a security exception which permits to impose any measures that they consider necessary in time of emergency in international relations. States with DL regulation may claim any of these broad exceptions as justification for protecting data sovereignty. Although these matters (particularly, the DL measure’s necessity to achieve the goal) arise under the WTO regime and therefore they should be resolved accordingly by means of treaties interpretation and their application to particular facts, one inevitably will face a dilemma of weighing importance of societal values. </w:t>
      </w:r>
    </w:p>
    <w:p w14:paraId="6A94B080" w14:textId="71910426"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In assessing various state DL measures’ compliance with WTO obligations, one will ask the following long-standing questions. Is privacy more important than national security? Is it vice versa? Should cross-border data flows be enforced to ensure international trade in any event at the expense of these values? How does one determine the balance between several societal values? How should regulatory practices look to reach and preserve such a balance? In the end of the day, do DL measures serve data justice within a complex multi-agent system? Do they amount to smart and fair data regulation? These kinds of questions cannot and should not be answered solely in context of the existing law.</w:t>
      </w:r>
      <w:r w:rsidRPr="00273C6C">
        <w:rPr>
          <w:rStyle w:val="FootnoteReference"/>
          <w:rFonts w:ascii="Times New Roman" w:hAnsi="Times New Roman" w:cs="Times New Roman"/>
          <w:sz w:val="24"/>
          <w:szCs w:val="24"/>
        </w:rPr>
        <w:footnoteReference w:id="32"/>
      </w:r>
      <w:r w:rsidRPr="00273C6C">
        <w:rPr>
          <w:rFonts w:ascii="Times New Roman" w:hAnsi="Times New Roman" w:cs="Times New Roman"/>
          <w:sz w:val="24"/>
          <w:szCs w:val="24"/>
        </w:rPr>
        <w:t xml:space="preserve"> Consequently, we should look beyond that to other approaches that may provide guidance.    </w:t>
      </w:r>
    </w:p>
    <w:p w14:paraId="65440DC4" w14:textId="77777777" w:rsidR="00310B95" w:rsidRPr="00273C6C" w:rsidRDefault="00310B95" w:rsidP="002E6BD1">
      <w:pPr>
        <w:pStyle w:val="Heading1"/>
      </w:pPr>
      <w:r w:rsidRPr="00273C6C">
        <w:t>Regulating Information Management Cycles</w:t>
      </w:r>
    </w:p>
    <w:p w14:paraId="7ED10E49"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Rapid datafication consisting of data computerization and reevaluation has sparked the discussion of data power and its connection to social justice.</w:t>
      </w:r>
      <w:r w:rsidRPr="00273C6C">
        <w:rPr>
          <w:rStyle w:val="FootnoteReference"/>
          <w:rFonts w:ascii="Times New Roman" w:hAnsi="Times New Roman" w:cs="Times New Roman"/>
          <w:sz w:val="24"/>
          <w:szCs w:val="24"/>
          <w:lang w:val="en-US"/>
        </w:rPr>
        <w:footnoteReference w:id="33"/>
      </w:r>
      <w:r w:rsidRPr="00273C6C">
        <w:rPr>
          <w:rFonts w:ascii="Times New Roman" w:hAnsi="Times New Roman" w:cs="Times New Roman"/>
          <w:sz w:val="24"/>
          <w:szCs w:val="24"/>
          <w:lang w:val="en-US"/>
        </w:rPr>
        <w:t xml:space="preserve"> This gave rise to the idea of data justice – an ethical guide for information society and the basis of data regulation. Data justice being a fairly new phenomenon is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subject of research within various fields of study.</w:t>
      </w:r>
      <w:r w:rsidRPr="00273C6C">
        <w:rPr>
          <w:rStyle w:val="FootnoteReference"/>
          <w:rFonts w:ascii="Times New Roman" w:hAnsi="Times New Roman" w:cs="Times New Roman"/>
          <w:sz w:val="24"/>
          <w:szCs w:val="24"/>
          <w:lang w:val="en-US"/>
        </w:rPr>
        <w:footnoteReference w:id="34"/>
      </w:r>
      <w:r w:rsidRPr="00273C6C">
        <w:rPr>
          <w:rFonts w:ascii="Times New Roman" w:hAnsi="Times New Roman" w:cs="Times New Roman"/>
          <w:sz w:val="24"/>
          <w:szCs w:val="24"/>
          <w:lang w:val="en-US"/>
        </w:rPr>
        <w:t xml:space="preserve"> The notion of data justice reflects on data governance and its effects on social and economic justice. Data justice in the context of DL policing highlights the role of data within the tripartite power relations between individuals, states and international institutions explained </w:t>
      </w:r>
      <w:r>
        <w:rPr>
          <w:rFonts w:ascii="Times New Roman" w:hAnsi="Times New Roman" w:cs="Times New Roman"/>
          <w:sz w:val="24"/>
          <w:szCs w:val="24"/>
          <w:lang w:val="en-US"/>
        </w:rPr>
        <w:t>above</w:t>
      </w:r>
      <w:r w:rsidRPr="00273C6C">
        <w:rPr>
          <w:rFonts w:ascii="Times New Roman" w:hAnsi="Times New Roman" w:cs="Times New Roman"/>
          <w:sz w:val="24"/>
          <w:szCs w:val="24"/>
          <w:lang w:val="en-US"/>
        </w:rPr>
        <w:t xml:space="preserve">. In other words, data justice is the pursuit </w:t>
      </w:r>
      <w:r>
        <w:rPr>
          <w:rFonts w:ascii="Times New Roman" w:hAnsi="Times New Roman" w:cs="Times New Roman"/>
          <w:sz w:val="24"/>
          <w:szCs w:val="24"/>
          <w:lang w:val="en-US"/>
        </w:rPr>
        <w:t>of</w:t>
      </w:r>
      <w:r w:rsidRPr="00273C6C">
        <w:rPr>
          <w:rFonts w:ascii="Times New Roman" w:hAnsi="Times New Roman" w:cs="Times New Roman"/>
          <w:sz w:val="24"/>
          <w:szCs w:val="24"/>
          <w:lang w:val="en-US"/>
        </w:rPr>
        <w:t xml:space="preserve"> fair data use by agents aimed at corporate and state surveillance, privacy protection and free data flows for the purpose of economic and technological development. This chapter posits that data justice and hence smart data regulation analysis should take into account the variety of regulatory institu</w:t>
      </w:r>
      <w:r>
        <w:rPr>
          <w:rFonts w:ascii="Times New Roman" w:hAnsi="Times New Roman" w:cs="Times New Roman"/>
          <w:sz w:val="24"/>
          <w:szCs w:val="24"/>
          <w:lang w:val="en-US"/>
        </w:rPr>
        <w:t>tions</w:t>
      </w:r>
      <w:r w:rsidRPr="00273C6C">
        <w:rPr>
          <w:rFonts w:ascii="Times New Roman" w:hAnsi="Times New Roman" w:cs="Times New Roman"/>
          <w:sz w:val="24"/>
          <w:szCs w:val="24"/>
          <w:lang w:val="en-US"/>
        </w:rPr>
        <w:t xml:space="preserve"> concerning data such as PII and IP in all their numerous forms, and efficient information lifecycle management consisting of generation, collection, storage, processing, distribution, usage, and erasure as a coherent system because the regulatory system is the foundation of any kind of justice and contemporary society is not only driven by information but also depends on it to function properly.</w:t>
      </w:r>
      <w:r w:rsidRPr="00273C6C">
        <w:rPr>
          <w:rStyle w:val="FootnoteReference"/>
          <w:rFonts w:ascii="Times New Roman" w:hAnsi="Times New Roman" w:cs="Times New Roman"/>
          <w:sz w:val="24"/>
          <w:szCs w:val="24"/>
          <w:lang w:val="en-US"/>
        </w:rPr>
        <w:footnoteReference w:id="35"/>
      </w:r>
    </w:p>
    <w:p w14:paraId="351E10EA"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lastRenderedPageBreak/>
        <w:t xml:space="preserve">Current research has been limited by the binary constraints of traditional regulatory approaches that currently characterize the discussion of the balance between private and public interests regarding the treatment of IMCs (i.e. ensuring data justice). This prevents the elaboration of satisfactory solutions that can maintain complex multi-level systems such as DL. Hence, it is necessary to overcome such limitations. </w:t>
      </w:r>
    </w:p>
    <w:p w14:paraId="5D7BA75D"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Conceptually it is reasonable to assume that, depending on the particular structure of a DL policy, a measure could serve one or more policy goals by countless means. At the same time, such means should be analyzed as whole since one small detail could determine the output of the system. For instance, would a measure fully depriving individuals of their autonomy to guard data serve the purpose of privacy protection? How does a DL system technically incapable of enforcing a law – or prone to over-enforcement – contribute to serving data justice and account for necessity? Mapping DL practices should help answer these questions.      </w:t>
      </w:r>
    </w:p>
    <w:p w14:paraId="6BD08A20"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Any data regulatory practice should be evaluated on the basis of how it affects the well-being of agents and the informational environment. Any decrease in size or corrosion of quality of information will cause the infosphere to shrink in terms of content, forms and patterns.</w:t>
      </w:r>
      <w:r w:rsidRPr="00273C6C">
        <w:rPr>
          <w:rStyle w:val="FootnoteReference"/>
          <w:rFonts w:ascii="Times New Roman" w:hAnsi="Times New Roman" w:cs="Times New Roman"/>
          <w:sz w:val="24"/>
          <w:szCs w:val="24"/>
          <w:lang w:val="en-US"/>
        </w:rPr>
        <w:footnoteReference w:id="36"/>
      </w:r>
      <w:r w:rsidRPr="00273C6C">
        <w:rPr>
          <w:rFonts w:ascii="Times New Roman" w:hAnsi="Times New Roman" w:cs="Times New Roman"/>
          <w:sz w:val="24"/>
          <w:szCs w:val="24"/>
          <w:lang w:val="en-US"/>
        </w:rPr>
        <w:t xml:space="preserve"> This leads to fewer opportunities for agents to beneficially interact and thus to contribute to welfare. Hence, the more restrictive DL policy, the higher the deficit of information and the less space for agents to communicate. However, it does not mean that information processes should not be regulated at all. Clearly, such values as privacy, national security and trade are all important. There have always been certain types of data and information processes that states rigorously restricted on domestic and international levels for the benefit of all agents. But what matters is how states give effect to restrictive information policies and what the overall output of such regulatory system is.</w:t>
      </w:r>
      <w:r w:rsidRPr="00273C6C">
        <w:rPr>
          <w:rStyle w:val="FootnoteReference"/>
          <w:rFonts w:ascii="Times New Roman" w:hAnsi="Times New Roman" w:cs="Times New Roman"/>
          <w:sz w:val="24"/>
          <w:szCs w:val="24"/>
          <w:lang w:val="en-US"/>
        </w:rPr>
        <w:footnoteReference w:id="37"/>
      </w:r>
    </w:p>
    <w:p w14:paraId="3A4FEAAE"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General regulatory principles such as consistency, certainty, effective implementation, stability, minimization of costs and market distortions, compatibility with trade facilitation and others are meant to provide regulators with the framework under which states are more likely to come up with a better output for the society.</w:t>
      </w:r>
      <w:r w:rsidRPr="00273C6C">
        <w:rPr>
          <w:rStyle w:val="FootnoteReference"/>
          <w:rFonts w:ascii="Times New Roman" w:hAnsi="Times New Roman" w:cs="Times New Roman"/>
          <w:sz w:val="24"/>
          <w:szCs w:val="24"/>
          <w:lang w:val="en-US"/>
        </w:rPr>
        <w:footnoteReference w:id="38"/>
      </w:r>
      <w:r w:rsidRPr="00273C6C">
        <w:rPr>
          <w:rFonts w:ascii="Times New Roman" w:hAnsi="Times New Roman" w:cs="Times New Roman"/>
          <w:sz w:val="24"/>
          <w:szCs w:val="24"/>
          <w:lang w:val="en-US"/>
        </w:rPr>
        <w:t xml:space="preserve"> Thus, no society needs a regulatory mechanism (e.g. regarding theft) that is inconsistent and impossible to implement because the effect of such regulation tends to zero</w:t>
      </w:r>
      <w:r>
        <w:rPr>
          <w:rFonts w:ascii="Times New Roman" w:hAnsi="Times New Roman" w:cs="Times New Roman"/>
          <w:sz w:val="24"/>
          <w:szCs w:val="24"/>
          <w:lang w:val="en-US"/>
        </w:rPr>
        <w:t>, resulting in more risks for the society</w:t>
      </w:r>
      <w:r w:rsidRPr="00273C6C">
        <w:rPr>
          <w:rFonts w:ascii="Times New Roman" w:hAnsi="Times New Roman" w:cs="Times New Roman"/>
          <w:sz w:val="24"/>
          <w:szCs w:val="24"/>
          <w:lang w:val="en-US"/>
        </w:rPr>
        <w:t xml:space="preserve">. </w:t>
      </w:r>
    </w:p>
    <w:p w14:paraId="26EAF532"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In the context of data, that would mean an unjustified and unnecessary fracture of the IMCs. Consider the following example. IP is information identified as a specific category of </w:t>
      </w:r>
      <w:r w:rsidRPr="00273C6C">
        <w:rPr>
          <w:rFonts w:ascii="Times New Roman" w:hAnsi="Times New Roman" w:cs="Times New Roman"/>
          <w:sz w:val="24"/>
          <w:szCs w:val="24"/>
          <w:lang w:val="en-US"/>
        </w:rPr>
        <w:lastRenderedPageBreak/>
        <w:t>information, the control of which is treated by the society in a special way. The Berne Convention provides regulation for literary works and covers the whole IMC.</w:t>
      </w:r>
      <w:r w:rsidRPr="00273C6C">
        <w:rPr>
          <w:rStyle w:val="FootnoteReference"/>
          <w:rFonts w:ascii="Times New Roman" w:hAnsi="Times New Roman" w:cs="Times New Roman"/>
          <w:sz w:val="24"/>
          <w:szCs w:val="24"/>
          <w:lang w:val="en-US"/>
        </w:rPr>
        <w:footnoteReference w:id="39"/>
      </w:r>
      <w:r w:rsidRPr="00273C6C">
        <w:rPr>
          <w:rFonts w:ascii="Times New Roman" w:hAnsi="Times New Roman" w:cs="Times New Roman"/>
          <w:sz w:val="24"/>
          <w:szCs w:val="24"/>
          <w:lang w:val="en-US"/>
        </w:rPr>
        <w:t xml:space="preserve"> For instance, creation and record are governed by the norms regarding the form of literary works, publication and formalities (Articles 2, 3, 5); processing and collection are resembled in provisions regarding derivative works (Article 2); distribution is covered by rules on reproduction (Article 9); provisions concerning use without charge regulate information consumption (Article 10); erasure is envisaged by prescribed moral rights (Article 6</w:t>
      </w:r>
      <w:r w:rsidRPr="00273C6C">
        <w:rPr>
          <w:rFonts w:ascii="Times New Roman" w:hAnsi="Times New Roman" w:cs="Times New Roman"/>
          <w:i/>
          <w:sz w:val="24"/>
          <w:szCs w:val="24"/>
          <w:lang w:val="en-US"/>
        </w:rPr>
        <w:t>bis</w:t>
      </w:r>
      <w:r w:rsidRPr="00273C6C">
        <w:rPr>
          <w:rFonts w:ascii="Times New Roman" w:hAnsi="Times New Roman" w:cs="Times New Roman"/>
          <w:sz w:val="24"/>
          <w:szCs w:val="24"/>
          <w:lang w:val="en-US"/>
        </w:rPr>
        <w:t>). By over- or non-regulation of a particular section of the literary work management cycle, the regulator could break it</w:t>
      </w:r>
      <w:r>
        <w:rPr>
          <w:rFonts w:ascii="Times New Roman" w:hAnsi="Times New Roman" w:cs="Times New Roman"/>
          <w:sz w:val="24"/>
          <w:szCs w:val="24"/>
          <w:lang w:val="en-US"/>
        </w:rPr>
        <w:t>,</w:t>
      </w:r>
      <w:r w:rsidRPr="00273C6C">
        <w:rPr>
          <w:rFonts w:ascii="Times New Roman" w:hAnsi="Times New Roman" w:cs="Times New Roman"/>
          <w:sz w:val="24"/>
          <w:szCs w:val="24"/>
          <w:lang w:val="en-US"/>
        </w:rPr>
        <w:t xml:space="preserve"> eventually resulting in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underproduction of literary works.</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This negative effect on generation, dissemination and consumption of information consequently would affect the state of welfare.</w:t>
      </w:r>
      <w:r w:rsidRPr="00273C6C">
        <w:rPr>
          <w:rStyle w:val="FootnoteReference"/>
          <w:rFonts w:ascii="Times New Roman" w:hAnsi="Times New Roman" w:cs="Times New Roman"/>
          <w:sz w:val="24"/>
          <w:szCs w:val="24"/>
          <w:lang w:val="en-US"/>
        </w:rPr>
        <w:footnoteReference w:id="40"/>
      </w:r>
      <w:r w:rsidRPr="00273C6C">
        <w:rPr>
          <w:rFonts w:ascii="Times New Roman" w:hAnsi="Times New Roman" w:cs="Times New Roman"/>
          <w:sz w:val="24"/>
          <w:szCs w:val="24"/>
          <w:lang w:val="en-US"/>
        </w:rPr>
        <w:t xml:space="preserve"> </w:t>
      </w:r>
    </w:p>
    <w:p w14:paraId="1ECD4CCB"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This system also demonstrates tensions between private and public monopoly o</w:t>
      </w:r>
      <w:r>
        <w:rPr>
          <w:rFonts w:ascii="Times New Roman" w:hAnsi="Times New Roman" w:cs="Times New Roman"/>
          <w:sz w:val="24"/>
          <w:szCs w:val="24"/>
          <w:lang w:val="en-US"/>
        </w:rPr>
        <w:t>ver</w:t>
      </w:r>
      <w:r w:rsidRPr="00273C6C">
        <w:rPr>
          <w:rFonts w:ascii="Times New Roman" w:hAnsi="Times New Roman" w:cs="Times New Roman"/>
          <w:sz w:val="24"/>
          <w:szCs w:val="24"/>
          <w:lang w:val="en-US"/>
        </w:rPr>
        <w:t xml:space="preserve"> information and international obligations. Rephrasing our previously introduced traditional definition of privacy, we might say that the ‘right to exclude others’ in IP is the right to determine when, how, and to what extent information </w:t>
      </w:r>
      <w:r w:rsidRPr="00273C6C">
        <w:rPr>
          <w:rFonts w:ascii="Times New Roman" w:hAnsi="Times New Roman" w:cs="Times New Roman"/>
          <w:i/>
          <w:sz w:val="24"/>
          <w:szCs w:val="24"/>
          <w:lang w:val="en-US"/>
        </w:rPr>
        <w:t>created</w:t>
      </w:r>
      <w:r w:rsidRPr="00273C6C">
        <w:rPr>
          <w:rFonts w:ascii="Times New Roman" w:hAnsi="Times New Roman" w:cs="Times New Roman"/>
          <w:sz w:val="24"/>
          <w:szCs w:val="24"/>
          <w:lang w:val="en-US"/>
        </w:rPr>
        <w:t xml:space="preserve"> by individuals, groups or institutions is communicated to others. States have their own interests regarding information flows of the category </w:t>
      </w:r>
      <w:r w:rsidRPr="00273C6C">
        <w:rPr>
          <w:rFonts w:ascii="Times New Roman" w:hAnsi="Times New Roman" w:cs="Times New Roman"/>
          <w:i/>
          <w:sz w:val="24"/>
          <w:szCs w:val="24"/>
          <w:lang w:val="en-US"/>
        </w:rPr>
        <w:t>literary works</w:t>
      </w:r>
      <w:r w:rsidRPr="00273C6C">
        <w:rPr>
          <w:rFonts w:ascii="Times New Roman" w:hAnsi="Times New Roman" w:cs="Times New Roman"/>
          <w:sz w:val="24"/>
          <w:szCs w:val="24"/>
          <w:lang w:val="en-US"/>
        </w:rPr>
        <w:t xml:space="preserve"> and the Berne Convention provides them with a possibility of legitimate non-compliance by the right of censorship (Article 17). However, as the Berne Convention is a unification act and therefore relies on states’ regulatory autonomy and modus of creativity, states independently decide on how they are going to construct their censorship policy, what constitutes necessity, to what extent they are willing to sacrifice regulatory principles in order to reach their objectives. Inevitably, some regulatory practices will appear better than others.</w:t>
      </w:r>
    </w:p>
    <w:p w14:paraId="55AEBF7B" w14:textId="63591273" w:rsidR="00310B95"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The same structure applies to DL measures dealing with storage location and processing of information (which in fact in many cases includes not only PII, but other categories of information such as IP) that might result in data injustices and disrupt information lifecycles, thus making them inefficient. General regulatory principles aimed at maximizing win-win regulatory end results could therefore provide a threshold against which it would be possible to compare DL models. The following section is dedicated to informational construction of DL and evaluation of regulatory practices. </w:t>
      </w:r>
    </w:p>
    <w:p w14:paraId="2BF4AF92" w14:textId="77777777" w:rsidR="00310B95" w:rsidRPr="00273C6C" w:rsidRDefault="00310B95" w:rsidP="002E6BD1">
      <w:pPr>
        <w:pStyle w:val="Heading1"/>
      </w:pPr>
      <w:r w:rsidRPr="00273C6C">
        <w:t>Mapping Data Localization Regulatory Practices</w:t>
      </w:r>
    </w:p>
    <w:p w14:paraId="65003E5E"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DL could be dynamically modelled depending on the chosen</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 xml:space="preserve">regulatory tools </w:t>
      </w:r>
      <w:r w:rsidRPr="00273C6C">
        <w:rPr>
          <w:rFonts w:ascii="Times New Roman" w:hAnsi="Times New Roman" w:cs="Times New Roman"/>
          <w:sz w:val="24"/>
          <w:szCs w:val="24"/>
        </w:rPr>
        <w:t>(</w:t>
      </w:r>
      <w:r w:rsidRPr="00273C6C">
        <w:rPr>
          <w:rFonts w:ascii="Times New Roman" w:hAnsi="Times New Roman" w:cs="Times New Roman"/>
          <w:sz w:val="24"/>
          <w:szCs w:val="24"/>
          <w:lang w:val="en-US"/>
        </w:rPr>
        <w:t>variables</w:t>
      </w:r>
      <w:r w:rsidRPr="00273C6C">
        <w:rPr>
          <w:rFonts w:ascii="Times New Roman" w:hAnsi="Times New Roman" w:cs="Times New Roman"/>
          <w:sz w:val="24"/>
          <w:szCs w:val="24"/>
        </w:rPr>
        <w:t>)</w:t>
      </w:r>
      <w:r w:rsidRPr="00273C6C">
        <w:rPr>
          <w:rFonts w:ascii="Times New Roman" w:hAnsi="Times New Roman" w:cs="Times New Roman"/>
          <w:sz w:val="24"/>
          <w:szCs w:val="24"/>
          <w:lang w:val="en-US"/>
        </w:rPr>
        <w:t xml:space="preserve"> and their subject matter (types), which in turn constitute each of the policy goals (observables) (Figure 1). Each sequence of typed variables uniquely determines the subject matter of observables and therefore the output of the DL policy.</w:t>
      </w:r>
      <w:r w:rsidRPr="00273C6C">
        <w:rPr>
          <w:rStyle w:val="FootnoteReference"/>
          <w:rFonts w:ascii="Times New Roman" w:hAnsi="Times New Roman" w:cs="Times New Roman"/>
          <w:sz w:val="24"/>
          <w:szCs w:val="24"/>
          <w:lang w:val="en-US"/>
        </w:rPr>
        <w:footnoteReference w:id="41"/>
      </w:r>
      <w:r w:rsidRPr="00273C6C">
        <w:rPr>
          <w:rFonts w:ascii="Times New Roman" w:hAnsi="Times New Roman" w:cs="Times New Roman"/>
          <w:sz w:val="24"/>
          <w:szCs w:val="24"/>
          <w:lang w:val="en-US"/>
        </w:rPr>
        <w:t xml:space="preserve"> Such output in terms of welfare consequences then could be measured against regulatory principles.</w:t>
      </w:r>
    </w:p>
    <w:p w14:paraId="55657D2E" w14:textId="67C1CFB8" w:rsidR="00310B95" w:rsidRPr="00273C6C" w:rsidRDefault="00310B95" w:rsidP="00310B95">
      <w:pPr>
        <w:spacing w:line="240" w:lineRule="auto"/>
        <w:rPr>
          <w:rFonts w:ascii="Times New Roman" w:hAnsi="Times New Roman" w:cs="Times New Roman"/>
          <w:sz w:val="24"/>
          <w:szCs w:val="24"/>
          <w:lang w:val="en-US"/>
        </w:rPr>
      </w:pPr>
    </w:p>
    <w:p w14:paraId="3180302B" w14:textId="77777777" w:rsidR="00310B95" w:rsidRPr="00051974" w:rsidRDefault="00310B95" w:rsidP="00310B95">
      <w:pPr>
        <w:spacing w:line="240" w:lineRule="auto"/>
        <w:rPr>
          <w:rFonts w:ascii="Times New Roman" w:hAnsi="Times New Roman" w:cs="Times New Roman"/>
          <w:i/>
          <w:sz w:val="24"/>
          <w:szCs w:val="24"/>
          <w:lang w:val="en-US"/>
        </w:rPr>
      </w:pPr>
      <w:r w:rsidRPr="00051974">
        <w:rPr>
          <w:rFonts w:ascii="Times New Roman" w:hAnsi="Times New Roman" w:cs="Times New Roman"/>
          <w:i/>
          <w:sz w:val="24"/>
          <w:szCs w:val="24"/>
          <w:lang w:val="en-US"/>
        </w:rPr>
        <w:t>Figure 1.</w:t>
      </w:r>
    </w:p>
    <w:p w14:paraId="1DC4AF06" w14:textId="77777777" w:rsidR="00310B95" w:rsidRPr="00273C6C" w:rsidRDefault="00310B95" w:rsidP="00310B95">
      <w:pPr>
        <w:spacing w:line="240" w:lineRule="auto"/>
        <w:rPr>
          <w:rFonts w:ascii="Times New Roman" w:hAnsi="Times New Roman" w:cs="Times New Roman"/>
          <w:sz w:val="24"/>
          <w:szCs w:val="24"/>
          <w:lang w:val="en-US"/>
        </w:rPr>
      </w:pPr>
    </w:p>
    <w:p w14:paraId="1D7B4502"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lastRenderedPageBreak/>
        <w:t xml:space="preserve">Depending on collection of variables, their types and interpretation it is possible to construct many variants of DL systems. For instance, </w:t>
      </w:r>
      <w:r w:rsidRPr="00273C6C">
        <w:rPr>
          <w:rFonts w:ascii="Times New Roman" w:hAnsi="Times New Roman" w:cs="Times New Roman"/>
          <w:i/>
          <w:sz w:val="24"/>
          <w:szCs w:val="24"/>
          <w:lang w:val="en-US"/>
        </w:rPr>
        <w:t xml:space="preserve">category </w:t>
      </w:r>
      <w:r w:rsidRPr="00273C6C">
        <w:rPr>
          <w:rFonts w:ascii="Times New Roman" w:hAnsi="Times New Roman" w:cs="Times New Roman"/>
          <w:sz w:val="24"/>
          <w:szCs w:val="24"/>
          <w:lang w:val="en-US"/>
        </w:rPr>
        <w:t>variable determines the scope and thus differently characterizes observables. Thus, localization of governmental data should affect the correlation of privacy, sovereignty and trade differently compa</w:t>
      </w:r>
      <w:r>
        <w:rPr>
          <w:rFonts w:ascii="Times New Roman" w:hAnsi="Times New Roman" w:cs="Times New Roman"/>
          <w:sz w:val="24"/>
          <w:szCs w:val="24"/>
          <w:lang w:val="en-US"/>
        </w:rPr>
        <w:t>red</w:t>
      </w:r>
      <w:r w:rsidRPr="00273C6C">
        <w:rPr>
          <w:rFonts w:ascii="Times New Roman" w:hAnsi="Times New Roman" w:cs="Times New Roman"/>
          <w:sz w:val="24"/>
          <w:szCs w:val="24"/>
          <w:lang w:val="en-US"/>
        </w:rPr>
        <w:t xml:space="preserve"> to localization of undefined categories of PII. The</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 xml:space="preserve">broader the scope, the more it attributes to the protection of privacy and data sovereignty because data subjects and states acquire more effective control over data as it is physically available to them. However, it becomes more burdensome for international trade and domestic market actors as their economic costs rise as well as more restrictive on individual liberties because the autonomy to decide the fate of data shrinks. </w:t>
      </w:r>
    </w:p>
    <w:p w14:paraId="043F1340" w14:textId="6B25AE4D"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Moreover, this relationship depends on the legal form and meaning of the </w:t>
      </w:r>
      <w:r w:rsidRPr="00273C6C">
        <w:rPr>
          <w:rFonts w:ascii="Times New Roman" w:hAnsi="Times New Roman" w:cs="Times New Roman"/>
          <w:i/>
          <w:sz w:val="24"/>
          <w:szCs w:val="24"/>
          <w:lang w:val="en-US"/>
        </w:rPr>
        <w:t>types</w:t>
      </w:r>
      <w:r w:rsidRPr="00273C6C">
        <w:rPr>
          <w:rFonts w:ascii="Times New Roman" w:hAnsi="Times New Roman" w:cs="Times New Roman"/>
          <w:sz w:val="24"/>
          <w:szCs w:val="24"/>
          <w:lang w:val="en-US"/>
        </w:rPr>
        <w:t xml:space="preserve">. For instance, in terms of categories Russia requires </w:t>
      </w:r>
      <w:r>
        <w:rPr>
          <w:rFonts w:ascii="Times New Roman" w:hAnsi="Times New Roman" w:cs="Times New Roman"/>
          <w:sz w:val="24"/>
          <w:szCs w:val="24"/>
          <w:lang w:val="en-US"/>
        </w:rPr>
        <w:t>the</w:t>
      </w:r>
      <w:r w:rsidRPr="00273C6C">
        <w:rPr>
          <w:rFonts w:ascii="Times New Roman" w:hAnsi="Times New Roman" w:cs="Times New Roman"/>
          <w:sz w:val="24"/>
          <w:szCs w:val="24"/>
          <w:lang w:val="en-US"/>
        </w:rPr>
        <w:t xml:space="preserve"> localiz</w:t>
      </w:r>
      <w:r>
        <w:rPr>
          <w:rFonts w:ascii="Times New Roman" w:hAnsi="Times New Roman" w:cs="Times New Roman"/>
          <w:sz w:val="24"/>
          <w:szCs w:val="24"/>
          <w:lang w:val="en-US"/>
        </w:rPr>
        <w:t>ation of</w:t>
      </w:r>
      <w:r w:rsidRPr="00273C6C">
        <w:rPr>
          <w:rFonts w:ascii="Times New Roman" w:hAnsi="Times New Roman" w:cs="Times New Roman"/>
          <w:sz w:val="24"/>
          <w:szCs w:val="24"/>
          <w:lang w:val="en-US"/>
        </w:rPr>
        <w:t xml:space="preserve"> (i) PII and (ii) communications, while Australia</w:t>
      </w:r>
      <w:r>
        <w:rPr>
          <w:rFonts w:ascii="Times New Roman" w:hAnsi="Times New Roman" w:cs="Times New Roman"/>
          <w:sz w:val="24"/>
          <w:szCs w:val="24"/>
          <w:lang w:val="en-US"/>
        </w:rPr>
        <w:t xml:space="preserve"> requires the localization of</w:t>
      </w:r>
      <w:r w:rsidRPr="00273C6C">
        <w:rPr>
          <w:rFonts w:ascii="Times New Roman" w:hAnsi="Times New Roman" w:cs="Times New Roman"/>
          <w:sz w:val="24"/>
          <w:szCs w:val="24"/>
          <w:lang w:val="en-US"/>
        </w:rPr>
        <w:t xml:space="preserve"> (iii) personally controlled electronic health records (PCEHR).</w:t>
      </w:r>
      <w:r w:rsidRPr="00273C6C">
        <w:rPr>
          <w:rStyle w:val="FootnoteReference"/>
          <w:rFonts w:ascii="Times New Roman" w:hAnsi="Times New Roman" w:cs="Times New Roman"/>
          <w:sz w:val="24"/>
          <w:szCs w:val="24"/>
          <w:lang w:val="en-US"/>
        </w:rPr>
        <w:footnoteReference w:id="42"/>
      </w:r>
      <w:r w:rsidRPr="00273C6C">
        <w:rPr>
          <w:rFonts w:ascii="Times New Roman" w:hAnsi="Times New Roman" w:cs="Times New Roman"/>
          <w:sz w:val="24"/>
          <w:szCs w:val="24"/>
          <w:lang w:val="en-US"/>
        </w:rPr>
        <w:t xml:space="preserve"> The reason why researchers classify (i) and (ii) as broad and (iii) as narrow is that they differ in scope</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and hence the amount of data required to localize. In Russia PII means any information that can identify a person.</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Communications in turn include metadata and content data or any information transmitted/received by user over the internet/other means of telecommunications.</w:t>
      </w:r>
      <w:r w:rsidRPr="00273C6C">
        <w:rPr>
          <w:rStyle w:val="FootnoteReference"/>
          <w:rFonts w:ascii="Times New Roman" w:hAnsi="Times New Roman" w:cs="Times New Roman"/>
          <w:sz w:val="24"/>
          <w:szCs w:val="24"/>
          <w:lang w:val="en-US"/>
        </w:rPr>
        <w:footnoteReference w:id="43"/>
      </w:r>
      <w:r w:rsidRPr="00273C6C">
        <w:rPr>
          <w:rFonts w:ascii="Times New Roman" w:hAnsi="Times New Roman" w:cs="Times New Roman"/>
          <w:sz w:val="24"/>
          <w:szCs w:val="24"/>
          <w:lang w:val="en-US"/>
        </w:rPr>
        <w:t xml:space="preserve"> On the other hand, PCEHR constitutes information about and connected to the customer, which is related to health and recorded in a special system or register. Obviously, the scope differs considerably depending on the attributes </w:t>
      </w:r>
      <w:r w:rsidRPr="00273C6C">
        <w:rPr>
          <w:rFonts w:ascii="Times New Roman" w:hAnsi="Times New Roman" w:cs="Times New Roman"/>
          <w:i/>
          <w:sz w:val="24"/>
          <w:szCs w:val="24"/>
          <w:lang w:val="en-US"/>
        </w:rPr>
        <w:t xml:space="preserve">any, transmitted, </w:t>
      </w:r>
      <w:r w:rsidRPr="00273C6C">
        <w:rPr>
          <w:rFonts w:ascii="Times New Roman" w:hAnsi="Times New Roman" w:cs="Times New Roman"/>
          <w:sz w:val="24"/>
          <w:szCs w:val="24"/>
          <w:lang w:val="en-US"/>
        </w:rPr>
        <w:t>and</w:t>
      </w:r>
      <w:r w:rsidRPr="00273C6C">
        <w:rPr>
          <w:rFonts w:ascii="Times New Roman" w:hAnsi="Times New Roman" w:cs="Times New Roman"/>
          <w:i/>
          <w:sz w:val="24"/>
          <w:szCs w:val="24"/>
          <w:lang w:val="en-US"/>
        </w:rPr>
        <w:t xml:space="preserve"> related to health</w:t>
      </w:r>
      <w:r w:rsidRPr="00273C6C">
        <w:rPr>
          <w:rFonts w:ascii="Times New Roman" w:hAnsi="Times New Roman" w:cs="Times New Roman"/>
          <w:sz w:val="24"/>
          <w:szCs w:val="24"/>
          <w:lang w:val="en-US"/>
        </w:rPr>
        <w:t>. The broader the meaning of a category the more policy space a state acquires in the course of sovereignty protection. However, it creates uncertainty for individuals and international market participants that might result in an overall disadvantage.</w:t>
      </w:r>
    </w:p>
    <w:p w14:paraId="02D22CC9"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Although, this system is not static and the output changes if other variables are introduced. Thus, for (i) regulated agents include any persons that are involved in PII management cycle at any stage and specific entities that ensure communications regarding measure (ii). For measure (iii)</w:t>
      </w:r>
      <w:r>
        <w:rPr>
          <w:rFonts w:ascii="Times New Roman" w:hAnsi="Times New Roman" w:cs="Times New Roman"/>
          <w:sz w:val="24"/>
          <w:szCs w:val="24"/>
          <w:lang w:val="en-US"/>
        </w:rPr>
        <w:t>,</w:t>
      </w:r>
      <w:r w:rsidRPr="00273C6C">
        <w:rPr>
          <w:rFonts w:ascii="Times New Roman" w:hAnsi="Times New Roman" w:cs="Times New Roman"/>
          <w:sz w:val="24"/>
          <w:szCs w:val="24"/>
          <w:lang w:val="en-US"/>
        </w:rPr>
        <w:t xml:space="preserve"> regulated agents are envisaged in the closed list of entities that are authorized to work with PCEHR. Again, these attributes make the scope narrower or broader. Further, all measures contain a non-finite amount of information formats and mediums (e.g. personal and public records, health records, audio, video, etc.). This attribute broadens the definition of data for all compared measures.</w:t>
      </w:r>
    </w:p>
    <w:p w14:paraId="540CC6C7"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Such variables as location and method of storage also greatly affect the output. In case DL mechanism prescribes storage of data in a particular region or even in a particular datacenter, it creates and worsens to a degree the so-called jackpot and protected local provider </w:t>
      </w:r>
      <w:r w:rsidRPr="00273C6C">
        <w:rPr>
          <w:rFonts w:ascii="Times New Roman" w:hAnsi="Times New Roman" w:cs="Times New Roman"/>
          <w:sz w:val="24"/>
          <w:szCs w:val="24"/>
          <w:lang w:val="ru-RU"/>
        </w:rPr>
        <w:t>(</w:t>
      </w:r>
      <w:r w:rsidRPr="00273C6C">
        <w:rPr>
          <w:rFonts w:ascii="Times New Roman" w:hAnsi="Times New Roman" w:cs="Times New Roman"/>
          <w:sz w:val="24"/>
          <w:szCs w:val="24"/>
          <w:lang w:val="en-US"/>
        </w:rPr>
        <w:t>PLP) problems.</w:t>
      </w:r>
      <w:r w:rsidRPr="00273C6C">
        <w:rPr>
          <w:rStyle w:val="FootnoteReference"/>
          <w:rFonts w:ascii="Times New Roman" w:hAnsi="Times New Roman" w:cs="Times New Roman"/>
          <w:sz w:val="24"/>
          <w:szCs w:val="24"/>
          <w:lang w:val="en-US"/>
        </w:rPr>
        <w:footnoteReference w:id="44"/>
      </w:r>
      <w:r w:rsidRPr="00273C6C">
        <w:rPr>
          <w:rFonts w:ascii="Times New Roman" w:hAnsi="Times New Roman" w:cs="Times New Roman"/>
          <w:sz w:val="24"/>
          <w:szCs w:val="24"/>
          <w:lang w:val="en-US"/>
        </w:rPr>
        <w:t xml:space="preserve"> It is one thing to prescribe storage within a particular territory thus limiting the market by territory, technical capabilities and competition, and another if a regulator specifies authorized market players thus limiting the environment even more. In this regard even forms of ownership (e.g. public or private) should play a crucial role, since owners of datacenters and their numbers determine the market.</w:t>
      </w:r>
    </w:p>
    <w:p w14:paraId="09329D23"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lang w:val="en-US"/>
        </w:rPr>
        <w:lastRenderedPageBreak/>
        <w:t>The enforcement framework matters as well. DL measures are usually enforced by common regimes of legal sanctions or technical enforcement such as blocking schemes that preclude service providers from operating on a particular territory. Just as the wording of a statute makes a difference in the course of its application, technical characteristics of the blocking scheme determine the output of a DL measure. For example, in many instances DL in Russia is based on blocking IP</w:t>
      </w:r>
      <w:r>
        <w:rPr>
          <w:rFonts w:ascii="Times New Roman" w:hAnsi="Times New Roman" w:cs="Times New Roman"/>
          <w:sz w:val="24"/>
          <w:szCs w:val="24"/>
          <w:lang w:val="en-US"/>
        </w:rPr>
        <w:t xml:space="preserve"> </w:t>
      </w:r>
      <w:r w:rsidRPr="00273C6C">
        <w:rPr>
          <w:rFonts w:ascii="Times New Roman" w:hAnsi="Times New Roman" w:cs="Times New Roman"/>
          <w:sz w:val="24"/>
          <w:szCs w:val="24"/>
          <w:lang w:val="en-US"/>
        </w:rPr>
        <w:t xml:space="preserve">addresses, while DL in New Zealand is based on blocking of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combination of IP and URL addresses. Both methods provide different outputs. While the former is easier and cheaper (this is relevant for those who pay for such enforcement, e.g. state or internet providers) to implement, it blocks every resource that is assigned to a blocked IP</w:t>
      </w:r>
      <w:r>
        <w:rPr>
          <w:rFonts w:ascii="Times New Roman" w:hAnsi="Times New Roman" w:cs="Times New Roman"/>
          <w:sz w:val="24"/>
          <w:szCs w:val="24"/>
          <w:lang w:val="en-US"/>
        </w:rPr>
        <w:t xml:space="preserve"> </w:t>
      </w:r>
      <w:r w:rsidRPr="00273C6C">
        <w:rPr>
          <w:rFonts w:ascii="Times New Roman" w:hAnsi="Times New Roman" w:cs="Times New Roman"/>
          <w:sz w:val="24"/>
          <w:szCs w:val="24"/>
          <w:lang w:val="en-US"/>
        </w:rPr>
        <w:t xml:space="preserve">address, hence resulting in over-enforcement. The latter on the other hand allows </w:t>
      </w:r>
      <w:r>
        <w:rPr>
          <w:rFonts w:ascii="Times New Roman" w:hAnsi="Times New Roman" w:cs="Times New Roman"/>
          <w:sz w:val="24"/>
          <w:szCs w:val="24"/>
          <w:lang w:val="en-US"/>
        </w:rPr>
        <w:t>the conducting of</w:t>
      </w:r>
      <w:r w:rsidRPr="00273C6C">
        <w:rPr>
          <w:rFonts w:ascii="Times New Roman" w:hAnsi="Times New Roman" w:cs="Times New Roman"/>
          <w:sz w:val="24"/>
          <w:szCs w:val="24"/>
          <w:lang w:val="en-US"/>
        </w:rPr>
        <w:t xml:space="preserve"> additional filtering by URL and provides for</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precision-guided enforcement mechanism.</w:t>
      </w:r>
      <w:r w:rsidRPr="00273C6C">
        <w:rPr>
          <w:rStyle w:val="FootnoteReference"/>
          <w:rFonts w:ascii="Times New Roman" w:hAnsi="Times New Roman" w:cs="Times New Roman"/>
          <w:sz w:val="24"/>
          <w:szCs w:val="24"/>
          <w:lang w:val="en-US"/>
        </w:rPr>
        <w:footnoteReference w:id="45"/>
      </w:r>
    </w:p>
    <w:p w14:paraId="75C2EDDA"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It is important to note that</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legal bas</w:t>
      </w:r>
      <w:r>
        <w:rPr>
          <w:rFonts w:ascii="Times New Roman" w:hAnsi="Times New Roman" w:cs="Times New Roman"/>
          <w:sz w:val="24"/>
          <w:szCs w:val="24"/>
          <w:lang w:val="en-US"/>
        </w:rPr>
        <w:t>e</w:t>
      </w:r>
      <w:r w:rsidRPr="00273C6C">
        <w:rPr>
          <w:rFonts w:ascii="Times New Roman" w:hAnsi="Times New Roman" w:cs="Times New Roman"/>
          <w:sz w:val="24"/>
          <w:szCs w:val="24"/>
          <w:lang w:val="en-US"/>
        </w:rPr>
        <w:t>s for invoking such technical enforcement are also of a great significance. For example, it is reasonable to assume that judicial review might reduce possible negative effect</w:t>
      </w:r>
      <w:r>
        <w:rPr>
          <w:rFonts w:ascii="Times New Roman" w:hAnsi="Times New Roman" w:cs="Times New Roman"/>
          <w:sz w:val="24"/>
          <w:szCs w:val="24"/>
          <w:lang w:val="en-US"/>
        </w:rPr>
        <w:t>s</w:t>
      </w:r>
      <w:r w:rsidRPr="00273C6C">
        <w:rPr>
          <w:rFonts w:ascii="Times New Roman" w:hAnsi="Times New Roman" w:cs="Times New Roman"/>
          <w:sz w:val="24"/>
          <w:szCs w:val="24"/>
          <w:lang w:val="en-US"/>
        </w:rPr>
        <w:t xml:space="preserve"> of technical enforcement, particularly regarding IP-based mass blocking, more effectively if compared to administrative review. On top of that,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 xml:space="preserve">efficiency of these features depends on the meta framework – the rule of law. Regardless </w:t>
      </w:r>
      <w:r>
        <w:rPr>
          <w:rFonts w:ascii="Times New Roman" w:hAnsi="Times New Roman" w:cs="Times New Roman"/>
          <w:sz w:val="24"/>
          <w:szCs w:val="24"/>
          <w:lang w:val="en-US"/>
        </w:rPr>
        <w:t xml:space="preserve">of </w:t>
      </w:r>
      <w:r w:rsidRPr="00273C6C">
        <w:rPr>
          <w:rFonts w:ascii="Times New Roman" w:hAnsi="Times New Roman" w:cs="Times New Roman"/>
          <w:sz w:val="24"/>
          <w:szCs w:val="24"/>
          <w:lang w:val="en-US"/>
        </w:rPr>
        <w:t>how legal and technological enforcement</w:t>
      </w:r>
      <w:r>
        <w:rPr>
          <w:rFonts w:ascii="Times New Roman" w:hAnsi="Times New Roman" w:cs="Times New Roman"/>
          <w:sz w:val="24"/>
          <w:szCs w:val="24"/>
          <w:lang w:val="en-US"/>
        </w:rPr>
        <w:t xml:space="preserve"> is</w:t>
      </w:r>
      <w:r w:rsidRPr="00273C6C">
        <w:rPr>
          <w:rFonts w:ascii="Times New Roman" w:hAnsi="Times New Roman" w:cs="Times New Roman"/>
          <w:sz w:val="24"/>
          <w:szCs w:val="24"/>
          <w:lang w:val="en-US"/>
        </w:rPr>
        <w:t xml:space="preserve"> formally constructed, in the absence of the rule of law no mechanism would work properly. This applies to</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construction of any regulation.</w:t>
      </w:r>
    </w:p>
    <w:p w14:paraId="522BAF7E"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The same rationale applies to a feature of localization of encryption keys, which could be achieved by various means such as compulsory assistance, lawful hacking and prior design of backdoors.</w:t>
      </w:r>
      <w:r w:rsidRPr="00273C6C">
        <w:rPr>
          <w:rStyle w:val="FootnoteReference"/>
          <w:rFonts w:ascii="Times New Roman" w:hAnsi="Times New Roman" w:cs="Times New Roman"/>
          <w:sz w:val="24"/>
          <w:szCs w:val="24"/>
          <w:lang w:val="en-US"/>
        </w:rPr>
        <w:footnoteReference w:id="46"/>
      </w:r>
      <w:r w:rsidRPr="00273C6C">
        <w:rPr>
          <w:rFonts w:ascii="Times New Roman" w:hAnsi="Times New Roman" w:cs="Times New Roman"/>
          <w:sz w:val="24"/>
          <w:szCs w:val="24"/>
          <w:lang w:val="en-US"/>
        </w:rPr>
        <w:t xml:space="preserve"> Each method has its own advantages and disadvantages but once again it is crucial to emphasize the importance of legal and technical implementation frameworks. For instance, compulsory assistance that implies sending encryption keys over unsecured means of communication is not better than lawful hacking against an undefined set of persons without any form of legal review.</w:t>
      </w:r>
      <w:r w:rsidRPr="00273C6C">
        <w:rPr>
          <w:rStyle w:val="FootnoteReference"/>
          <w:rFonts w:ascii="Times New Roman" w:hAnsi="Times New Roman" w:cs="Times New Roman"/>
          <w:sz w:val="24"/>
          <w:szCs w:val="24"/>
          <w:lang w:val="en-US"/>
        </w:rPr>
        <w:footnoteReference w:id="47"/>
      </w:r>
    </w:p>
    <w:p w14:paraId="70F852CE"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lang w:val="en-US"/>
        </w:rPr>
        <w:t xml:space="preserve">Hence, there is a plethora of elements that </w:t>
      </w:r>
      <w:r>
        <w:rPr>
          <w:rFonts w:ascii="Times New Roman" w:hAnsi="Times New Roman" w:cs="Times New Roman"/>
          <w:sz w:val="24"/>
          <w:szCs w:val="24"/>
          <w:lang w:val="en-US"/>
        </w:rPr>
        <w:t>at</w:t>
      </w:r>
      <w:r w:rsidRPr="00273C6C">
        <w:rPr>
          <w:rFonts w:ascii="Times New Roman" w:hAnsi="Times New Roman" w:cs="Times New Roman"/>
          <w:sz w:val="24"/>
          <w:szCs w:val="24"/>
          <w:lang w:val="en-US"/>
        </w:rPr>
        <w:t xml:space="preserve"> the end of the day may invoke the law of unintended consequences and turn</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DL mechanism intended to regain control over data for the sake of privacy and security into something quite the opposite.</w:t>
      </w:r>
      <w:r w:rsidRPr="00273C6C">
        <w:rPr>
          <w:rStyle w:val="FootnoteReference"/>
          <w:rFonts w:ascii="Times New Roman" w:hAnsi="Times New Roman" w:cs="Times New Roman"/>
          <w:sz w:val="24"/>
          <w:szCs w:val="24"/>
          <w:lang w:val="en-US"/>
        </w:rPr>
        <w:footnoteReference w:id="48"/>
      </w:r>
      <w:r w:rsidRPr="00273C6C">
        <w:rPr>
          <w:rFonts w:ascii="Times New Roman" w:hAnsi="Times New Roman" w:cs="Times New Roman"/>
          <w:sz w:val="24"/>
          <w:szCs w:val="24"/>
          <w:lang w:val="en-US"/>
        </w:rPr>
        <w:t xml:space="preserve"> It is considerably difficult to argue that</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DL scheme consisting of an obligatory centralized governmental data storage regarding broad categories of data and compulsory assistance scheme contributes to privacy protection as this mechanism clearly erodes individuals’ autonomy to determine the fate of their data. Neither does it amount to reasonable standards of security protection as such</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model </w:t>
      </w:r>
      <w:r w:rsidRPr="00273C6C">
        <w:rPr>
          <w:rFonts w:ascii="Times New Roman" w:hAnsi="Times New Roman" w:cs="Times New Roman"/>
          <w:sz w:val="24"/>
          <w:szCs w:val="24"/>
        </w:rPr>
        <w:t xml:space="preserve">elevates jackpot and PLP problems to a critical level. However, it is only when </w:t>
      </w:r>
      <w:r w:rsidRPr="00273C6C">
        <w:rPr>
          <w:rFonts w:ascii="Times New Roman" w:hAnsi="Times New Roman" w:cs="Times New Roman"/>
          <w:sz w:val="24"/>
          <w:szCs w:val="24"/>
        </w:rPr>
        <w:lastRenderedPageBreak/>
        <w:t>DL is considered as a complex system should the output be considered because otherwise policymaking turns into gambling.</w:t>
      </w:r>
      <w:r w:rsidRPr="00273C6C">
        <w:rPr>
          <w:rStyle w:val="FootnoteReference"/>
          <w:rFonts w:ascii="Times New Roman" w:hAnsi="Times New Roman" w:cs="Times New Roman"/>
          <w:sz w:val="24"/>
          <w:szCs w:val="24"/>
        </w:rPr>
        <w:footnoteReference w:id="49"/>
      </w:r>
      <w:r w:rsidRPr="00273C6C">
        <w:rPr>
          <w:rFonts w:ascii="Times New Roman" w:hAnsi="Times New Roman" w:cs="Times New Roman"/>
          <w:sz w:val="24"/>
          <w:szCs w:val="24"/>
        </w:rPr>
        <w:t xml:space="preserve"> </w:t>
      </w:r>
    </w:p>
    <w:p w14:paraId="018DA778"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Based on this could it be reasonably assumed that</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Australian measure is </w:t>
      </w:r>
      <w:r w:rsidRPr="00273C6C">
        <w:rPr>
          <w:rFonts w:ascii="Times New Roman" w:hAnsi="Times New Roman" w:cs="Times New Roman"/>
          <w:i/>
          <w:sz w:val="24"/>
          <w:szCs w:val="24"/>
          <w:lang w:val="en-US"/>
        </w:rPr>
        <w:t>smarter</w:t>
      </w:r>
      <w:r w:rsidRPr="00273C6C">
        <w:rPr>
          <w:rFonts w:ascii="Times New Roman" w:hAnsi="Times New Roman" w:cs="Times New Roman"/>
          <w:sz w:val="24"/>
          <w:szCs w:val="24"/>
          <w:lang w:val="en-US"/>
        </w:rPr>
        <w:t xml:space="preserve"> because it requires </w:t>
      </w:r>
      <w:r>
        <w:rPr>
          <w:rFonts w:ascii="Times New Roman" w:hAnsi="Times New Roman" w:cs="Times New Roman"/>
          <w:sz w:val="24"/>
          <w:szCs w:val="24"/>
          <w:lang w:val="en-US"/>
        </w:rPr>
        <w:t>the</w:t>
      </w:r>
      <w:r w:rsidRPr="00273C6C">
        <w:rPr>
          <w:rFonts w:ascii="Times New Roman" w:hAnsi="Times New Roman" w:cs="Times New Roman"/>
          <w:sz w:val="24"/>
          <w:szCs w:val="24"/>
          <w:lang w:val="en-US"/>
        </w:rPr>
        <w:t xml:space="preserve"> stor</w:t>
      </w:r>
      <w:r>
        <w:rPr>
          <w:rFonts w:ascii="Times New Roman" w:hAnsi="Times New Roman" w:cs="Times New Roman"/>
          <w:sz w:val="24"/>
          <w:szCs w:val="24"/>
          <w:lang w:val="en-US"/>
        </w:rPr>
        <w:t>age of</w:t>
      </w:r>
      <w:r w:rsidRPr="00273C6C">
        <w:rPr>
          <w:rFonts w:ascii="Times New Roman" w:hAnsi="Times New Roman" w:cs="Times New Roman"/>
          <w:sz w:val="24"/>
          <w:szCs w:val="24"/>
          <w:lang w:val="en-US"/>
        </w:rPr>
        <w:t xml:space="preserve"> less data? Or could it be concluded that all DL measures are bad regulatory practices just because they establish more burdens? Indeed, either scenario results in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 xml:space="preserve">distortion of IMCs. Consequently, DL measures should be constructed as to prevent and remove such distortion by adherence to regulatory principles. </w:t>
      </w:r>
    </w:p>
    <w:p w14:paraId="688FB7C3" w14:textId="114AB5CA"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This discussion cannot canvass every link between DL features and regulatory principles. However,</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Australian measure, for instance, provide</w:t>
      </w:r>
      <w:r>
        <w:rPr>
          <w:rFonts w:ascii="Times New Roman" w:hAnsi="Times New Roman" w:cs="Times New Roman"/>
          <w:sz w:val="24"/>
          <w:szCs w:val="24"/>
          <w:lang w:val="en-US"/>
        </w:rPr>
        <w:t>s</w:t>
      </w:r>
      <w:r w:rsidRPr="00273C6C">
        <w:rPr>
          <w:rFonts w:ascii="Times New Roman" w:hAnsi="Times New Roman" w:cs="Times New Roman"/>
          <w:sz w:val="24"/>
          <w:szCs w:val="24"/>
          <w:lang w:val="en-US"/>
        </w:rPr>
        <w:t xml:space="preserve"> more certainty as it raises less questions about what actually regulated persons ought to store. In contrast, Russian DL measures are very similar to Russian famous ‘yes, no, maybe’, which means a negative reaction of a high uncertainty and possibility to be changed into ‘yes’ and ‘no’ in the future. In other words, it contains a general but not detailed enough meaning, which is contrary to the principle of legal certainty. This is the exact reason why experts cannot even agree on economic consequences because no one knows how much data shall be stored.</w:t>
      </w:r>
      <w:r w:rsidRPr="00273C6C">
        <w:rPr>
          <w:rStyle w:val="FootnoteReference"/>
          <w:rFonts w:ascii="Times New Roman" w:hAnsi="Times New Roman" w:cs="Times New Roman"/>
          <w:sz w:val="24"/>
          <w:szCs w:val="24"/>
          <w:lang w:val="en-US"/>
        </w:rPr>
        <w:footnoteReference w:id="50"/>
      </w:r>
      <w:r w:rsidRPr="00273C6C">
        <w:rPr>
          <w:rFonts w:ascii="Times New Roman" w:hAnsi="Times New Roman" w:cs="Times New Roman"/>
          <w:sz w:val="24"/>
          <w:szCs w:val="24"/>
          <w:lang w:val="en-US"/>
        </w:rPr>
        <w:t xml:space="preserve"> </w:t>
      </w:r>
    </w:p>
    <w:p w14:paraId="6C89A3D1"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Overall, such </w:t>
      </w:r>
      <w:r>
        <w:rPr>
          <w:rFonts w:ascii="Times New Roman" w:hAnsi="Times New Roman" w:cs="Times New Roman"/>
          <w:sz w:val="24"/>
          <w:szCs w:val="24"/>
          <w:lang w:val="en-US"/>
        </w:rPr>
        <w:t xml:space="preserve">an </w:t>
      </w:r>
      <w:r w:rsidRPr="00273C6C">
        <w:rPr>
          <w:rFonts w:ascii="Times New Roman" w:hAnsi="Times New Roman" w:cs="Times New Roman"/>
          <w:sz w:val="24"/>
          <w:szCs w:val="24"/>
          <w:lang w:val="en-US"/>
        </w:rPr>
        <w:t>approach correlates with the precautionary principle that is familiar to international law including the WTO framework and many legal systems.</w:t>
      </w:r>
      <w:r w:rsidRPr="00273C6C">
        <w:rPr>
          <w:rStyle w:val="FootnoteReference"/>
          <w:rFonts w:ascii="Times New Roman" w:hAnsi="Times New Roman" w:cs="Times New Roman"/>
          <w:sz w:val="24"/>
          <w:szCs w:val="24"/>
          <w:lang w:val="en-US"/>
        </w:rPr>
        <w:footnoteReference w:id="51"/>
      </w:r>
      <w:r w:rsidRPr="00273C6C">
        <w:rPr>
          <w:rFonts w:ascii="Times New Roman" w:hAnsi="Times New Roman" w:cs="Times New Roman"/>
          <w:sz w:val="24"/>
          <w:szCs w:val="24"/>
          <w:lang w:val="en-US"/>
        </w:rPr>
        <w:t xml:space="preserve"> The precautionary principle has emerged as a response to human activities resulting in environmental degradation and serves as the basis for safeguarding humans’ safety.</w:t>
      </w:r>
      <w:r w:rsidRPr="00273C6C">
        <w:rPr>
          <w:rStyle w:val="FootnoteReference"/>
          <w:rFonts w:ascii="Times New Roman" w:hAnsi="Times New Roman" w:cs="Times New Roman"/>
          <w:sz w:val="24"/>
          <w:szCs w:val="24"/>
          <w:lang w:val="en-US"/>
        </w:rPr>
        <w:footnoteReference w:id="52"/>
      </w:r>
      <w:r w:rsidRPr="00273C6C">
        <w:rPr>
          <w:rFonts w:ascii="Times New Roman" w:hAnsi="Times New Roman" w:cs="Times New Roman"/>
          <w:sz w:val="24"/>
          <w:szCs w:val="24"/>
          <w:lang w:val="en-US"/>
        </w:rPr>
        <w:t xml:space="preserve"> However, this principle may be applied to regulation of inchoate technologies and therefore IMCs that are constituent to them.</w:t>
      </w:r>
      <w:r w:rsidRPr="00273C6C">
        <w:rPr>
          <w:rStyle w:val="FootnoteReference"/>
          <w:rFonts w:ascii="Times New Roman" w:hAnsi="Times New Roman" w:cs="Times New Roman"/>
          <w:sz w:val="24"/>
          <w:szCs w:val="24"/>
          <w:lang w:val="en-US"/>
        </w:rPr>
        <w:footnoteReference w:id="53"/>
      </w:r>
      <w:r w:rsidRPr="00273C6C">
        <w:rPr>
          <w:rFonts w:ascii="Times New Roman" w:hAnsi="Times New Roman" w:cs="Times New Roman"/>
          <w:sz w:val="24"/>
          <w:szCs w:val="24"/>
          <w:lang w:val="en-US"/>
        </w:rPr>
        <w:t xml:space="preserve"> </w:t>
      </w:r>
    </w:p>
    <w:p w14:paraId="775E87B4"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Generally, the precautionary principle aims at preserving conditions critical for humans by eliminating potential negative activities that may alter such conditions even in the absence of a clear and unambiguous causation.</w:t>
      </w:r>
      <w:r w:rsidRPr="00273C6C">
        <w:rPr>
          <w:rStyle w:val="FootnoteReference"/>
          <w:rFonts w:ascii="Times New Roman" w:hAnsi="Times New Roman" w:cs="Times New Roman"/>
          <w:sz w:val="24"/>
          <w:szCs w:val="24"/>
          <w:lang w:val="en-US"/>
        </w:rPr>
        <w:footnoteReference w:id="54"/>
      </w:r>
      <w:r w:rsidRPr="00273C6C">
        <w:rPr>
          <w:rFonts w:ascii="Times New Roman" w:hAnsi="Times New Roman" w:cs="Times New Roman"/>
          <w:sz w:val="24"/>
          <w:szCs w:val="24"/>
          <w:lang w:val="en-US"/>
        </w:rPr>
        <w:t xml:space="preserve"> Indeed, DL policies look like precautionary measures called to protect states’ data sovereignty and individuals’ privacy. However, under this veil data flows are seen as a potential source of harm and their value (e.g. social, economic, etc.) is often disregarded. Moreover, such one-sided regulatory interventionism allows for trade protectionism only worsening localization tensions explained above. Accordingly, the focus of precautionary protection should also incorporate IMCs which create the operational environment for states, individuals and trade actors. </w:t>
      </w:r>
    </w:p>
    <w:p w14:paraId="17907DD6" w14:textId="77777777" w:rsidR="00310B95"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Finally, uncertainty is the trigger for the precautionary principle.</w:t>
      </w:r>
      <w:r w:rsidRPr="00273C6C">
        <w:rPr>
          <w:rStyle w:val="FootnoteReference"/>
          <w:rFonts w:ascii="Times New Roman" w:hAnsi="Times New Roman" w:cs="Times New Roman"/>
          <w:sz w:val="24"/>
          <w:szCs w:val="24"/>
          <w:lang w:val="en-US"/>
        </w:rPr>
        <w:footnoteReference w:id="55"/>
      </w:r>
      <w:r w:rsidRPr="00273C6C">
        <w:rPr>
          <w:rFonts w:ascii="Times New Roman" w:hAnsi="Times New Roman" w:cs="Times New Roman"/>
          <w:sz w:val="24"/>
          <w:szCs w:val="24"/>
          <w:lang w:val="en-US"/>
        </w:rPr>
        <w:t xml:space="preserve"> Data flows as well as inchoate technology generate unpredictable events for all the actors of informational environment and therefore sovereignty, privacy and trade. Hence, there is a genuine interest </w:t>
      </w:r>
      <w:r w:rsidRPr="00273C6C">
        <w:rPr>
          <w:rFonts w:ascii="Times New Roman" w:hAnsi="Times New Roman" w:cs="Times New Roman"/>
          <w:sz w:val="24"/>
          <w:szCs w:val="24"/>
          <w:lang w:val="en-US"/>
        </w:rPr>
        <w:lastRenderedPageBreak/>
        <w:t>to eliminate uncertainty by introducing precautionary measures. However, the only way to reduce uncertainty is by introducing legal certainty aligned with social expectations which means adherence to the regulatory principles.</w:t>
      </w:r>
    </w:p>
    <w:p w14:paraId="1FB0B8F0" w14:textId="23052606" w:rsidR="00310B95" w:rsidRPr="00310B95"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By all means,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determination of a threshold of legal certainty regarding IMCs is a nontrivial task. Adopting an approach oriented at IMCs, it is proposed to subject DL policies to the following criteria placed in a hierarchical order:</w:t>
      </w:r>
      <w:r w:rsidRPr="00273C6C">
        <w:rPr>
          <w:rStyle w:val="FootnoteReference"/>
          <w:rFonts w:ascii="Times New Roman" w:hAnsi="Times New Roman" w:cs="Times New Roman"/>
          <w:sz w:val="24"/>
          <w:szCs w:val="24"/>
          <w:lang w:val="en-US"/>
        </w:rPr>
        <w:footnoteReference w:id="56"/>
      </w:r>
    </w:p>
    <w:p w14:paraId="59B39D43"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under no circumstances </w:t>
      </w:r>
      <w:r>
        <w:rPr>
          <w:rFonts w:ascii="Times New Roman" w:hAnsi="Times New Roman" w:cs="Times New Roman"/>
          <w:sz w:val="24"/>
          <w:szCs w:val="24"/>
          <w:lang w:val="en-US"/>
        </w:rPr>
        <w:t xml:space="preserve">shall </w:t>
      </w:r>
      <w:r w:rsidRPr="00273C6C">
        <w:rPr>
          <w:rFonts w:ascii="Times New Roman" w:hAnsi="Times New Roman" w:cs="Times New Roman"/>
          <w:sz w:val="24"/>
          <w:szCs w:val="24"/>
          <w:lang w:val="en-US"/>
        </w:rPr>
        <w:t>a DL polic</w:t>
      </w:r>
      <w:r>
        <w:rPr>
          <w:rFonts w:ascii="Times New Roman" w:hAnsi="Times New Roman" w:cs="Times New Roman"/>
          <w:sz w:val="24"/>
          <w:szCs w:val="24"/>
          <w:lang w:val="en-US"/>
        </w:rPr>
        <w:t>y</w:t>
      </w:r>
      <w:r w:rsidRPr="00273C6C">
        <w:rPr>
          <w:rFonts w:ascii="Times New Roman" w:hAnsi="Times New Roman" w:cs="Times New Roman"/>
          <w:sz w:val="24"/>
          <w:szCs w:val="24"/>
          <w:lang w:val="en-US"/>
        </w:rPr>
        <w:t xml:space="preserve"> generate legal uncertainty;</w:t>
      </w:r>
    </w:p>
    <w:p w14:paraId="5AA50305"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a DL policy shall prevent legal uncertainty;</w:t>
      </w:r>
    </w:p>
    <w:p w14:paraId="0771B9BA"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a DL policy shall reduce legal uncertainty;</w:t>
      </w:r>
    </w:p>
    <w:p w14:paraId="30EEBF0E"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a DL policy shall benefit data flows. </w:t>
      </w:r>
    </w:p>
    <w:p w14:paraId="5224558D" w14:textId="77777777" w:rsidR="00310B95" w:rsidRPr="00273C6C" w:rsidRDefault="00310B95" w:rsidP="00310B95">
      <w:pPr>
        <w:spacing w:after="0" w:line="240" w:lineRule="auto"/>
        <w:rPr>
          <w:rFonts w:ascii="Times New Roman" w:hAnsi="Times New Roman" w:cs="Times New Roman"/>
          <w:sz w:val="24"/>
          <w:szCs w:val="24"/>
          <w:lang w:val="en-US"/>
        </w:rPr>
      </w:pPr>
    </w:p>
    <w:p w14:paraId="56F2D76A" w14:textId="77777777" w:rsidR="00310B95" w:rsidRPr="00160836" w:rsidRDefault="00310B95" w:rsidP="00310B95">
      <w:pPr>
        <w:spacing w:after="0"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The first criterion is of a critical importance and therefore failure to adhere to it would result in over-enforcement. In turn, legal uncertainty exists where a DL policy is inconsistent, disproportionate, technologically and economically unreasonable. For instance, a DL policy introducing a broad localization scheme for undefined data categories, establishing a censorship mechanism at the tremendous cost of private parties that amounts to </w:t>
      </w:r>
      <w:r w:rsidRPr="00273C6C">
        <w:rPr>
          <w:rFonts w:ascii="Times New Roman" w:hAnsi="Times New Roman" w:cs="Times New Roman"/>
          <w:i/>
          <w:sz w:val="24"/>
          <w:szCs w:val="24"/>
          <w:lang w:val="en-US"/>
        </w:rPr>
        <w:t>carpet website blockings</w:t>
      </w:r>
      <w:r w:rsidRPr="00273C6C">
        <w:rPr>
          <w:rFonts w:ascii="Times New Roman" w:hAnsi="Times New Roman" w:cs="Times New Roman"/>
          <w:sz w:val="24"/>
          <w:szCs w:val="24"/>
          <w:lang w:val="en-US"/>
        </w:rPr>
        <w:t xml:space="preserve"> and on top of that which is arbitrary enforced, would not be justified under the proposed framework in any event. This is due to the fact that it generates legal uncertainty instead of preventing or reducing it. While such</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scheme could be highly beneficial for protecting information sovereignty,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generated legal uncertainty would inadequately affect privacy and trade. On the other hand, a DL policy of a high-accuracy that requires law enforcement agencies</w:t>
      </w:r>
      <w:r>
        <w:rPr>
          <w:rFonts w:ascii="Times New Roman" w:hAnsi="Times New Roman" w:cs="Times New Roman"/>
          <w:sz w:val="24"/>
          <w:szCs w:val="24"/>
          <w:lang w:val="en-US"/>
        </w:rPr>
        <w:t>’ access</w:t>
      </w:r>
      <w:r w:rsidRPr="00273C6C">
        <w:rPr>
          <w:rFonts w:ascii="Times New Roman" w:hAnsi="Times New Roman" w:cs="Times New Roman"/>
          <w:sz w:val="24"/>
          <w:szCs w:val="24"/>
          <w:lang w:val="en-US"/>
        </w:rPr>
        <w:t xml:space="preserve"> to communications metadata, regardless of the storage location, with a legally provided possibility to copy such data for security precautions and a blocking scheme, would have higher chances to be justified under the proposed framework. Accordingly, such</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DL policy arguably reduces legal uncertainty for all the actors while also benefiting the development of IMCs by eliminating harmful activities. Ultimately, a DL policy requiring </w:t>
      </w:r>
      <w:r>
        <w:rPr>
          <w:rFonts w:ascii="Times New Roman" w:hAnsi="Times New Roman" w:cs="Times New Roman"/>
          <w:sz w:val="24"/>
          <w:szCs w:val="24"/>
          <w:lang w:val="en-US"/>
        </w:rPr>
        <w:t>the</w:t>
      </w:r>
      <w:r w:rsidRPr="00273C6C">
        <w:rPr>
          <w:rFonts w:ascii="Times New Roman" w:hAnsi="Times New Roman" w:cs="Times New Roman"/>
          <w:sz w:val="24"/>
          <w:szCs w:val="24"/>
          <w:lang w:val="en-US"/>
        </w:rPr>
        <w:t xml:space="preserve"> disclos</w:t>
      </w:r>
      <w:r>
        <w:rPr>
          <w:rFonts w:ascii="Times New Roman" w:hAnsi="Times New Roman" w:cs="Times New Roman"/>
          <w:sz w:val="24"/>
          <w:szCs w:val="24"/>
          <w:lang w:val="en-US"/>
        </w:rPr>
        <w:t>ure of</w:t>
      </w:r>
      <w:r w:rsidRPr="00273C6C">
        <w:rPr>
          <w:rFonts w:ascii="Times New Roman" w:hAnsi="Times New Roman" w:cs="Times New Roman"/>
          <w:sz w:val="24"/>
          <w:szCs w:val="24"/>
          <w:lang w:val="en-US"/>
        </w:rPr>
        <w:t xml:space="preserve"> software code in the event </w:t>
      </w:r>
      <w:r>
        <w:rPr>
          <w:rFonts w:ascii="Times New Roman" w:hAnsi="Times New Roman" w:cs="Times New Roman"/>
          <w:sz w:val="24"/>
          <w:szCs w:val="24"/>
          <w:lang w:val="en-US"/>
        </w:rPr>
        <w:t xml:space="preserve">that </w:t>
      </w:r>
      <w:r w:rsidRPr="00273C6C">
        <w:rPr>
          <w:rFonts w:ascii="Times New Roman" w:hAnsi="Times New Roman" w:cs="Times New Roman"/>
          <w:sz w:val="24"/>
          <w:szCs w:val="24"/>
          <w:lang w:val="en-US"/>
        </w:rPr>
        <w:t>such software is exploited for governmental purposes or there is a good reason to believe that a product contains backdoors, which could be used for concealed data collection or result in data breach, also has a better chance to be justified. Respectively, this would be possible because such DL policy would prevent legal uncertainty caused by software products and benefit IMCs by securing confidential data before the event.</w:t>
      </w:r>
    </w:p>
    <w:p w14:paraId="31DD8037" w14:textId="1F9CA8BA"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As previously described and demonstrated in Figure 1 some features of a DL system might reduce the overall effect of DL, while others worsen its notorious effect. </w:t>
      </w:r>
      <w:proofErr w:type="gramStart"/>
      <w:r w:rsidRPr="00273C6C">
        <w:rPr>
          <w:rFonts w:ascii="Times New Roman" w:hAnsi="Times New Roman" w:cs="Times New Roman"/>
          <w:sz w:val="24"/>
          <w:szCs w:val="24"/>
          <w:lang w:val="en-US"/>
        </w:rPr>
        <w:t>Taking into account</w:t>
      </w:r>
      <w:proofErr w:type="gramEnd"/>
      <w:r w:rsidRPr="00273C6C">
        <w:rPr>
          <w:rFonts w:ascii="Times New Roman" w:hAnsi="Times New Roman" w:cs="Times New Roman"/>
          <w:sz w:val="24"/>
          <w:szCs w:val="24"/>
          <w:lang w:val="en-US"/>
        </w:rPr>
        <w:t xml:space="preserve"> the regulatory principles, the more definitive and precise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DL measure is, the more adequate the link between the measure and the policy objective is, the better a possibility to construct a smarter data regulatory regime. Approaching data regulation as a complex system should result in a highly scrutinized regulatory scheme. This might be more effective compared to binary choices.</w:t>
      </w:r>
    </w:p>
    <w:p w14:paraId="198C9B58" w14:textId="77777777" w:rsidR="00310B95" w:rsidRPr="00273C6C" w:rsidRDefault="00310B95" w:rsidP="002E6BD1">
      <w:pPr>
        <w:pStyle w:val="Heading1"/>
      </w:pPr>
      <w:r w:rsidRPr="00273C6C">
        <w:t xml:space="preserve">Conclusion  </w:t>
      </w:r>
    </w:p>
    <w:p w14:paraId="42303EE2"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Data justice</w:t>
      </w:r>
      <w:r w:rsidRPr="00273C6C">
        <w:rPr>
          <w:rFonts w:ascii="Times New Roman" w:hAnsi="Times New Roman" w:cs="Times New Roman"/>
          <w:sz w:val="24"/>
          <w:szCs w:val="24"/>
          <w:lang w:val="ru-RU"/>
        </w:rPr>
        <w:t xml:space="preserve"> </w:t>
      </w:r>
      <w:r w:rsidRPr="00273C6C">
        <w:rPr>
          <w:rFonts w:ascii="Times New Roman" w:hAnsi="Times New Roman" w:cs="Times New Roman"/>
          <w:sz w:val="24"/>
          <w:szCs w:val="24"/>
          <w:lang w:val="en-US"/>
        </w:rPr>
        <w:t>or balance within the framework of power relations over data</w:t>
      </w:r>
      <w:r w:rsidRPr="00273C6C">
        <w:rPr>
          <w:rFonts w:ascii="Times New Roman" w:hAnsi="Times New Roman" w:cs="Times New Roman"/>
          <w:sz w:val="24"/>
          <w:szCs w:val="24"/>
          <w:lang w:val="ru-RU"/>
        </w:rPr>
        <w:t xml:space="preserve"> </w:t>
      </w:r>
      <w:r w:rsidRPr="00273C6C">
        <w:rPr>
          <w:rFonts w:ascii="Times New Roman" w:hAnsi="Times New Roman" w:cs="Times New Roman"/>
          <w:sz w:val="24"/>
          <w:szCs w:val="24"/>
          <w:lang w:val="en-US"/>
        </w:rPr>
        <w:t xml:space="preserve">is obviously necessary in today’s world, but it is impossible to approach without smart data regulation. </w:t>
      </w:r>
      <w:r>
        <w:rPr>
          <w:rFonts w:ascii="Times New Roman" w:hAnsi="Times New Roman" w:cs="Times New Roman"/>
          <w:sz w:val="24"/>
          <w:szCs w:val="24"/>
          <w:lang w:val="en-US"/>
        </w:rPr>
        <w:t>F</w:t>
      </w:r>
      <w:r w:rsidRPr="00273C6C">
        <w:rPr>
          <w:rFonts w:ascii="Times New Roman" w:hAnsi="Times New Roman" w:cs="Times New Roman"/>
          <w:sz w:val="24"/>
          <w:szCs w:val="24"/>
          <w:lang w:val="en-US"/>
        </w:rPr>
        <w:t xml:space="preserve">ar </w:t>
      </w:r>
      <w:r w:rsidRPr="00273C6C">
        <w:rPr>
          <w:rFonts w:ascii="Times New Roman" w:hAnsi="Times New Roman" w:cs="Times New Roman"/>
          <w:sz w:val="24"/>
          <w:szCs w:val="24"/>
          <w:lang w:val="en-US"/>
        </w:rPr>
        <w:lastRenderedPageBreak/>
        <w:t>from</w:t>
      </w:r>
      <w:r>
        <w:rPr>
          <w:rFonts w:ascii="Times New Roman" w:hAnsi="Times New Roman" w:cs="Times New Roman"/>
          <w:sz w:val="24"/>
          <w:szCs w:val="24"/>
          <w:lang w:val="en-US"/>
        </w:rPr>
        <w:t xml:space="preserve"> being</w:t>
      </w:r>
      <w:r w:rsidRPr="00273C6C">
        <w:rPr>
          <w:rFonts w:ascii="Times New Roman" w:hAnsi="Times New Roman" w:cs="Times New Roman"/>
          <w:sz w:val="24"/>
          <w:szCs w:val="24"/>
          <w:lang w:val="en-US"/>
        </w:rPr>
        <w:t xml:space="preserve"> a fully designed concept, it is plausible to infer that smart data regulation regarding DL should constitute a small-scaled policy based on an adequate number of regulatory tools (variables) with well-defined subject matter (types) rather than extensive and broad regulation. This is more likely to sustain and enrich IMCs, while ensuring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competing interests of all information agents by means of preserving the balance between legally certain regulatory interventions and private autonomy.</w:t>
      </w:r>
    </w:p>
    <w:p w14:paraId="4FE93B9E"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Each detail in a data regulatory mechanism </w:t>
      </w:r>
      <w:proofErr w:type="gramStart"/>
      <w:r w:rsidRPr="00273C6C">
        <w:rPr>
          <w:rFonts w:ascii="Times New Roman" w:hAnsi="Times New Roman" w:cs="Times New Roman"/>
          <w:sz w:val="24"/>
          <w:szCs w:val="24"/>
        </w:rPr>
        <w:t>matters</w:t>
      </w:r>
      <w:proofErr w:type="gramEnd"/>
      <w:r w:rsidRPr="00273C6C">
        <w:rPr>
          <w:rFonts w:ascii="Times New Roman" w:hAnsi="Times New Roman" w:cs="Times New Roman"/>
          <w:sz w:val="24"/>
          <w:szCs w:val="24"/>
        </w:rPr>
        <w:t xml:space="preserve">. From the overall purpose and wording, to technical nature and implementation. By abstracting </w:t>
      </w:r>
      <w:proofErr w:type="gramStart"/>
      <w:r w:rsidRPr="00273C6C">
        <w:rPr>
          <w:rFonts w:ascii="Times New Roman" w:hAnsi="Times New Roman" w:cs="Times New Roman"/>
          <w:sz w:val="24"/>
          <w:szCs w:val="24"/>
        </w:rPr>
        <w:t>elements</w:t>
      </w:r>
      <w:proofErr w:type="gramEnd"/>
      <w:r w:rsidRPr="00273C6C">
        <w:rPr>
          <w:rFonts w:ascii="Times New Roman" w:hAnsi="Times New Roman" w:cs="Times New Roman"/>
          <w:sz w:val="24"/>
          <w:szCs w:val="24"/>
        </w:rPr>
        <w:t xml:space="preserve"> the regulator risks creating expensive, ineffective and damaging regulations resulting in unintended consequences. The regulator has to be sensitive to every action against information flows and provide safety nets as </w:t>
      </w:r>
      <w:r w:rsidRPr="00273C6C">
        <w:rPr>
          <w:rFonts w:ascii="Times New Roman" w:hAnsi="Times New Roman" w:cs="Times New Roman"/>
          <w:sz w:val="24"/>
          <w:szCs w:val="24"/>
          <w:lang w:val="en-US"/>
        </w:rPr>
        <w:t>negligence might result in data injustices and affect societal welfare.</w:t>
      </w:r>
      <w:r w:rsidRPr="00273C6C">
        <w:rPr>
          <w:rFonts w:ascii="Times New Roman" w:hAnsi="Times New Roman" w:cs="Times New Roman"/>
          <w:sz w:val="24"/>
          <w:szCs w:val="24"/>
        </w:rPr>
        <w:br w:type="page"/>
      </w:r>
    </w:p>
    <w:p w14:paraId="41A0FC3B" w14:textId="77777777" w:rsidR="00310B95" w:rsidRPr="00273C6C" w:rsidRDefault="00310B95" w:rsidP="002E6BD1">
      <w:pPr>
        <w:pStyle w:val="Heading1"/>
      </w:pPr>
      <w:bookmarkStart w:id="4" w:name="_GoBack"/>
      <w:r w:rsidRPr="00273C6C">
        <w:lastRenderedPageBreak/>
        <w:t>Reference</w:t>
      </w:r>
      <w:r>
        <w:t>s</w:t>
      </w:r>
    </w:p>
    <w:bookmarkEnd w:id="4"/>
    <w:p w14:paraId="57F9497C"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‘Analiz Sushestvujushih Metodov Upravlenija Dostupom K Internet-Resursam I Rekomendatsii Po Ih Primeneniju’, (</w:t>
      </w:r>
      <w:r w:rsidRPr="00273C6C">
        <w:rPr>
          <w:rFonts w:cs="Times New Roman"/>
          <w:i/>
          <w:sz w:val="24"/>
          <w:szCs w:val="24"/>
        </w:rPr>
        <w:t>Analysis of Existing Methods Regarding Administration of the Access to Internet-Resources and Recommendations on Their Application</w:t>
      </w:r>
      <w:r w:rsidRPr="00273C6C">
        <w:rPr>
          <w:rFonts w:cs="Times New Roman"/>
          <w:sz w:val="24"/>
          <w:szCs w:val="24"/>
        </w:rPr>
        <w:t>). [In Russian]. Official Website of Federal Service for Supervision of Communications, Information Technology and Mass Media, 2013.</w:t>
      </w:r>
    </w:p>
    <w:p w14:paraId="11850306"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Berne Convention for the Protection of Literary and Artistic Works, Sep. 9, 1886, revised at Paris July 24, 1979, 828 U.N.T.S. 221, S. Treaty Doc. No. 99-27, 99th Cong. (1986).</w:t>
      </w:r>
    </w:p>
    <w:p w14:paraId="36D1C304"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Bossche, Peter van den, and Denise Prevost. </w:t>
      </w:r>
      <w:r w:rsidRPr="00273C6C">
        <w:rPr>
          <w:rFonts w:cs="Times New Roman"/>
          <w:i/>
          <w:sz w:val="24"/>
          <w:szCs w:val="24"/>
        </w:rPr>
        <w:t>Essentials of WTO Law</w:t>
      </w:r>
      <w:r>
        <w:rPr>
          <w:rFonts w:cs="Times New Roman"/>
          <w:sz w:val="24"/>
          <w:szCs w:val="24"/>
        </w:rPr>
        <w:t>,</w:t>
      </w:r>
      <w:r w:rsidRPr="00273C6C">
        <w:rPr>
          <w:rFonts w:cs="Times New Roman"/>
          <w:sz w:val="24"/>
          <w:szCs w:val="24"/>
        </w:rPr>
        <w:t xml:space="preserve"> Cambridge: Cambridge University Press, 2016.</w:t>
      </w:r>
    </w:p>
    <w:p w14:paraId="28332F05"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Braithwaite, Valerie. ‘Closing the Gap between Regulation and the Community</w:t>
      </w:r>
      <w:r>
        <w:rPr>
          <w:rFonts w:cs="Times New Roman"/>
          <w:sz w:val="24"/>
          <w:szCs w:val="24"/>
        </w:rPr>
        <w:t>’, in Peter Drahos (ed.),</w:t>
      </w:r>
      <w:r w:rsidRPr="00273C6C">
        <w:rPr>
          <w:rFonts w:cs="Times New Roman"/>
          <w:sz w:val="24"/>
          <w:szCs w:val="24"/>
        </w:rPr>
        <w:t xml:space="preserve"> </w:t>
      </w:r>
      <w:r w:rsidRPr="00273C6C">
        <w:rPr>
          <w:rFonts w:cs="Times New Roman"/>
          <w:i/>
          <w:sz w:val="24"/>
          <w:szCs w:val="24"/>
        </w:rPr>
        <w:t>Regulatory Theory: Foundations and Applications</w:t>
      </w:r>
      <w:r w:rsidRPr="00273C6C">
        <w:rPr>
          <w:rFonts w:cs="Times New Roman"/>
          <w:sz w:val="24"/>
          <w:szCs w:val="24"/>
        </w:rPr>
        <w:t xml:space="preserve">, </w:t>
      </w:r>
      <w:r>
        <w:rPr>
          <w:rFonts w:cs="Times New Roman"/>
          <w:sz w:val="24"/>
          <w:szCs w:val="24"/>
        </w:rPr>
        <w:t>Canberra: ANU Press, 2017.</w:t>
      </w:r>
    </w:p>
    <w:p w14:paraId="4E9F9FF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Chander, Anupam, and Uyên P. Lê. ‘Data Nationalism’</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Emory Law Journal </w:t>
      </w:r>
      <w:r w:rsidRPr="00273C6C">
        <w:rPr>
          <w:rFonts w:cs="Times New Roman"/>
          <w:sz w:val="24"/>
          <w:szCs w:val="24"/>
        </w:rPr>
        <w:t>64</w:t>
      </w:r>
      <w:r>
        <w:rPr>
          <w:rFonts w:cs="Times New Roman"/>
          <w:sz w:val="24"/>
          <w:szCs w:val="24"/>
        </w:rPr>
        <w:t>.3 (</w:t>
      </w:r>
      <w:r w:rsidRPr="00273C6C">
        <w:rPr>
          <w:rFonts w:cs="Times New Roman"/>
          <w:sz w:val="24"/>
          <w:szCs w:val="24"/>
        </w:rPr>
        <w:t>2015).</w:t>
      </w:r>
    </w:p>
    <w:p w14:paraId="5CC9B08F"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‘China Cybersecurity Law Update: Finally, Draft Regulations on “Critical Information Infrastructure”</w:t>
      </w:r>
      <w:r>
        <w:rPr>
          <w:rFonts w:cs="Times New Roman"/>
          <w:sz w:val="24"/>
          <w:szCs w:val="24"/>
        </w:rPr>
        <w:t>’</w:t>
      </w:r>
      <w:r w:rsidRPr="00273C6C">
        <w:rPr>
          <w:rFonts w:cs="Times New Roman"/>
          <w:sz w:val="24"/>
          <w:szCs w:val="24"/>
        </w:rPr>
        <w:t xml:space="preserve">. </w:t>
      </w:r>
      <w:r w:rsidRPr="00273C6C">
        <w:rPr>
          <w:rFonts w:cs="Times New Roman"/>
          <w:i/>
          <w:sz w:val="24"/>
          <w:szCs w:val="24"/>
        </w:rPr>
        <w:t>Bird &amp; Bird News Centre</w:t>
      </w:r>
      <w:r w:rsidRPr="00273C6C">
        <w:rPr>
          <w:rFonts w:cs="Times New Roman"/>
          <w:sz w:val="24"/>
          <w:szCs w:val="24"/>
        </w:rPr>
        <w:t xml:space="preserve">, 2017. </w:t>
      </w:r>
    </w:p>
    <w:p w14:paraId="40873D42"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Clarifying Lawful Overseas Use of Data Act, 18 U.S.C. § 2713 (2018).</w:t>
      </w:r>
    </w:p>
    <w:p w14:paraId="1F45E89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Clark, David D. </w:t>
      </w:r>
      <w:r w:rsidRPr="00273C6C">
        <w:rPr>
          <w:rFonts w:cs="Times New Roman"/>
          <w:i/>
          <w:sz w:val="24"/>
          <w:szCs w:val="24"/>
        </w:rPr>
        <w:t>Designs for an Internet</w:t>
      </w:r>
      <w:r w:rsidRPr="00273C6C">
        <w:rPr>
          <w:rFonts w:cs="Times New Roman"/>
          <w:sz w:val="24"/>
          <w:szCs w:val="24"/>
        </w:rPr>
        <w:t>. 2017.</w:t>
      </w:r>
    </w:p>
    <w:p w14:paraId="57F9AE7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‘Data Localization Snapshot’. Information Technology Industry Council. 2017.</w:t>
      </w:r>
    </w:p>
    <w:p w14:paraId="20A8015A"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Dencik, Lina, Arne Hintz and Jonathan Cable. ‘Towards Data Justice? The Ambiguity of Anti-Surveillance Resistance in Political Activism’</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Big Data &amp; Society </w:t>
      </w:r>
      <w:r w:rsidRPr="00273C6C">
        <w:rPr>
          <w:rFonts w:cs="Times New Roman"/>
          <w:sz w:val="24"/>
          <w:szCs w:val="24"/>
        </w:rPr>
        <w:t>3</w:t>
      </w:r>
      <w:r>
        <w:rPr>
          <w:rFonts w:cs="Times New Roman"/>
          <w:sz w:val="24"/>
          <w:szCs w:val="24"/>
        </w:rPr>
        <w:t>.2 (</w:t>
      </w:r>
      <w:r w:rsidRPr="00273C6C">
        <w:rPr>
          <w:rFonts w:cs="Times New Roman"/>
          <w:sz w:val="24"/>
          <w:szCs w:val="24"/>
        </w:rPr>
        <w:t>2016): 1–12.</w:t>
      </w:r>
    </w:p>
    <w:p w14:paraId="68488A8C"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‘Digital</w:t>
      </w:r>
      <w:r>
        <w:rPr>
          <w:rFonts w:cs="Times New Roman"/>
          <w:sz w:val="24"/>
          <w:szCs w:val="24"/>
        </w:rPr>
        <w:t xml:space="preserve"> C</w:t>
      </w:r>
      <w:r w:rsidRPr="00273C6C">
        <w:rPr>
          <w:rFonts w:cs="Times New Roman"/>
          <w:sz w:val="24"/>
          <w:szCs w:val="24"/>
        </w:rPr>
        <w:t xml:space="preserve">hild Exploitation Filtering System’. The New Zealand Department of Internal Affairs, 2009. </w:t>
      </w:r>
    </w:p>
    <w:p w14:paraId="41F8072F"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Drahos, Peter. </w:t>
      </w:r>
      <w:r w:rsidRPr="00273C6C">
        <w:rPr>
          <w:rFonts w:cs="Times New Roman"/>
          <w:i/>
          <w:sz w:val="24"/>
          <w:szCs w:val="24"/>
        </w:rPr>
        <w:t>A Philosophy of Intellectual Property</w:t>
      </w:r>
      <w:r>
        <w:rPr>
          <w:rFonts w:cs="Times New Roman"/>
          <w:sz w:val="24"/>
          <w:szCs w:val="24"/>
        </w:rPr>
        <w:t>,</w:t>
      </w:r>
      <w:r w:rsidRPr="00273C6C">
        <w:rPr>
          <w:rFonts w:cs="Times New Roman"/>
          <w:sz w:val="24"/>
          <w:szCs w:val="24"/>
        </w:rPr>
        <w:t xml:space="preserve"> Aldershot: Ashgate Publishing Company, 1996.</w:t>
      </w:r>
    </w:p>
    <w:p w14:paraId="6338663F"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Eger, John M. ‘Emerging Restrictions on Transnational Data Flows: Privacy Protection or Non-Tariff Trade Barriers’</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Law &amp; Policy in International Business </w:t>
      </w:r>
      <w:r w:rsidRPr="00273C6C">
        <w:rPr>
          <w:rFonts w:cs="Times New Roman"/>
          <w:sz w:val="24"/>
          <w:szCs w:val="24"/>
        </w:rPr>
        <w:t>10</w:t>
      </w:r>
      <w:r>
        <w:rPr>
          <w:rFonts w:cs="Times New Roman"/>
          <w:sz w:val="24"/>
          <w:szCs w:val="24"/>
        </w:rPr>
        <w:t>.4 (</w:t>
      </w:r>
      <w:r w:rsidRPr="00273C6C">
        <w:rPr>
          <w:rFonts w:cs="Times New Roman"/>
          <w:sz w:val="24"/>
          <w:szCs w:val="24"/>
        </w:rPr>
        <w:t>1978): 1055–103.</w:t>
      </w:r>
    </w:p>
    <w:p w14:paraId="05B7665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‘Encryption Policy in Democratic Regimes: Finding Convergent Paths and Balanced Solutions’. EastWest Institute, 2018. </w:t>
      </w:r>
    </w:p>
    <w:p w14:paraId="67DED1B4"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Federal’nyi Zakon RF </w:t>
      </w:r>
      <w:r w:rsidRPr="00273C6C">
        <w:rPr>
          <w:rFonts w:cs="Times New Roman"/>
          <w:sz w:val="24"/>
          <w:szCs w:val="24"/>
          <w:lang w:val="en-US"/>
        </w:rPr>
        <w:t>o</w:t>
      </w:r>
      <w:r w:rsidRPr="00273C6C">
        <w:rPr>
          <w:rFonts w:cs="Times New Roman"/>
          <w:sz w:val="24"/>
          <w:szCs w:val="24"/>
        </w:rPr>
        <w:t>b Informacii, informacionnyh tehnologijah i o zashite informacii [Federal law of the Russian Federation on Information, Information technologies and Protection of Information], Rossiiskaia Gazeta, July 31, 2006.</w:t>
      </w:r>
    </w:p>
    <w:p w14:paraId="6A1FD103"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Floridi, Luciano. </w:t>
      </w:r>
      <w:r w:rsidRPr="00273C6C">
        <w:rPr>
          <w:rFonts w:cs="Times New Roman"/>
          <w:i/>
          <w:sz w:val="24"/>
          <w:szCs w:val="24"/>
        </w:rPr>
        <w:t>The Ethics of Information</w:t>
      </w:r>
      <w:r>
        <w:rPr>
          <w:rFonts w:cs="Times New Roman"/>
          <w:sz w:val="24"/>
          <w:szCs w:val="24"/>
        </w:rPr>
        <w:t xml:space="preserve">, </w:t>
      </w:r>
      <w:r w:rsidRPr="00273C6C">
        <w:rPr>
          <w:rFonts w:cs="Times New Roman"/>
          <w:sz w:val="24"/>
          <w:szCs w:val="24"/>
        </w:rPr>
        <w:t>Oxford: Oxford University Press, 2013.</w:t>
      </w:r>
    </w:p>
    <w:p w14:paraId="61A24C22"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‘The Method of Levels of Abstraction’</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Minds &amp; Machines </w:t>
      </w:r>
      <w:r w:rsidRPr="00273C6C">
        <w:rPr>
          <w:rFonts w:cs="Times New Roman"/>
          <w:sz w:val="24"/>
          <w:szCs w:val="24"/>
        </w:rPr>
        <w:t>18</w:t>
      </w:r>
      <w:r>
        <w:rPr>
          <w:rFonts w:cs="Times New Roman"/>
          <w:sz w:val="24"/>
          <w:szCs w:val="24"/>
        </w:rPr>
        <w:t>.3 (</w:t>
      </w:r>
      <w:r w:rsidRPr="00273C6C">
        <w:rPr>
          <w:rFonts w:cs="Times New Roman"/>
          <w:sz w:val="24"/>
          <w:szCs w:val="24"/>
        </w:rPr>
        <w:t>2008): 303–29.</w:t>
      </w:r>
    </w:p>
    <w:p w14:paraId="2A4FB1B5"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GATS: General Agreement on Trade in Services, Apr. 15, 1994, Marrakesh Agreement Establishing the World Trade Organization, Annex 1B, 1869 U.N.T.S. 183, 33 I.L.M. 1167 (1994).</w:t>
      </w:r>
    </w:p>
    <w:p w14:paraId="4E61422C"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GATT 1994: General Agreement on Tariffs and Trade 1994, Apr. 15, 1994, Marrakesh Agreement Establishing the World Trade Organization, Annex 1A, 1867 U.N.T.S. 187, 33 I.L.M. 1153 (1994). </w:t>
      </w:r>
    </w:p>
    <w:p w14:paraId="04346E86"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Gervais, Daniel. ‘Regulation of Inchoate Technologies’</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Houston Law Review </w:t>
      </w:r>
      <w:r w:rsidRPr="00273C6C">
        <w:rPr>
          <w:rFonts w:cs="Times New Roman"/>
          <w:sz w:val="24"/>
          <w:szCs w:val="24"/>
        </w:rPr>
        <w:t>47</w:t>
      </w:r>
      <w:r>
        <w:rPr>
          <w:rFonts w:cs="Times New Roman"/>
          <w:sz w:val="24"/>
          <w:szCs w:val="24"/>
        </w:rPr>
        <w:t>.</w:t>
      </w:r>
      <w:r w:rsidRPr="00273C6C">
        <w:rPr>
          <w:rFonts w:cs="Times New Roman"/>
          <w:sz w:val="24"/>
          <w:szCs w:val="24"/>
        </w:rPr>
        <w:t xml:space="preserve">3 </w:t>
      </w:r>
      <w:r>
        <w:rPr>
          <w:rFonts w:cs="Times New Roman"/>
          <w:sz w:val="24"/>
          <w:szCs w:val="24"/>
        </w:rPr>
        <w:t>(</w:t>
      </w:r>
      <w:r w:rsidRPr="00273C6C">
        <w:rPr>
          <w:rFonts w:cs="Times New Roman"/>
          <w:sz w:val="24"/>
          <w:szCs w:val="24"/>
        </w:rPr>
        <w:t>2010): 665–705.</w:t>
      </w:r>
    </w:p>
    <w:p w14:paraId="6A80CAAB"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Hayes, A. Wallace</w:t>
      </w:r>
      <w:r>
        <w:rPr>
          <w:rFonts w:cs="Times New Roman"/>
          <w:sz w:val="24"/>
          <w:szCs w:val="24"/>
        </w:rPr>
        <w:t>.</w:t>
      </w:r>
      <w:r w:rsidRPr="00273C6C">
        <w:rPr>
          <w:rFonts w:cs="Times New Roman"/>
          <w:sz w:val="24"/>
          <w:szCs w:val="24"/>
        </w:rPr>
        <w:t xml:space="preserve"> ‘The Precautionary Principle’, </w:t>
      </w:r>
      <w:r w:rsidRPr="00273C6C">
        <w:rPr>
          <w:rFonts w:cs="Times New Roman"/>
          <w:i/>
          <w:sz w:val="24"/>
          <w:szCs w:val="24"/>
        </w:rPr>
        <w:t>Archives Indus. Hygiene &amp; Toxicology</w:t>
      </w:r>
      <w:r w:rsidRPr="00273C6C">
        <w:rPr>
          <w:rFonts w:cs="Times New Roman"/>
          <w:sz w:val="24"/>
          <w:szCs w:val="24"/>
        </w:rPr>
        <w:t xml:space="preserve"> 56 (2005): 161–166. </w:t>
      </w:r>
    </w:p>
    <w:p w14:paraId="69EBE09A"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Kang, Cicilia, and Katie Benner. ‘Russia Requires Apple and Google to Remove Linkedin from Local App Stores.’ </w:t>
      </w:r>
      <w:r w:rsidRPr="00273C6C">
        <w:rPr>
          <w:rFonts w:cs="Times New Roman"/>
          <w:i/>
          <w:sz w:val="24"/>
          <w:szCs w:val="24"/>
        </w:rPr>
        <w:t>The New York Times</w:t>
      </w:r>
      <w:r w:rsidRPr="00273C6C">
        <w:rPr>
          <w:rFonts w:cs="Times New Roman"/>
          <w:sz w:val="24"/>
          <w:szCs w:val="24"/>
        </w:rPr>
        <w:t>, 6 January 2017.</w:t>
      </w:r>
    </w:p>
    <w:p w14:paraId="19147606"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lastRenderedPageBreak/>
        <w:t xml:space="preserve">Kuchler, Hannah. ‘Microsoft Faces Key Ruling in Data Privacy Case.’ </w:t>
      </w:r>
      <w:r w:rsidRPr="00273C6C">
        <w:rPr>
          <w:rFonts w:cs="Times New Roman"/>
          <w:i/>
          <w:sz w:val="24"/>
          <w:szCs w:val="24"/>
        </w:rPr>
        <w:t>Financial Times</w:t>
      </w:r>
      <w:r w:rsidRPr="00273C6C">
        <w:rPr>
          <w:rFonts w:cs="Times New Roman"/>
          <w:sz w:val="24"/>
          <w:szCs w:val="24"/>
        </w:rPr>
        <w:t>, 17 October 2017.</w:t>
      </w:r>
    </w:p>
    <w:p w14:paraId="4100843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Kuner, Christopher. ‘Data Nationalism and Its Discontents’</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Emory Law Journal </w:t>
      </w:r>
      <w:r w:rsidRPr="00273C6C">
        <w:rPr>
          <w:rFonts w:cs="Times New Roman"/>
          <w:sz w:val="24"/>
          <w:szCs w:val="24"/>
        </w:rPr>
        <w:t>64 (2015): 2089–98.</w:t>
      </w:r>
    </w:p>
    <w:p w14:paraId="4BDE23FA"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Landler, Mark, and John Markoff. ‘Digital Fears Emerge after Data Siege in Estonia.</w:t>
      </w:r>
      <w:r>
        <w:rPr>
          <w:rFonts w:cs="Times New Roman"/>
          <w:sz w:val="24"/>
          <w:szCs w:val="24"/>
        </w:rPr>
        <w:t>’</w:t>
      </w:r>
      <w:r w:rsidRPr="00273C6C">
        <w:rPr>
          <w:rFonts w:cs="Times New Roman"/>
          <w:sz w:val="24"/>
          <w:szCs w:val="24"/>
        </w:rPr>
        <w:t xml:space="preserve"> </w:t>
      </w:r>
      <w:r w:rsidRPr="00273C6C">
        <w:rPr>
          <w:rFonts w:cs="Times New Roman"/>
          <w:i/>
          <w:sz w:val="24"/>
          <w:szCs w:val="24"/>
        </w:rPr>
        <w:t>The New York Times</w:t>
      </w:r>
      <w:r w:rsidRPr="00273C6C">
        <w:rPr>
          <w:rFonts w:cs="Times New Roman"/>
          <w:sz w:val="24"/>
          <w:szCs w:val="24"/>
        </w:rPr>
        <w:t>, 29 May 2007.</w:t>
      </w:r>
    </w:p>
    <w:p w14:paraId="2417056A"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Lapowsky, Issie. ‘Voice Chat App Zello Turned a Blind Eye to Jihadis for Years.’ </w:t>
      </w:r>
      <w:r w:rsidRPr="00273C6C">
        <w:rPr>
          <w:rFonts w:cs="Times New Roman"/>
          <w:i/>
          <w:sz w:val="24"/>
          <w:szCs w:val="24"/>
        </w:rPr>
        <w:t>WIRED</w:t>
      </w:r>
      <w:r w:rsidRPr="00273C6C">
        <w:rPr>
          <w:rFonts w:cs="Times New Roman"/>
          <w:sz w:val="24"/>
          <w:szCs w:val="24"/>
        </w:rPr>
        <w:t>, 16 March 2018.</w:t>
      </w:r>
    </w:p>
    <w:p w14:paraId="223773F3"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‘Linkedin to Be Blocked in Russia’. </w:t>
      </w:r>
      <w:r w:rsidRPr="00273C6C">
        <w:rPr>
          <w:rFonts w:cs="Times New Roman"/>
          <w:i/>
          <w:sz w:val="24"/>
          <w:szCs w:val="24"/>
        </w:rPr>
        <w:t>RAPSI</w:t>
      </w:r>
      <w:r w:rsidRPr="00273C6C">
        <w:rPr>
          <w:rFonts w:cs="Times New Roman"/>
          <w:sz w:val="24"/>
          <w:szCs w:val="24"/>
        </w:rPr>
        <w:t>, 10 November 2016.</w:t>
      </w:r>
    </w:p>
    <w:p w14:paraId="4467ECD8"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Livingston, Scott, and Graham Greenleaf. ‘Data Localisation in China and Other APEC Jurisdictions’</w:t>
      </w:r>
      <w:r>
        <w:rPr>
          <w:rFonts w:cs="Times New Roman"/>
          <w:sz w:val="24"/>
          <w:szCs w:val="24"/>
        </w:rPr>
        <w:t>,</w:t>
      </w:r>
      <w:r w:rsidRPr="00273C6C">
        <w:rPr>
          <w:rFonts w:cs="Times New Roman"/>
          <w:sz w:val="24"/>
          <w:szCs w:val="24"/>
        </w:rPr>
        <w:t xml:space="preserve"> </w:t>
      </w:r>
      <w:r w:rsidRPr="00273C6C">
        <w:rPr>
          <w:rFonts w:cs="Times New Roman"/>
          <w:i/>
          <w:sz w:val="24"/>
          <w:szCs w:val="24"/>
        </w:rPr>
        <w:t>Privacy Laws &amp; Business International Report</w:t>
      </w:r>
      <w:r>
        <w:rPr>
          <w:rFonts w:cs="Times New Roman"/>
          <w:sz w:val="24"/>
          <w:szCs w:val="24"/>
        </w:rPr>
        <w:t xml:space="preserve"> 143 (</w:t>
      </w:r>
      <w:r w:rsidRPr="00273C6C">
        <w:rPr>
          <w:rFonts w:cs="Times New Roman"/>
          <w:sz w:val="24"/>
          <w:szCs w:val="24"/>
        </w:rPr>
        <w:t>2016): 22–26.</w:t>
      </w:r>
    </w:p>
    <w:p w14:paraId="61F603D1"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McMillan, Robert, and Tripp Mickle. ‘Apple to Start Putting Sensitive Encryption Keys in China.’ </w:t>
      </w:r>
      <w:r w:rsidRPr="00273C6C">
        <w:rPr>
          <w:rFonts w:cs="Times New Roman"/>
          <w:i/>
          <w:sz w:val="24"/>
          <w:szCs w:val="24"/>
        </w:rPr>
        <w:t>Wall Street Journal</w:t>
      </w:r>
      <w:r w:rsidRPr="00273C6C">
        <w:rPr>
          <w:rFonts w:cs="Times New Roman"/>
          <w:sz w:val="24"/>
          <w:szCs w:val="24"/>
        </w:rPr>
        <w:t>, 24 February 2018.</w:t>
      </w:r>
    </w:p>
    <w:p w14:paraId="35FD519A"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Mozur, Paul, Daisuke Wakabayashi, and Nick Wingfield. ‘Apple Opening Data Center in China to Comply with Cybersecurity Law.’ </w:t>
      </w:r>
      <w:r w:rsidRPr="00273C6C">
        <w:rPr>
          <w:rFonts w:cs="Times New Roman"/>
          <w:i/>
          <w:sz w:val="24"/>
          <w:szCs w:val="24"/>
        </w:rPr>
        <w:t>The New York Times</w:t>
      </w:r>
      <w:r w:rsidRPr="00273C6C">
        <w:rPr>
          <w:rFonts w:cs="Times New Roman"/>
          <w:sz w:val="24"/>
          <w:szCs w:val="24"/>
        </w:rPr>
        <w:t>, 12 July 2017.</w:t>
      </w:r>
    </w:p>
    <w:p w14:paraId="52305145"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Murdock, Jason. ‘U.S. Marines Email Leak Exposes Secrets of 21,000 Soldiers, Civilians.’ </w:t>
      </w:r>
      <w:r w:rsidRPr="00273C6C">
        <w:rPr>
          <w:rFonts w:cs="Times New Roman"/>
          <w:i/>
          <w:sz w:val="24"/>
          <w:szCs w:val="24"/>
        </w:rPr>
        <w:t>Newsweek</w:t>
      </w:r>
      <w:r w:rsidRPr="00273C6C">
        <w:rPr>
          <w:rFonts w:cs="Times New Roman"/>
          <w:sz w:val="24"/>
          <w:szCs w:val="24"/>
        </w:rPr>
        <w:t>, 1 March 2018.</w:t>
      </w:r>
    </w:p>
    <w:p w14:paraId="22AA931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‘New Legislation Regulating Cyber Security and the Internet in Russia’. </w:t>
      </w:r>
      <w:r w:rsidRPr="00273C6C">
        <w:rPr>
          <w:rFonts w:cs="Times New Roman"/>
          <w:i/>
          <w:sz w:val="24"/>
          <w:szCs w:val="24"/>
        </w:rPr>
        <w:t>Clifford Chance Resources</w:t>
      </w:r>
      <w:r w:rsidRPr="00273C6C">
        <w:rPr>
          <w:rFonts w:cs="Times New Roman"/>
          <w:sz w:val="24"/>
          <w:szCs w:val="24"/>
        </w:rPr>
        <w:t>. 2017.</w:t>
      </w:r>
    </w:p>
    <w:p w14:paraId="04DAB194"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Peng, Shin-yi, and Han-wei Liu. ‘The Legality of Data Residency Requirements: How Can the Trans-Pacific Partnership Help?’</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Journal of World Trade </w:t>
      </w:r>
      <w:r w:rsidRPr="00273C6C">
        <w:rPr>
          <w:rFonts w:cs="Times New Roman"/>
          <w:sz w:val="24"/>
          <w:szCs w:val="24"/>
        </w:rPr>
        <w:t>51</w:t>
      </w:r>
      <w:r>
        <w:rPr>
          <w:rFonts w:cs="Times New Roman"/>
          <w:sz w:val="24"/>
          <w:szCs w:val="24"/>
        </w:rPr>
        <w:t>.2 (</w:t>
      </w:r>
      <w:r w:rsidRPr="00273C6C">
        <w:rPr>
          <w:rFonts w:cs="Times New Roman"/>
          <w:sz w:val="24"/>
          <w:szCs w:val="24"/>
        </w:rPr>
        <w:t>2017): 183–204.</w:t>
      </w:r>
    </w:p>
    <w:p w14:paraId="54DB3FC6"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Perez-Pena, Richard and Matthew Rosenberg. ‘Strava Fitness App Can Reveal Military Sites, Analysts Say’. </w:t>
      </w:r>
      <w:r w:rsidRPr="00273C6C">
        <w:rPr>
          <w:rFonts w:cs="Times New Roman"/>
          <w:i/>
          <w:sz w:val="24"/>
          <w:szCs w:val="24"/>
        </w:rPr>
        <w:t>The New York Times</w:t>
      </w:r>
      <w:r w:rsidRPr="00273C6C">
        <w:rPr>
          <w:rFonts w:cs="Times New Roman"/>
          <w:sz w:val="24"/>
          <w:szCs w:val="24"/>
        </w:rPr>
        <w:t>, 29 January 2018.</w:t>
      </w:r>
    </w:p>
    <w:p w14:paraId="7A2A73E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‘Principles for Good Governance of Regulators (Public Consultation Draft)’. Organisation for Economic Co-operation and Development, 2013.</w:t>
      </w:r>
    </w:p>
    <w:p w14:paraId="49AE6BF8"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‘Rethinking Data, Geography, and Jurisdiction: Towards a Common Framework for Harmonizing Global Data Flow Controls’. New America, 2018. </w:t>
      </w:r>
    </w:p>
    <w:p w14:paraId="4370E255"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‘Russia's “Big Brother Law” to Cost Telecoms $154bln – Report’. </w:t>
      </w:r>
      <w:r w:rsidRPr="00273C6C">
        <w:rPr>
          <w:rFonts w:cs="Times New Roman"/>
          <w:i/>
          <w:sz w:val="24"/>
          <w:szCs w:val="24"/>
        </w:rPr>
        <w:t>The Moscow Times</w:t>
      </w:r>
      <w:r w:rsidRPr="00273C6C">
        <w:rPr>
          <w:rFonts w:cs="Times New Roman"/>
          <w:sz w:val="24"/>
          <w:szCs w:val="24"/>
        </w:rPr>
        <w:t>. 26 August 2016.</w:t>
      </w:r>
    </w:p>
    <w:p w14:paraId="5CA7BD87"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Selby, John. ‘Data Localization Laws: Trade Barriers or Legitimate Responses to Cybersecurity Risks, or Both?’</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International Journal of Law and Information Technology </w:t>
      </w:r>
      <w:r w:rsidRPr="00273C6C">
        <w:rPr>
          <w:rFonts w:cs="Times New Roman"/>
          <w:sz w:val="24"/>
          <w:szCs w:val="24"/>
        </w:rPr>
        <w:t>25</w:t>
      </w:r>
      <w:r>
        <w:rPr>
          <w:rFonts w:cs="Times New Roman"/>
          <w:sz w:val="24"/>
          <w:szCs w:val="24"/>
        </w:rPr>
        <w:t>.3 (</w:t>
      </w:r>
      <w:r w:rsidRPr="00273C6C">
        <w:rPr>
          <w:rFonts w:cs="Times New Roman"/>
          <w:sz w:val="24"/>
          <w:szCs w:val="24"/>
        </w:rPr>
        <w:t>2017): 213–32.</w:t>
      </w:r>
    </w:p>
    <w:p w14:paraId="2A1EDE67"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Taylor, Linnet. ‘What Is Data Justice? The Case for Connecting Digital Rights and Freedoms Globally’</w:t>
      </w:r>
      <w:r>
        <w:rPr>
          <w:rFonts w:cs="Times New Roman"/>
          <w:sz w:val="24"/>
          <w:szCs w:val="24"/>
        </w:rPr>
        <w:t xml:space="preserve">, </w:t>
      </w:r>
      <w:r w:rsidRPr="00273C6C">
        <w:rPr>
          <w:rFonts w:cs="Times New Roman"/>
          <w:i/>
          <w:sz w:val="24"/>
          <w:szCs w:val="24"/>
        </w:rPr>
        <w:t xml:space="preserve">Big Data &amp; Society </w:t>
      </w:r>
      <w:r w:rsidRPr="00273C6C">
        <w:rPr>
          <w:rFonts w:cs="Times New Roman"/>
          <w:sz w:val="24"/>
          <w:szCs w:val="24"/>
        </w:rPr>
        <w:t>4</w:t>
      </w:r>
      <w:r>
        <w:rPr>
          <w:rFonts w:cs="Times New Roman"/>
          <w:sz w:val="24"/>
          <w:szCs w:val="24"/>
        </w:rPr>
        <w:t>.2 (</w:t>
      </w:r>
      <w:r w:rsidRPr="00273C6C">
        <w:rPr>
          <w:rFonts w:cs="Times New Roman"/>
          <w:sz w:val="24"/>
          <w:szCs w:val="24"/>
        </w:rPr>
        <w:t>2017): 1–14.</w:t>
      </w:r>
    </w:p>
    <w:p w14:paraId="7D46E0A4"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‘Telegram Loses Bid to Block Russia from Encryption Keys’. </w:t>
      </w:r>
      <w:r w:rsidRPr="00273C6C">
        <w:rPr>
          <w:rFonts w:cs="Times New Roman"/>
          <w:i/>
          <w:sz w:val="24"/>
          <w:szCs w:val="24"/>
          <w:lang w:val="en-US"/>
        </w:rPr>
        <w:t>Bloomberg.</w:t>
      </w:r>
      <w:r w:rsidRPr="00273C6C">
        <w:rPr>
          <w:rFonts w:cs="Times New Roman"/>
          <w:sz w:val="24"/>
          <w:szCs w:val="24"/>
        </w:rPr>
        <w:t xml:space="preserve"> 21 March 2018.</w:t>
      </w:r>
    </w:p>
    <w:p w14:paraId="232501DE"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Toor, Amar. ‘This Twitter Bot Is Tracking Dictators' Flights in and out of Geneva’. </w:t>
      </w:r>
      <w:r w:rsidRPr="00273C6C">
        <w:rPr>
          <w:rFonts w:cs="Times New Roman"/>
          <w:i/>
          <w:sz w:val="24"/>
          <w:szCs w:val="24"/>
        </w:rPr>
        <w:t>The Verge</w:t>
      </w:r>
      <w:r w:rsidRPr="00273C6C">
        <w:rPr>
          <w:rFonts w:cs="Times New Roman"/>
          <w:sz w:val="24"/>
          <w:szCs w:val="24"/>
        </w:rPr>
        <w:t>. 16 October 2016.</w:t>
      </w:r>
    </w:p>
    <w:p w14:paraId="5DC57917"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‘United States v. Microsoft Corp.’. </w:t>
      </w:r>
      <w:r w:rsidRPr="00273C6C">
        <w:rPr>
          <w:rFonts w:cs="Times New Roman"/>
          <w:i/>
          <w:sz w:val="24"/>
          <w:szCs w:val="24"/>
        </w:rPr>
        <w:t>SCOTUSblog</w:t>
      </w:r>
      <w:r w:rsidRPr="00273C6C">
        <w:rPr>
          <w:rFonts w:cs="Times New Roman"/>
          <w:sz w:val="24"/>
          <w:szCs w:val="24"/>
        </w:rPr>
        <w:t>. 2017.</w:t>
      </w:r>
    </w:p>
    <w:p w14:paraId="7BC34038"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‘United States v. Microsoft Corporation (Oral Argument Transcription)’. Supreme Court of the United States. </w:t>
      </w:r>
      <w:r w:rsidRPr="00273C6C">
        <w:rPr>
          <w:rFonts w:cs="Times New Roman"/>
          <w:i/>
          <w:sz w:val="24"/>
          <w:szCs w:val="24"/>
        </w:rPr>
        <w:t>Official Website</w:t>
      </w:r>
      <w:r w:rsidRPr="00273C6C">
        <w:rPr>
          <w:rFonts w:cs="Times New Roman"/>
          <w:sz w:val="24"/>
          <w:szCs w:val="24"/>
        </w:rPr>
        <w:t>. 2018.</w:t>
      </w:r>
    </w:p>
    <w:p w14:paraId="0C838E85"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Waters, Richard. ‘Microsoft Setback in Cloud Era Test Case.’ </w:t>
      </w:r>
      <w:r w:rsidRPr="00273C6C">
        <w:rPr>
          <w:rFonts w:cs="Times New Roman"/>
          <w:i/>
          <w:sz w:val="24"/>
          <w:szCs w:val="24"/>
        </w:rPr>
        <w:t>Financial Times</w:t>
      </w:r>
      <w:r w:rsidRPr="00273C6C">
        <w:rPr>
          <w:rFonts w:cs="Times New Roman"/>
          <w:sz w:val="24"/>
          <w:szCs w:val="24"/>
        </w:rPr>
        <w:t>, 1 August 2014.</w:t>
      </w:r>
    </w:p>
    <w:p w14:paraId="2DFF46A1"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 ‘Microsoft Wins Battle with Us over Data Privacy.’ </w:t>
      </w:r>
      <w:r w:rsidRPr="00273C6C">
        <w:rPr>
          <w:rFonts w:cs="Times New Roman"/>
          <w:i/>
          <w:sz w:val="24"/>
          <w:szCs w:val="24"/>
        </w:rPr>
        <w:t>Financial Times</w:t>
      </w:r>
      <w:r w:rsidRPr="00273C6C">
        <w:rPr>
          <w:rFonts w:cs="Times New Roman"/>
          <w:sz w:val="24"/>
          <w:szCs w:val="24"/>
        </w:rPr>
        <w:t>, 15 July 2016.</w:t>
      </w:r>
    </w:p>
    <w:p w14:paraId="35455ED0"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Westin, Alan F. </w:t>
      </w:r>
      <w:r w:rsidRPr="00273C6C">
        <w:rPr>
          <w:rFonts w:cs="Times New Roman"/>
          <w:i/>
          <w:sz w:val="24"/>
          <w:szCs w:val="24"/>
        </w:rPr>
        <w:t>Privacy and Freedom</w:t>
      </w:r>
      <w:r>
        <w:rPr>
          <w:rFonts w:cs="Times New Roman"/>
          <w:sz w:val="24"/>
          <w:szCs w:val="24"/>
        </w:rPr>
        <w:t>,</w:t>
      </w:r>
      <w:r w:rsidRPr="00273C6C">
        <w:rPr>
          <w:rFonts w:cs="Times New Roman"/>
          <w:sz w:val="24"/>
          <w:szCs w:val="24"/>
        </w:rPr>
        <w:t xml:space="preserve"> New York: Atheneum, 1967.</w:t>
      </w:r>
    </w:p>
    <w:p w14:paraId="4153209D"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‘Work Programme on Electronic Commerce. Removing Cyberspace Trade Barriers: Towards a Digital Trade Environment with Reciprocally Equal Access. Non-Paper from the Separate Customs Territory of Taiwan, Penghu, Kinmen and Matsu’. General Council, Council for Trade in Goods, Council for Trade in Services, Council for Trade-Related Aspects of Intellectual Property Rights, Committee on Trade and Development. ‘2018. </w:t>
      </w:r>
    </w:p>
    <w:p w14:paraId="2D16F2B7"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lastRenderedPageBreak/>
        <w:t>WTO Agreement: Marrakesh Agreement Establishing the World Trade Organization, Apr. 15, 1994, 1867 U.N.T.S. 154, 33 I.L.M. 1144 (1994).</w:t>
      </w:r>
    </w:p>
    <w:p w14:paraId="646A1B7D" w14:textId="77777777" w:rsidR="00310B95" w:rsidRPr="00273C6C" w:rsidRDefault="00310B95" w:rsidP="00310B95">
      <w:pPr>
        <w:pStyle w:val="EndNoteBibliography"/>
        <w:spacing w:after="0"/>
        <w:ind w:left="567" w:hanging="567"/>
        <w:rPr>
          <w:rFonts w:cs="Times New Roman"/>
          <w:sz w:val="24"/>
          <w:szCs w:val="24"/>
        </w:rPr>
      </w:pPr>
    </w:p>
    <w:p w14:paraId="55AD6F6A" w14:textId="77777777" w:rsidR="00310B95" w:rsidRPr="00273C6C" w:rsidRDefault="00310B95" w:rsidP="00310B95">
      <w:pPr>
        <w:spacing w:after="0" w:line="240" w:lineRule="auto"/>
        <w:ind w:left="567" w:hanging="567"/>
        <w:rPr>
          <w:rFonts w:ascii="Times New Roman" w:hAnsi="Times New Roman" w:cs="Times New Roman"/>
          <w:sz w:val="24"/>
          <w:szCs w:val="24"/>
        </w:rPr>
      </w:pPr>
    </w:p>
    <w:p w14:paraId="799809A6" w14:textId="77777777" w:rsidR="00310B95" w:rsidRDefault="00310B95" w:rsidP="00310B95">
      <w:pPr>
        <w:spacing w:after="0" w:line="240" w:lineRule="auto"/>
        <w:rPr>
          <w:rFonts w:ascii="Times New Roman" w:hAnsi="Times New Roman" w:cs="Times New Roman"/>
          <w:b/>
          <w:sz w:val="24"/>
          <w:szCs w:val="24"/>
        </w:rPr>
      </w:pPr>
    </w:p>
    <w:p w14:paraId="58B724D5" w14:textId="77777777" w:rsidR="00310B95" w:rsidRDefault="00310B95" w:rsidP="00310B95">
      <w:pPr>
        <w:spacing w:after="0" w:line="240" w:lineRule="auto"/>
        <w:rPr>
          <w:rFonts w:ascii="Times New Roman" w:hAnsi="Times New Roman" w:cs="Times New Roman"/>
          <w:b/>
          <w:sz w:val="24"/>
          <w:szCs w:val="24"/>
        </w:rPr>
      </w:pPr>
    </w:p>
    <w:p w14:paraId="050CDF37" w14:textId="77777777" w:rsidR="00310B95" w:rsidRDefault="00310B95" w:rsidP="00310B95">
      <w:pPr>
        <w:spacing w:after="0" w:line="240" w:lineRule="auto"/>
        <w:rPr>
          <w:rFonts w:ascii="Times New Roman" w:hAnsi="Times New Roman" w:cs="Times New Roman"/>
          <w:b/>
          <w:sz w:val="24"/>
          <w:szCs w:val="24"/>
        </w:rPr>
      </w:pPr>
    </w:p>
    <w:p w14:paraId="59DC00AB" w14:textId="77777777" w:rsidR="00310B95" w:rsidRDefault="00310B95" w:rsidP="00310B95">
      <w:pPr>
        <w:spacing w:after="0" w:line="240" w:lineRule="auto"/>
        <w:rPr>
          <w:rFonts w:ascii="Times New Roman" w:hAnsi="Times New Roman" w:cs="Times New Roman"/>
          <w:b/>
          <w:sz w:val="24"/>
          <w:szCs w:val="24"/>
        </w:rPr>
      </w:pPr>
    </w:p>
    <w:p w14:paraId="68128918" w14:textId="77777777" w:rsidR="00310B95" w:rsidRDefault="00310B95" w:rsidP="00310B95">
      <w:pPr>
        <w:spacing w:after="0" w:line="240" w:lineRule="auto"/>
        <w:rPr>
          <w:rFonts w:ascii="Times New Roman" w:hAnsi="Times New Roman" w:cs="Times New Roman"/>
          <w:b/>
          <w:sz w:val="24"/>
          <w:szCs w:val="24"/>
        </w:rPr>
      </w:pPr>
    </w:p>
    <w:p w14:paraId="2A2249EB" w14:textId="77777777" w:rsidR="00310B95" w:rsidRDefault="00310B95" w:rsidP="00310B95">
      <w:pPr>
        <w:spacing w:after="0" w:line="240" w:lineRule="auto"/>
        <w:rPr>
          <w:rFonts w:ascii="Times New Roman" w:hAnsi="Times New Roman" w:cs="Times New Roman"/>
          <w:b/>
          <w:sz w:val="24"/>
          <w:szCs w:val="24"/>
        </w:rPr>
      </w:pPr>
    </w:p>
    <w:p w14:paraId="007A7AF1" w14:textId="77777777" w:rsidR="00310B95" w:rsidRDefault="00310B95" w:rsidP="00310B95">
      <w:pPr>
        <w:spacing w:after="0" w:line="240" w:lineRule="auto"/>
        <w:rPr>
          <w:rFonts w:ascii="Times New Roman" w:hAnsi="Times New Roman" w:cs="Times New Roman"/>
          <w:b/>
          <w:sz w:val="24"/>
          <w:szCs w:val="24"/>
        </w:rPr>
      </w:pPr>
    </w:p>
    <w:p w14:paraId="75CB165C" w14:textId="77777777" w:rsidR="00310B95" w:rsidRDefault="00310B95" w:rsidP="00310B95">
      <w:pPr>
        <w:spacing w:after="0" w:line="240" w:lineRule="auto"/>
        <w:rPr>
          <w:rFonts w:ascii="Times New Roman" w:hAnsi="Times New Roman" w:cs="Times New Roman"/>
          <w:b/>
          <w:sz w:val="24"/>
          <w:szCs w:val="24"/>
        </w:rPr>
      </w:pPr>
    </w:p>
    <w:p w14:paraId="0B25CB13" w14:textId="77777777" w:rsidR="00310B95" w:rsidRDefault="00310B95" w:rsidP="00310B95">
      <w:pPr>
        <w:spacing w:after="0" w:line="240" w:lineRule="auto"/>
        <w:rPr>
          <w:rFonts w:ascii="Times New Roman" w:hAnsi="Times New Roman" w:cs="Times New Roman"/>
          <w:b/>
          <w:sz w:val="24"/>
          <w:szCs w:val="24"/>
        </w:rPr>
      </w:pPr>
    </w:p>
    <w:p w14:paraId="43EC5C76" w14:textId="77777777" w:rsidR="00310B95" w:rsidRDefault="00310B95" w:rsidP="00310B95">
      <w:pPr>
        <w:spacing w:after="0" w:line="240" w:lineRule="auto"/>
        <w:rPr>
          <w:rFonts w:ascii="Times New Roman" w:hAnsi="Times New Roman" w:cs="Times New Roman"/>
          <w:b/>
          <w:sz w:val="24"/>
          <w:szCs w:val="24"/>
        </w:rPr>
      </w:pPr>
    </w:p>
    <w:p w14:paraId="5DA3FC6C" w14:textId="77777777" w:rsidR="00310B95" w:rsidRDefault="00310B95" w:rsidP="00310B95">
      <w:pPr>
        <w:spacing w:line="240" w:lineRule="auto"/>
        <w:rPr>
          <w:rFonts w:ascii="Times New Roman" w:hAnsi="Times New Roman" w:cs="Times New Roman"/>
          <w:b/>
          <w:sz w:val="24"/>
          <w:szCs w:val="24"/>
        </w:rPr>
      </w:pPr>
    </w:p>
    <w:p w14:paraId="7717A81A" w14:textId="77777777" w:rsidR="00310B95" w:rsidRDefault="00310B95" w:rsidP="00310B95">
      <w:pPr>
        <w:spacing w:line="240" w:lineRule="auto"/>
        <w:rPr>
          <w:rFonts w:ascii="Times New Roman" w:hAnsi="Times New Roman" w:cs="Times New Roman"/>
          <w:b/>
          <w:sz w:val="24"/>
          <w:szCs w:val="24"/>
        </w:rPr>
      </w:pPr>
    </w:p>
    <w:p w14:paraId="6198EAB9" w14:textId="77777777" w:rsidR="00310B95" w:rsidRDefault="00310B95" w:rsidP="00310B95">
      <w:pPr>
        <w:spacing w:line="240" w:lineRule="auto"/>
        <w:rPr>
          <w:rFonts w:ascii="Times New Roman" w:hAnsi="Times New Roman" w:cs="Times New Roman"/>
          <w:b/>
          <w:sz w:val="24"/>
          <w:szCs w:val="24"/>
        </w:rPr>
      </w:pPr>
    </w:p>
    <w:p w14:paraId="4271B005" w14:textId="77777777" w:rsidR="00310B95" w:rsidRDefault="00310B95" w:rsidP="00310B95">
      <w:pPr>
        <w:spacing w:line="240" w:lineRule="auto"/>
        <w:rPr>
          <w:rFonts w:ascii="Times New Roman" w:hAnsi="Times New Roman" w:cs="Times New Roman"/>
          <w:b/>
          <w:sz w:val="24"/>
          <w:szCs w:val="24"/>
        </w:rPr>
      </w:pPr>
    </w:p>
    <w:p w14:paraId="1E7A907A" w14:textId="77777777" w:rsidR="00310B95" w:rsidRDefault="00310B95" w:rsidP="00310B95">
      <w:pPr>
        <w:spacing w:line="240" w:lineRule="auto"/>
        <w:rPr>
          <w:rFonts w:ascii="Times New Roman" w:hAnsi="Times New Roman" w:cs="Times New Roman"/>
          <w:b/>
          <w:sz w:val="24"/>
          <w:szCs w:val="24"/>
        </w:rPr>
      </w:pPr>
    </w:p>
    <w:p w14:paraId="0DBD9A2B" w14:textId="77777777" w:rsidR="002031BE" w:rsidRDefault="006A6614"/>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D26B6" w14:textId="77777777" w:rsidR="006A6614" w:rsidRDefault="006A6614" w:rsidP="00310B95">
      <w:pPr>
        <w:spacing w:after="0" w:line="240" w:lineRule="auto"/>
      </w:pPr>
      <w:r>
        <w:separator/>
      </w:r>
    </w:p>
  </w:endnote>
  <w:endnote w:type="continuationSeparator" w:id="0">
    <w:p w14:paraId="3907B45B" w14:textId="77777777" w:rsidR="006A6614" w:rsidRDefault="006A6614" w:rsidP="0031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8E779" w14:textId="77777777" w:rsidR="006A6614" w:rsidRDefault="006A6614" w:rsidP="00310B95">
      <w:pPr>
        <w:spacing w:after="0" w:line="240" w:lineRule="auto"/>
      </w:pPr>
      <w:r>
        <w:separator/>
      </w:r>
    </w:p>
  </w:footnote>
  <w:footnote w:type="continuationSeparator" w:id="0">
    <w:p w14:paraId="716EAD70" w14:textId="77777777" w:rsidR="006A6614" w:rsidRDefault="006A6614" w:rsidP="00310B95">
      <w:pPr>
        <w:spacing w:after="0" w:line="240" w:lineRule="auto"/>
      </w:pPr>
      <w:r>
        <w:continuationSeparator/>
      </w:r>
    </w:p>
  </w:footnote>
  <w:footnote w:id="1">
    <w:p w14:paraId="2BB5AE56"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t>*</w:t>
      </w:r>
      <w:r w:rsidRPr="008B2A01">
        <w:rPr>
          <w:rFonts w:cs="Times New Roman"/>
          <w:color w:val="auto"/>
        </w:rPr>
        <w:t xml:space="preserve"> PhD Candidate, Victoria University of Wellington. I wish to thank Professor Susy Frankel and Dr Mark Bennett for suggesting improvements to this chapter. </w:t>
      </w:r>
    </w:p>
  </w:footnote>
  <w:footnote w:id="2">
    <w:p w14:paraId="73EDD781"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World Wide Web and email services based on a client-server model and peer-to-peer applications imply among other things the work of physical components (e.g. processors, storage devices). See </w:t>
      </w:r>
      <w:r w:rsidRPr="008B2A01">
        <w:rPr>
          <w:rFonts w:cs="Times New Roman"/>
          <w:noProof/>
          <w:color w:val="auto"/>
        </w:rPr>
        <w:t xml:space="preserve">David D. Clark, </w:t>
      </w:r>
      <w:r>
        <w:rPr>
          <w:rFonts w:cs="Times New Roman"/>
          <w:noProof/>
          <w:color w:val="auto"/>
        </w:rPr>
        <w:t>‘</w:t>
      </w:r>
      <w:r w:rsidRPr="008B2A01">
        <w:rPr>
          <w:rFonts w:cs="Times New Roman"/>
          <w:noProof/>
          <w:color w:val="auto"/>
        </w:rPr>
        <w:t>Designs for an Internet</w:t>
      </w:r>
      <w:r>
        <w:rPr>
          <w:rFonts w:cs="Times New Roman"/>
          <w:noProof/>
          <w:color w:val="auto"/>
        </w:rPr>
        <w:t>’</w:t>
      </w:r>
      <w:r w:rsidRPr="008B2A01">
        <w:rPr>
          <w:rFonts w:cs="Times New Roman"/>
          <w:noProof/>
          <w:color w:val="auto"/>
        </w:rPr>
        <w:t xml:space="preserve"> (2017)</w:t>
      </w:r>
      <w:r>
        <w:rPr>
          <w:rFonts w:cs="Times New Roman"/>
          <w:noProof/>
          <w:color w:val="auto"/>
        </w:rPr>
        <w:t>:</w:t>
      </w:r>
      <w:r w:rsidRPr="008B2A01">
        <w:rPr>
          <w:rFonts w:cs="Times New Roman"/>
          <w:noProof/>
          <w:color w:val="auto"/>
        </w:rPr>
        <w:t xml:space="preserve"> </w:t>
      </w:r>
      <w:r>
        <w:rPr>
          <w:rFonts w:cs="Times New Roman"/>
          <w:noProof/>
          <w:color w:val="auto"/>
        </w:rPr>
        <w:t xml:space="preserve">pp. </w:t>
      </w:r>
      <w:r w:rsidRPr="008B2A01">
        <w:rPr>
          <w:rFonts w:cs="Times New Roman"/>
          <w:noProof/>
          <w:color w:val="auto"/>
        </w:rPr>
        <w:t>9</w:t>
      </w:r>
      <w:r>
        <w:rPr>
          <w:rFonts w:cs="Times New Roman"/>
          <w:noProof/>
          <w:color w:val="auto"/>
        </w:rPr>
        <w:t>-</w:t>
      </w:r>
      <w:r w:rsidRPr="008B2A01">
        <w:rPr>
          <w:rFonts w:cs="Times New Roman"/>
          <w:noProof/>
          <w:color w:val="auto"/>
        </w:rPr>
        <w:t>11, https://groups.csail.mit.edu/ana/People/DDC/lbook-arch.pdf.</w:t>
      </w:r>
    </w:p>
  </w:footnote>
  <w:footnote w:id="3">
    <w:p w14:paraId="06716DE6"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See </w:t>
      </w:r>
      <w:r w:rsidRPr="008B2A01">
        <w:rPr>
          <w:rFonts w:cs="Times New Roman"/>
          <w:noProof/>
          <w:color w:val="auto"/>
        </w:rPr>
        <w:t xml:space="preserve">‘LinkedIn to be Blocked in Russia’, </w:t>
      </w:r>
      <w:r w:rsidRPr="008B2A01">
        <w:rPr>
          <w:rFonts w:cs="Times New Roman"/>
          <w:i/>
          <w:noProof/>
          <w:color w:val="auto"/>
        </w:rPr>
        <w:t>RAPSI</w:t>
      </w:r>
      <w:r w:rsidRPr="008B2A01">
        <w:rPr>
          <w:rFonts w:cs="Times New Roman"/>
          <w:noProof/>
          <w:color w:val="auto"/>
        </w:rPr>
        <w:t xml:space="preserve">, 10 November 2016, http://www.rapsinews.com/judicial_news/20161110/277106589.html; Cicilia Kang and Katie Benner, ‘Russia Requires Apple and Google to Remove LinkedIn From Local App Stores’, </w:t>
      </w:r>
      <w:r w:rsidRPr="008B2A01">
        <w:rPr>
          <w:rFonts w:cs="Times New Roman"/>
          <w:i/>
          <w:noProof/>
          <w:color w:val="auto"/>
        </w:rPr>
        <w:t>The New York Times</w:t>
      </w:r>
      <w:r w:rsidRPr="008B2A01">
        <w:rPr>
          <w:rFonts w:cs="Times New Roman"/>
          <w:noProof/>
          <w:color w:val="auto"/>
        </w:rPr>
        <w:t xml:space="preserve">, 6 January 2017, https://www.nytimes.com/2017/01/06/technology/linkedin-blocked-in-russia.html; Paul Mozur, Daisuke Wakabayashi, and Nick Wingfield, ‘Apple Opening Data Center in China to Comply With Cybersecurity Law’, </w:t>
      </w:r>
      <w:r w:rsidRPr="00B72EF8">
        <w:rPr>
          <w:rFonts w:cs="Times New Roman"/>
          <w:i/>
          <w:noProof/>
          <w:color w:val="auto"/>
        </w:rPr>
        <w:t>The New York Times</w:t>
      </w:r>
      <w:r w:rsidRPr="008B2A01">
        <w:rPr>
          <w:rFonts w:cs="Times New Roman"/>
          <w:noProof/>
          <w:color w:val="auto"/>
        </w:rPr>
        <w:t>, 12 July</w:t>
      </w:r>
      <w:r>
        <w:rPr>
          <w:rFonts w:cs="Times New Roman"/>
          <w:noProof/>
          <w:color w:val="auto"/>
        </w:rPr>
        <w:t xml:space="preserve"> 2017</w:t>
      </w:r>
      <w:r w:rsidRPr="008B2A01">
        <w:rPr>
          <w:rFonts w:cs="Times New Roman"/>
          <w:noProof/>
          <w:color w:val="auto"/>
        </w:rPr>
        <w:t xml:space="preserve">, https://www.nytimes.com/2017/07/12/business/apple-china-data-center-cybersecurity.html; Robert McMillan and Tripp Mickle, ‘Apple to Start Putting Sensitive Encryption Keys in China’, </w:t>
      </w:r>
      <w:r w:rsidRPr="008B2A01">
        <w:rPr>
          <w:rFonts w:cs="Times New Roman"/>
          <w:i/>
          <w:noProof/>
          <w:color w:val="auto"/>
        </w:rPr>
        <w:t>Wall Street Journal</w:t>
      </w:r>
      <w:r w:rsidRPr="008B2A01">
        <w:rPr>
          <w:rFonts w:cs="Times New Roman"/>
          <w:noProof/>
          <w:color w:val="auto"/>
        </w:rPr>
        <w:t xml:space="preserve">, 24 February 2018, https://www.wsj.com/articles/apple-to-start-putting-sensitive-encryption-keys-in-china-1519497574; Richard Waters, ‘Microsoft setback in cloud era test case’, </w:t>
      </w:r>
      <w:r w:rsidRPr="008B2A01">
        <w:rPr>
          <w:rFonts w:cs="Times New Roman"/>
          <w:i/>
          <w:noProof/>
          <w:color w:val="auto"/>
        </w:rPr>
        <w:t>Financial Times</w:t>
      </w:r>
      <w:r w:rsidRPr="008B2A01">
        <w:rPr>
          <w:rFonts w:cs="Times New Roman"/>
          <w:noProof/>
          <w:color w:val="auto"/>
        </w:rPr>
        <w:t xml:space="preserve">, 1 August 2014, https://www.ft.com/content/0649c042-18e6-11e4-933e-00144feabdc0; ‘Microsoft wins battle with US over data privacy’, </w:t>
      </w:r>
      <w:r w:rsidRPr="008B2A01">
        <w:rPr>
          <w:rFonts w:cs="Times New Roman"/>
          <w:i/>
          <w:noProof/>
          <w:color w:val="auto"/>
        </w:rPr>
        <w:t>Financial Times</w:t>
      </w:r>
      <w:r w:rsidRPr="008B2A01">
        <w:rPr>
          <w:rFonts w:cs="Times New Roman"/>
          <w:noProof/>
          <w:color w:val="auto"/>
        </w:rPr>
        <w:t xml:space="preserve">, 15 July 2016, https://www.ft.com/content/6a3d84ca-49f5-11e6-8d68-72e9211e86ab; Hannah Kuchler, ‘Microsoft faces key ruling in data privacy case’, </w:t>
      </w:r>
      <w:r w:rsidRPr="00B72EF8">
        <w:rPr>
          <w:rFonts w:cs="Times New Roman"/>
          <w:i/>
          <w:noProof/>
          <w:color w:val="auto"/>
        </w:rPr>
        <w:t>Financial Times</w:t>
      </w:r>
      <w:r>
        <w:rPr>
          <w:rFonts w:cs="Times New Roman"/>
          <w:noProof/>
          <w:color w:val="auto"/>
        </w:rPr>
        <w:t>,</w:t>
      </w:r>
      <w:r w:rsidRPr="008B2A01">
        <w:rPr>
          <w:rFonts w:cs="Times New Roman"/>
          <w:noProof/>
          <w:color w:val="auto"/>
        </w:rPr>
        <w:t xml:space="preserve"> 17 October 2017, https://www.ft.com/content/7d22f1ae-b28d-11e7-a398-73d59db9e399; ‘United States v. Microsoft Corp.’, </w:t>
      </w:r>
      <w:r w:rsidRPr="008B2A01">
        <w:rPr>
          <w:rFonts w:cs="Times New Roman"/>
          <w:i/>
          <w:noProof/>
          <w:color w:val="auto"/>
        </w:rPr>
        <w:t>SCOTUSblog</w:t>
      </w:r>
      <w:r w:rsidRPr="008B2A01">
        <w:rPr>
          <w:rFonts w:cs="Times New Roman"/>
          <w:noProof/>
          <w:color w:val="auto"/>
        </w:rPr>
        <w:t>, 2017, http://www.scotusblog.com/case-files/cases/united-states-v-microsoft-corp/</w:t>
      </w:r>
      <w:r w:rsidRPr="008B2A01">
        <w:rPr>
          <w:rFonts w:cs="Times New Roman"/>
          <w:color w:val="auto"/>
        </w:rPr>
        <w:t>.</w:t>
      </w:r>
    </w:p>
  </w:footnote>
  <w:footnote w:id="4">
    <w:p w14:paraId="4891B1BF"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Consider regulatory institutes such as restrictions on technology export and state secrets.</w:t>
      </w:r>
    </w:p>
  </w:footnote>
  <w:footnote w:id="5">
    <w:p w14:paraId="185CD823"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For instance, Sweden adopted the Swedish Data Bank Statute as early as 1973. This was a response to the overseas storage of data connected to Swedish citizens. See </w:t>
      </w:r>
      <w:r w:rsidRPr="008B2A01">
        <w:rPr>
          <w:rFonts w:cs="Times New Roman"/>
          <w:noProof/>
          <w:color w:val="auto"/>
        </w:rPr>
        <w:t xml:space="preserve">John M. Eger, ‘Emerging Restrictions on Transnational Data Flows: Privacy Protection or Non-Tariff Trade Barriers’, </w:t>
      </w:r>
      <w:r w:rsidRPr="008B2A01">
        <w:rPr>
          <w:rFonts w:cs="Times New Roman"/>
          <w:i/>
          <w:noProof/>
          <w:color w:val="auto"/>
        </w:rPr>
        <w:t>Law &amp; Policy in International Business</w:t>
      </w:r>
      <w:r w:rsidRPr="008B2A01">
        <w:rPr>
          <w:rFonts w:cs="Times New Roman"/>
          <w:noProof/>
          <w:color w:val="auto"/>
        </w:rPr>
        <w:t xml:space="preserve"> 10</w:t>
      </w:r>
      <w:r>
        <w:rPr>
          <w:rFonts w:cs="Times New Roman"/>
          <w:noProof/>
          <w:color w:val="auto"/>
        </w:rPr>
        <w:t>.</w:t>
      </w:r>
      <w:r w:rsidRPr="008B2A01">
        <w:rPr>
          <w:rFonts w:cs="Times New Roman"/>
          <w:noProof/>
          <w:color w:val="auto"/>
        </w:rPr>
        <w:t>4</w:t>
      </w:r>
      <w:r>
        <w:rPr>
          <w:rFonts w:cs="Times New Roman"/>
          <w:noProof/>
          <w:color w:val="auto"/>
        </w:rPr>
        <w:t xml:space="preserve"> (</w:t>
      </w:r>
      <w:r w:rsidRPr="008B2A01">
        <w:rPr>
          <w:rFonts w:cs="Times New Roman"/>
          <w:noProof/>
          <w:color w:val="auto"/>
        </w:rPr>
        <w:t>1978): 1065-81;</w:t>
      </w:r>
      <w:r w:rsidRPr="008B2A01">
        <w:rPr>
          <w:rFonts w:cs="Times New Roman"/>
          <w:color w:val="auto"/>
        </w:rPr>
        <w:t xml:space="preserve"> </w:t>
      </w:r>
      <w:r w:rsidRPr="008B2A01">
        <w:rPr>
          <w:rFonts w:cs="Times New Roman"/>
          <w:noProof/>
          <w:color w:val="auto"/>
        </w:rPr>
        <w:t xml:space="preserve">Christopher Kuner, ‘Data Nationalism and its Discontents’, </w:t>
      </w:r>
      <w:r w:rsidRPr="008B2A01">
        <w:rPr>
          <w:rFonts w:cs="Times New Roman"/>
          <w:i/>
          <w:noProof/>
          <w:color w:val="auto"/>
        </w:rPr>
        <w:t>Emory Law Journal</w:t>
      </w:r>
      <w:r w:rsidRPr="008B2A01">
        <w:rPr>
          <w:rFonts w:cs="Times New Roman"/>
          <w:noProof/>
          <w:color w:val="auto"/>
        </w:rPr>
        <w:t xml:space="preserve"> 64 (2015): 2091-93; Anupam Chander and Uyên P. Lê, ‘Data Nationalism’, </w:t>
      </w:r>
      <w:r w:rsidRPr="008B2A01">
        <w:rPr>
          <w:rFonts w:cs="Times New Roman"/>
          <w:i/>
          <w:noProof/>
          <w:color w:val="auto"/>
        </w:rPr>
        <w:t>Emory Law Journal</w:t>
      </w:r>
      <w:r w:rsidRPr="008B2A01">
        <w:rPr>
          <w:rFonts w:cs="Times New Roman"/>
          <w:noProof/>
          <w:color w:val="auto"/>
        </w:rPr>
        <w:t xml:space="preserve"> 64</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2015): 713-39</w:t>
      </w:r>
      <w:r w:rsidRPr="008B2A01">
        <w:rPr>
          <w:rFonts w:cs="Times New Roman"/>
          <w:color w:val="auto"/>
        </w:rPr>
        <w:t>.</w:t>
      </w:r>
    </w:p>
  </w:footnote>
  <w:footnote w:id="6">
    <w:p w14:paraId="3CDC71D5"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At large DL analysis presents taxonomy and being surrounded by countless dichotomies (e.g. data/information, privacy/public security, etc.) was trapped within the binary constraints of traditional regulatory approaches. </w:t>
      </w:r>
      <w:r w:rsidRPr="008B2A01">
        <w:rPr>
          <w:rFonts w:cs="Times New Roman"/>
          <w:color w:val="auto"/>
        </w:rPr>
        <w:t xml:space="preserve">Justice of the US Supreme Court Anthony M. Kennedy has provided a great example of binary regulatory choices during the oral argument in the </w:t>
      </w:r>
      <w:r w:rsidRPr="008B2A01">
        <w:rPr>
          <w:rFonts w:cs="Times New Roman"/>
          <w:i/>
          <w:color w:val="auto"/>
        </w:rPr>
        <w:t>United States v. Microsoft Corporation</w:t>
      </w:r>
      <w:r w:rsidRPr="008B2A01">
        <w:rPr>
          <w:rFonts w:cs="Times New Roman"/>
          <w:color w:val="auto"/>
        </w:rPr>
        <w:t xml:space="preserve">. In the course of extraterritoriality discussion Justice Kennedy has raised a question of why should SCOTUS be focused on data location storage v. data location disclosure and whether SCOTUS is forced to make such a choice. See </w:t>
      </w:r>
      <w:r w:rsidRPr="008B2A01">
        <w:rPr>
          <w:rFonts w:cs="Times New Roman"/>
          <w:noProof/>
          <w:color w:val="auto"/>
        </w:rPr>
        <w:t>‘United States v. Microsoft Corporation (Oral Argument Transcription)’, Official Website, (2018), https://www.supremecourt.gov/oral_arguments/argument_transcripts/2017/17-2_j4ek.pdf</w:t>
      </w:r>
      <w:r w:rsidRPr="008B2A01">
        <w:rPr>
          <w:rFonts w:cs="Times New Roman"/>
          <w:color w:val="auto"/>
        </w:rPr>
        <w:t>.</w:t>
      </w:r>
    </w:p>
  </w:footnote>
  <w:footnote w:id="7">
    <w:p w14:paraId="7007DE47"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Valerie Braithwaite, ‘Closing the Gap Between Regulation and the Community’, in</w:t>
      </w:r>
      <w:r>
        <w:rPr>
          <w:rFonts w:cs="Times New Roman"/>
          <w:noProof/>
          <w:color w:val="auto"/>
        </w:rPr>
        <w:t xml:space="preserve"> Peter Drahos (ed.),</w:t>
      </w:r>
      <w:r w:rsidRPr="008B2A01">
        <w:rPr>
          <w:rFonts w:cs="Times New Roman"/>
          <w:noProof/>
          <w:color w:val="auto"/>
        </w:rPr>
        <w:t xml:space="preserve"> </w:t>
      </w:r>
      <w:r w:rsidRPr="008B2A01">
        <w:rPr>
          <w:rFonts w:cs="Times New Roman"/>
          <w:i/>
          <w:noProof/>
          <w:color w:val="auto"/>
        </w:rPr>
        <w:t>Regulatory Theory: Foundations and Applications</w:t>
      </w:r>
      <w:r>
        <w:rPr>
          <w:rFonts w:cs="Times New Roman"/>
          <w:noProof/>
          <w:color w:val="auto"/>
        </w:rPr>
        <w:t xml:space="preserve"> Canberra: ANU Press, 2017, pp. </w:t>
      </w:r>
      <w:r w:rsidRPr="008B2A01">
        <w:rPr>
          <w:rFonts w:cs="Times New Roman"/>
          <w:noProof/>
          <w:color w:val="auto"/>
        </w:rPr>
        <w:t>30-33</w:t>
      </w:r>
      <w:r w:rsidRPr="008B2A01">
        <w:rPr>
          <w:rFonts w:cs="Times New Roman"/>
          <w:color w:val="auto"/>
        </w:rPr>
        <w:t>.</w:t>
      </w:r>
    </w:p>
  </w:footnote>
  <w:footnote w:id="8">
    <w:p w14:paraId="78E74B31"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‘Data Localization Snapshot (Current as of January 19, 2017)’, Information Technology Industry Council, (2017), https://www.itic.org/public-policy/SnapshotofDataLocalizationMeasures1-19-2017.pdf</w:t>
      </w:r>
      <w:r w:rsidRPr="008B2A01">
        <w:rPr>
          <w:rFonts w:cs="Times New Roman"/>
          <w:color w:val="auto"/>
        </w:rPr>
        <w:t>.</w:t>
      </w:r>
    </w:p>
  </w:footnote>
  <w:footnote w:id="9">
    <w:p w14:paraId="5C3C8B50"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On the concept of </w:t>
      </w:r>
      <w:r w:rsidRPr="008B2A01">
        <w:rPr>
          <w:rFonts w:cs="Times New Roman"/>
          <w:i/>
          <w:color w:val="auto"/>
        </w:rPr>
        <w:t>infosphere</w:t>
      </w:r>
      <w:r w:rsidRPr="008B2A01">
        <w:rPr>
          <w:rFonts w:cs="Times New Roman"/>
          <w:color w:val="auto"/>
        </w:rPr>
        <w:t xml:space="preserve"> see </w:t>
      </w:r>
      <w:r w:rsidRPr="008B2A01">
        <w:rPr>
          <w:rFonts w:cs="Times New Roman"/>
          <w:noProof/>
          <w:color w:val="auto"/>
        </w:rPr>
        <w:t xml:space="preserve">Luciano Floridi, </w:t>
      </w:r>
      <w:r w:rsidRPr="008B2A01">
        <w:rPr>
          <w:rFonts w:cs="Times New Roman"/>
          <w:i/>
          <w:noProof/>
          <w:color w:val="auto"/>
        </w:rPr>
        <w:t>The Ethics of Information</w:t>
      </w:r>
      <w:r w:rsidRPr="008B2A01">
        <w:rPr>
          <w:rFonts w:cs="Times New Roman"/>
          <w:noProof/>
          <w:color w:val="auto"/>
        </w:rPr>
        <w:t>,</w:t>
      </w:r>
      <w:r>
        <w:rPr>
          <w:rFonts w:cs="Times New Roman"/>
          <w:noProof/>
          <w:color w:val="auto"/>
        </w:rPr>
        <w:t xml:space="preserve"> </w:t>
      </w:r>
      <w:r w:rsidRPr="008B2A01">
        <w:rPr>
          <w:rFonts w:cs="Times New Roman"/>
          <w:noProof/>
          <w:color w:val="auto"/>
        </w:rPr>
        <w:t xml:space="preserve">Oxford: Oxford University Press, 2013, </w:t>
      </w:r>
      <w:r>
        <w:rPr>
          <w:rFonts w:cs="Times New Roman"/>
          <w:noProof/>
          <w:color w:val="auto"/>
        </w:rPr>
        <w:t xml:space="preserve">p. </w:t>
      </w:r>
      <w:r w:rsidRPr="008B2A01">
        <w:rPr>
          <w:rFonts w:cs="Times New Roman"/>
          <w:noProof/>
          <w:color w:val="auto"/>
        </w:rPr>
        <w:t>6</w:t>
      </w:r>
      <w:r w:rsidRPr="008B2A01">
        <w:rPr>
          <w:rFonts w:cs="Times New Roman"/>
          <w:color w:val="auto"/>
        </w:rPr>
        <w:t xml:space="preserve">.   </w:t>
      </w:r>
    </w:p>
  </w:footnote>
  <w:footnote w:id="10">
    <w:p w14:paraId="19B9674A"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Issie Lapowsky, ‘Voice Chat App Zello Turned a Blind Eye to Jihadis for Years’, </w:t>
      </w:r>
      <w:r w:rsidRPr="008B2A01">
        <w:rPr>
          <w:rFonts w:cs="Times New Roman"/>
          <w:i/>
          <w:noProof/>
          <w:color w:val="auto"/>
        </w:rPr>
        <w:t>WIRED</w:t>
      </w:r>
      <w:r w:rsidRPr="008B2A01">
        <w:rPr>
          <w:rFonts w:cs="Times New Roman"/>
          <w:noProof/>
          <w:color w:val="auto"/>
        </w:rPr>
        <w:t>, 16 March 2018, https://www.wired.com/story/zello-app-turned-blind-eye-to-jihadis-for-years/</w:t>
      </w:r>
      <w:r w:rsidRPr="008B2A01">
        <w:rPr>
          <w:rFonts w:cs="Times New Roman"/>
          <w:color w:val="auto"/>
        </w:rPr>
        <w:t>.</w:t>
      </w:r>
    </w:p>
  </w:footnote>
  <w:footnote w:id="11">
    <w:p w14:paraId="78BC3295"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Chander and Lê,</w:t>
      </w:r>
      <w:r>
        <w:rPr>
          <w:rFonts w:cs="Times New Roman"/>
          <w:noProof/>
          <w:color w:val="auto"/>
        </w:rPr>
        <w:t xml:space="preserve"> ‘Data Nationalism’: </w:t>
      </w:r>
      <w:r w:rsidRPr="008B2A01">
        <w:rPr>
          <w:rFonts w:cs="Times New Roman"/>
          <w:noProof/>
          <w:color w:val="auto"/>
        </w:rPr>
        <w:t>708-13</w:t>
      </w:r>
      <w:r w:rsidRPr="008B2A01">
        <w:rPr>
          <w:rFonts w:cs="Times New Roman"/>
          <w:color w:val="auto"/>
        </w:rPr>
        <w:t>.</w:t>
      </w:r>
    </w:p>
  </w:footnote>
  <w:footnote w:id="12">
    <w:p w14:paraId="66ED80E0"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DL measures introduced in Australia (health related data) and Canada (data in possession of public institutions) are examples of a narrow approach. On the contrary, measures adopted by Russia (personal data (PII), communications metadata and content), China (PII and important data collected by ‘network operators’) and Vietnam (data important for national security) fall under a broad approach. See </w:t>
      </w:r>
      <w:r w:rsidRPr="008B2A01">
        <w:rPr>
          <w:rFonts w:cs="Times New Roman"/>
          <w:noProof/>
          <w:color w:val="auto"/>
        </w:rPr>
        <w:t xml:space="preserve">Scott Livingston and Graham Greenleaf, ‘Data Localisation in China and Other APEC Jurisdictions’, </w:t>
      </w:r>
      <w:r w:rsidRPr="008B2A01">
        <w:rPr>
          <w:rFonts w:cs="Times New Roman"/>
          <w:i/>
          <w:noProof/>
          <w:color w:val="auto"/>
        </w:rPr>
        <w:t>Privacy Laws &amp; Business International Report</w:t>
      </w:r>
      <w:r w:rsidRPr="008B2A01">
        <w:rPr>
          <w:rFonts w:cs="Times New Roman"/>
          <w:noProof/>
          <w:color w:val="auto"/>
        </w:rPr>
        <w:t xml:space="preserve"> 143 </w:t>
      </w:r>
      <w:r>
        <w:rPr>
          <w:rFonts w:cs="Times New Roman"/>
          <w:noProof/>
          <w:color w:val="auto"/>
        </w:rPr>
        <w:t>(</w:t>
      </w:r>
      <w:r w:rsidRPr="008B2A01">
        <w:rPr>
          <w:rFonts w:cs="Times New Roman"/>
          <w:noProof/>
          <w:color w:val="auto"/>
        </w:rPr>
        <w:t>2016): 2-5</w:t>
      </w:r>
      <w:r w:rsidRPr="008B2A01">
        <w:rPr>
          <w:rFonts w:cs="Times New Roman"/>
          <w:color w:val="auto"/>
        </w:rPr>
        <w:t xml:space="preserve">.   </w:t>
      </w:r>
    </w:p>
  </w:footnote>
  <w:footnote w:id="13">
    <w:p w14:paraId="4076103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Chander and Lê,</w:t>
      </w:r>
      <w:r>
        <w:rPr>
          <w:rFonts w:cs="Times New Roman"/>
          <w:noProof/>
          <w:color w:val="auto"/>
        </w:rPr>
        <w:t xml:space="preserve"> ‘Data Nationalism’:</w:t>
      </w:r>
      <w:r w:rsidRPr="008B2A01">
        <w:rPr>
          <w:rFonts w:cs="Times New Roman"/>
          <w:noProof/>
          <w:color w:val="auto"/>
        </w:rPr>
        <w:t xml:space="preserve"> 680</w:t>
      </w:r>
      <w:r w:rsidRPr="008B2A01">
        <w:rPr>
          <w:rFonts w:cs="Times New Roman"/>
          <w:color w:val="auto"/>
        </w:rPr>
        <w:t>.</w:t>
      </w:r>
    </w:p>
  </w:footnote>
  <w:footnote w:id="14">
    <w:p w14:paraId="0C596EC5"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See Clarifying Lawful Overseas Use of Data Act, 18 U.S.C. § 2713 (2018); Federal’nyi Zakon RF </w:t>
      </w:r>
      <w:r w:rsidRPr="008B2A01">
        <w:rPr>
          <w:rFonts w:cs="Times New Roman"/>
          <w:color w:val="auto"/>
          <w:lang w:val="en-US"/>
        </w:rPr>
        <w:t>o</w:t>
      </w:r>
      <w:r w:rsidRPr="008B2A01">
        <w:rPr>
          <w:rFonts w:cs="Times New Roman"/>
          <w:color w:val="auto"/>
        </w:rPr>
        <w:t>b Informacii, informacionnyh tehnologijah i o zashite informacii [Federal law of the Russian Federation on Information, Information technologies and Protection of Information], Rossiiskaia Gazeta, July 31, 2006, item 10.1(4.1).</w:t>
      </w:r>
    </w:p>
  </w:footnote>
  <w:footnote w:id="15">
    <w:p w14:paraId="5DFB2C0B"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Localized data hosting – a requirement to store certain data on servers physically based within the state’s territory. Localized data routing – the requirement to send data packets through servers physically based within the state’s territory. </w:t>
      </w:r>
      <w:r w:rsidRPr="008B2A01">
        <w:rPr>
          <w:rFonts w:cs="Times New Roman"/>
          <w:noProof/>
          <w:color w:val="auto"/>
        </w:rPr>
        <w:t xml:space="preserve">John Selby, ‘Data Localization Laws: Trade Barriers or Legitimate Responses to Cybersecurity Risks, or Both?’, </w:t>
      </w:r>
      <w:r w:rsidRPr="008B2A01">
        <w:rPr>
          <w:rFonts w:cs="Times New Roman"/>
          <w:i/>
          <w:noProof/>
          <w:color w:val="auto"/>
        </w:rPr>
        <w:t>International Journal of Law and Information Technology</w:t>
      </w:r>
      <w:r>
        <w:rPr>
          <w:rFonts w:cs="Times New Roman"/>
          <w:i/>
          <w:noProof/>
          <w:color w:val="auto"/>
        </w:rPr>
        <w:t>,</w:t>
      </w:r>
      <w:r w:rsidRPr="008B2A01">
        <w:rPr>
          <w:rFonts w:cs="Times New Roman"/>
          <w:noProof/>
          <w:color w:val="auto"/>
        </w:rPr>
        <w:t xml:space="preserve"> 25</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2017): 214</w:t>
      </w:r>
      <w:r w:rsidRPr="008B2A01">
        <w:rPr>
          <w:rFonts w:cs="Times New Roman"/>
          <w:color w:val="auto"/>
        </w:rPr>
        <w:t>.</w:t>
      </w:r>
    </w:p>
  </w:footnote>
  <w:footnote w:id="16">
    <w:p w14:paraId="07D58FD8"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Content filtering – censorship of data packets based on </w:t>
      </w:r>
      <w:r w:rsidRPr="008B2A01">
        <w:rPr>
          <w:rFonts w:cs="Times New Roman"/>
          <w:color w:val="auto"/>
          <w:lang w:val="en-US"/>
        </w:rPr>
        <w:t xml:space="preserve">subject matter or technological requirements. </w:t>
      </w:r>
      <w:r w:rsidRPr="008B2A01">
        <w:rPr>
          <w:rFonts w:cs="Times New Roman"/>
          <w:noProof/>
          <w:color w:val="auto"/>
        </w:rPr>
        <w:t>‘Work Programme on Electronic Commerce. Removing Cyberspace Trade Barriers: Towards a Digital Trade Environment with Reciprocally Equal Access. Non-Paper from the Separate Customs Territory of Taiwan, Penghu, Kinmen and Matsu’, Council for Trade in Goods General Council, Council for Trade in Services, Council for Trade-Related Aspects of Intellectual Property Rights, Committee on Trade and Development, JOB/GC/170, JOB/CTG/12 JOB/SERV/277, JOB/IP/29 JOB/DEV/53, 16 February 2018 1, para. 1.3, https://docs.wto.org/dol2fe/Pages/SS/directdoc.aspx?filename=q:/JOBs/GC/170.pdf</w:t>
      </w:r>
      <w:r w:rsidRPr="008B2A01">
        <w:rPr>
          <w:rFonts w:cs="Times New Roman"/>
          <w:color w:val="auto"/>
        </w:rPr>
        <w:t>.</w:t>
      </w:r>
    </w:p>
  </w:footnote>
  <w:footnote w:id="17">
    <w:p w14:paraId="26FC0FE3"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Shin-yi Peng and Han-wei Liu, ‘The Legality of Data Residency Requirements: How Can the Trans-Pacific Partnership Help?’, </w:t>
      </w:r>
      <w:r w:rsidRPr="008B2A01">
        <w:rPr>
          <w:rFonts w:cs="Times New Roman"/>
          <w:i/>
          <w:noProof/>
          <w:color w:val="auto"/>
        </w:rPr>
        <w:t>Journal of World Trade</w:t>
      </w:r>
      <w:r w:rsidRPr="008B2A01">
        <w:rPr>
          <w:rFonts w:cs="Times New Roman"/>
          <w:noProof/>
          <w:color w:val="auto"/>
        </w:rPr>
        <w:t xml:space="preserve"> 51</w:t>
      </w:r>
      <w:r>
        <w:rPr>
          <w:rFonts w:cs="Times New Roman"/>
          <w:noProof/>
          <w:color w:val="auto"/>
        </w:rPr>
        <w:t>.</w:t>
      </w:r>
      <w:r w:rsidRPr="008B2A01">
        <w:rPr>
          <w:rFonts w:cs="Times New Roman"/>
          <w:noProof/>
          <w:color w:val="auto"/>
        </w:rPr>
        <w:t xml:space="preserve">2 </w:t>
      </w:r>
      <w:r>
        <w:rPr>
          <w:rFonts w:cs="Times New Roman"/>
          <w:noProof/>
          <w:color w:val="auto"/>
        </w:rPr>
        <w:t>(</w:t>
      </w:r>
      <w:r w:rsidRPr="008B2A01">
        <w:rPr>
          <w:rFonts w:cs="Times New Roman"/>
          <w:noProof/>
          <w:color w:val="auto"/>
        </w:rPr>
        <w:t>2017): 193-94</w:t>
      </w:r>
      <w:r w:rsidRPr="008B2A01">
        <w:rPr>
          <w:rFonts w:cs="Times New Roman"/>
          <w:color w:val="auto"/>
        </w:rPr>
        <w:t>.</w:t>
      </w:r>
    </w:p>
  </w:footnote>
  <w:footnote w:id="18">
    <w:p w14:paraId="2EFA36B5"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In addition, consider the following examples: data leak prevention systems, rules regarding state secrets, commercial secrets, confidential information, and intellectual property.  </w:t>
      </w:r>
    </w:p>
  </w:footnote>
  <w:footnote w:id="19">
    <w:p w14:paraId="50117CE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Floridi,</w:t>
      </w:r>
      <w:r>
        <w:rPr>
          <w:rFonts w:cs="Times New Roman"/>
          <w:noProof/>
          <w:color w:val="auto"/>
        </w:rPr>
        <w:t xml:space="preserve"> </w:t>
      </w:r>
      <w:r>
        <w:rPr>
          <w:rFonts w:cs="Times New Roman"/>
          <w:i/>
          <w:noProof/>
          <w:color w:val="auto"/>
        </w:rPr>
        <w:t>The Ethics of Information,</w:t>
      </w:r>
      <w:r w:rsidRPr="008B2A01">
        <w:rPr>
          <w:rFonts w:cs="Times New Roman"/>
          <w:noProof/>
          <w:color w:val="auto"/>
        </w:rPr>
        <w:t xml:space="preserve"> 232</w:t>
      </w:r>
      <w:r w:rsidRPr="008B2A01">
        <w:rPr>
          <w:rFonts w:cs="Times New Roman"/>
          <w:color w:val="auto"/>
        </w:rPr>
        <w:t>.</w:t>
      </w:r>
    </w:p>
  </w:footnote>
  <w:footnote w:id="20">
    <w:p w14:paraId="49F221EE"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Alan F. Westin, </w:t>
      </w:r>
      <w:r w:rsidRPr="008B2A01">
        <w:rPr>
          <w:rFonts w:cs="Times New Roman"/>
          <w:i/>
          <w:noProof/>
          <w:color w:val="auto"/>
        </w:rPr>
        <w:t xml:space="preserve">Privacy and </w:t>
      </w:r>
      <w:r>
        <w:rPr>
          <w:rFonts w:cs="Times New Roman"/>
          <w:i/>
          <w:noProof/>
          <w:color w:val="auto"/>
        </w:rPr>
        <w:t>F</w:t>
      </w:r>
      <w:r w:rsidRPr="008B2A01">
        <w:rPr>
          <w:rFonts w:cs="Times New Roman"/>
          <w:i/>
          <w:noProof/>
          <w:color w:val="auto"/>
        </w:rPr>
        <w:t>reedom</w:t>
      </w:r>
      <w:r w:rsidRPr="008B2A01">
        <w:rPr>
          <w:rFonts w:cs="Times New Roman"/>
          <w:noProof/>
          <w:color w:val="auto"/>
        </w:rPr>
        <w:t>,</w:t>
      </w:r>
      <w:r>
        <w:rPr>
          <w:rFonts w:cs="Times New Roman"/>
          <w:noProof/>
          <w:color w:val="auto"/>
        </w:rPr>
        <w:t xml:space="preserve"> </w:t>
      </w:r>
      <w:r w:rsidRPr="008B2A01">
        <w:rPr>
          <w:rFonts w:cs="Times New Roman"/>
          <w:noProof/>
          <w:color w:val="auto"/>
        </w:rPr>
        <w:t xml:space="preserve">New York: Atheneum, 1967, </w:t>
      </w:r>
      <w:r>
        <w:rPr>
          <w:rFonts w:cs="Times New Roman"/>
          <w:noProof/>
          <w:color w:val="auto"/>
        </w:rPr>
        <w:t xml:space="preserve">p. </w:t>
      </w:r>
      <w:r w:rsidRPr="008B2A01">
        <w:rPr>
          <w:rFonts w:cs="Times New Roman"/>
          <w:noProof/>
          <w:color w:val="auto"/>
        </w:rPr>
        <w:t>7</w:t>
      </w:r>
      <w:r w:rsidRPr="008B2A01">
        <w:rPr>
          <w:rFonts w:cs="Times New Roman"/>
          <w:color w:val="auto"/>
        </w:rPr>
        <w:t>.</w:t>
      </w:r>
    </w:p>
  </w:footnote>
  <w:footnote w:id="21">
    <w:p w14:paraId="690C8A24"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Amar Toor, ‘This Twitter Bot is Tracking Dictators</w:t>
      </w:r>
      <w:r>
        <w:rPr>
          <w:rFonts w:cs="Times New Roman"/>
          <w:noProof/>
          <w:color w:val="auto"/>
        </w:rPr>
        <w:t>’</w:t>
      </w:r>
      <w:r w:rsidRPr="008B2A01">
        <w:rPr>
          <w:rFonts w:cs="Times New Roman"/>
          <w:noProof/>
          <w:color w:val="auto"/>
        </w:rPr>
        <w:t xml:space="preserve"> Flights In and Out of Geneva’, </w:t>
      </w:r>
      <w:r w:rsidRPr="008B2A01">
        <w:rPr>
          <w:rFonts w:cs="Times New Roman"/>
          <w:i/>
          <w:noProof/>
          <w:color w:val="auto"/>
        </w:rPr>
        <w:t>The Verge</w:t>
      </w:r>
      <w:r w:rsidRPr="008B2A01">
        <w:rPr>
          <w:rFonts w:cs="Times New Roman"/>
          <w:noProof/>
          <w:color w:val="auto"/>
        </w:rPr>
        <w:t>, 16 October 2016, https://www.theverge.com/2016/10/13/13243072/twitter-bot-tracks-dictator-planes-geneva-gva-tracker</w:t>
      </w:r>
      <w:r w:rsidRPr="008B2A01">
        <w:rPr>
          <w:rFonts w:cs="Times New Roman"/>
          <w:color w:val="auto"/>
        </w:rPr>
        <w:t>.</w:t>
      </w:r>
    </w:p>
  </w:footnote>
  <w:footnote w:id="22">
    <w:p w14:paraId="211C6963"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Richard Perez-Pena and Matthew Rosenberg, ‘Strava Fitness App Can Reveal Military Sites, Analysts Say’, </w:t>
      </w:r>
      <w:r w:rsidRPr="008B2A01">
        <w:rPr>
          <w:rFonts w:cs="Times New Roman"/>
          <w:i/>
          <w:color w:val="auto"/>
        </w:rPr>
        <w:t>The New York Times</w:t>
      </w:r>
      <w:r w:rsidRPr="008B2A01">
        <w:rPr>
          <w:rFonts w:cs="Times New Roman"/>
          <w:color w:val="auto"/>
        </w:rPr>
        <w:t xml:space="preserve">, 29 January 2018, https://www.nytimes.com/2018/01/29/world/middleeast/strava-heat-map.html. </w:t>
      </w:r>
    </w:p>
  </w:footnote>
  <w:footnote w:id="23">
    <w:p w14:paraId="5A03BA6E"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Jason Murdock, ‘U.S. Marines Email Leak Exposes Secrets of 21,000 Soldiers, Civilians’, </w:t>
      </w:r>
      <w:r w:rsidRPr="008B2A01">
        <w:rPr>
          <w:rFonts w:cs="Times New Roman"/>
          <w:i/>
          <w:noProof/>
          <w:color w:val="auto"/>
        </w:rPr>
        <w:t>Newsweek</w:t>
      </w:r>
      <w:r w:rsidRPr="008B2A01">
        <w:rPr>
          <w:rFonts w:cs="Times New Roman"/>
          <w:noProof/>
          <w:color w:val="auto"/>
        </w:rPr>
        <w:t>, 1 March 2018, http://www.newsweek.com/us-marines-data-breach-leak-soldier-secrets-hits-21000-soldiers-civilians-825382</w:t>
      </w:r>
      <w:r w:rsidRPr="008B2A01">
        <w:rPr>
          <w:rFonts w:cs="Times New Roman"/>
          <w:color w:val="auto"/>
        </w:rPr>
        <w:t>.</w:t>
      </w:r>
    </w:p>
  </w:footnote>
  <w:footnote w:id="24">
    <w:p w14:paraId="5C13E207"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Mark Landler and John Markoff, ‘Digital Fears Emerge After Data Siege in Estonia’, </w:t>
      </w:r>
      <w:r w:rsidRPr="008B2A01">
        <w:rPr>
          <w:rFonts w:cs="Times New Roman"/>
          <w:i/>
          <w:noProof/>
          <w:color w:val="auto"/>
        </w:rPr>
        <w:t>The New York Times</w:t>
      </w:r>
      <w:r w:rsidRPr="008B2A01">
        <w:rPr>
          <w:rFonts w:cs="Times New Roman"/>
          <w:noProof/>
          <w:color w:val="auto"/>
        </w:rPr>
        <w:t>, 29 May 2007, http://www.nytimes.com/2007/05/29/technology/29estonia.html</w:t>
      </w:r>
      <w:r w:rsidRPr="008B2A01">
        <w:rPr>
          <w:rFonts w:cs="Times New Roman"/>
          <w:color w:val="auto"/>
        </w:rPr>
        <w:t>.</w:t>
      </w:r>
    </w:p>
  </w:footnote>
  <w:footnote w:id="25">
    <w:p w14:paraId="01D31F1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See </w:t>
      </w:r>
      <w:r w:rsidRPr="008B2A01">
        <w:rPr>
          <w:rFonts w:cs="Times New Roman"/>
          <w:noProof/>
          <w:color w:val="auto"/>
        </w:rPr>
        <w:t xml:space="preserve">Daniel Gervais, ‘Regulation of Inchoate Technologies’, </w:t>
      </w:r>
      <w:r w:rsidRPr="008B2A01">
        <w:rPr>
          <w:rFonts w:cs="Times New Roman"/>
          <w:i/>
          <w:noProof/>
          <w:color w:val="auto"/>
        </w:rPr>
        <w:t>Houston Law Review</w:t>
      </w:r>
      <w:r w:rsidRPr="008B2A01">
        <w:rPr>
          <w:rFonts w:cs="Times New Roman"/>
          <w:noProof/>
          <w:color w:val="auto"/>
        </w:rPr>
        <w:t xml:space="preserve"> 47</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2010): 679-80</w:t>
      </w:r>
      <w:r w:rsidRPr="008B2A01">
        <w:rPr>
          <w:rFonts w:cs="Times New Roman"/>
          <w:color w:val="auto"/>
        </w:rPr>
        <w:t xml:space="preserve">. Also see </w:t>
      </w:r>
      <w:r w:rsidRPr="008B2A01">
        <w:rPr>
          <w:rFonts w:cs="Times New Roman"/>
          <w:noProof/>
          <w:color w:val="auto"/>
        </w:rPr>
        <w:t xml:space="preserve">‘New Legislation Regulating Cyber Security and the Internet in Russia’, </w:t>
      </w:r>
      <w:r w:rsidRPr="008B2A01">
        <w:rPr>
          <w:rFonts w:cs="Times New Roman"/>
          <w:i/>
          <w:noProof/>
          <w:color w:val="auto"/>
        </w:rPr>
        <w:t>Clifford Chance Resources</w:t>
      </w:r>
      <w:r w:rsidRPr="008B2A01">
        <w:rPr>
          <w:rFonts w:cs="Times New Roman"/>
          <w:noProof/>
          <w:color w:val="auto"/>
        </w:rPr>
        <w:t>, 3 March, 2017, https://www.cliffordchance.com/briefings/2017/10/new_legislation_regulatingcybersecurityandth.html; ‘China Cybersecurity Law Update: Finally, Draft Regulations on ‘Critical Information Infrastructure’</w:t>
      </w:r>
      <w:r>
        <w:rPr>
          <w:rFonts w:cs="Times New Roman"/>
          <w:noProof/>
          <w:color w:val="auto"/>
        </w:rPr>
        <w:t xml:space="preserve"> </w:t>
      </w:r>
      <w:r w:rsidRPr="008B2A01">
        <w:rPr>
          <w:rFonts w:cs="Times New Roman"/>
          <w:i/>
          <w:noProof/>
          <w:color w:val="auto"/>
        </w:rPr>
        <w:t>Bird &amp; Bird News Centre</w:t>
      </w:r>
      <w:r w:rsidRPr="008B2A01">
        <w:rPr>
          <w:rFonts w:cs="Times New Roman"/>
          <w:noProof/>
          <w:color w:val="auto"/>
        </w:rPr>
        <w:t>, 3 March, 2017, https://www.twobirds.com/en/news/articles/2017/china/draft-regulations-on-critical-information-infrastructure.</w:t>
      </w:r>
    </w:p>
  </w:footnote>
  <w:footnote w:id="26">
    <w:p w14:paraId="1B5D0C41"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WTO Agreement: Marrakesh Agreement Establishing the World Trade Organization, Apr. 15, 1994, 1867 U.N.T.S. 154, 33 I.L.M. 1144 (1994).</w:t>
      </w:r>
    </w:p>
  </w:footnote>
  <w:footnote w:id="27">
    <w:p w14:paraId="5BABCAFE"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Peter van den Bossche and Denise Prevost, </w:t>
      </w:r>
      <w:r w:rsidRPr="008B2A01">
        <w:rPr>
          <w:rFonts w:cs="Times New Roman"/>
          <w:i/>
          <w:noProof/>
          <w:color w:val="auto"/>
        </w:rPr>
        <w:t>Essentials of WTO Law</w:t>
      </w:r>
      <w:r w:rsidRPr="008B2A01">
        <w:rPr>
          <w:rFonts w:cs="Times New Roman"/>
          <w:noProof/>
          <w:color w:val="auto"/>
        </w:rPr>
        <w:t xml:space="preserve">, Cambridge: Cambridge University Press, 2016, </w:t>
      </w:r>
      <w:r>
        <w:rPr>
          <w:rFonts w:cs="Times New Roman"/>
          <w:noProof/>
          <w:color w:val="auto"/>
        </w:rPr>
        <w:t xml:space="preserve">pp. </w:t>
      </w:r>
      <w:r w:rsidRPr="008B2A01">
        <w:rPr>
          <w:rFonts w:cs="Times New Roman"/>
          <w:noProof/>
          <w:color w:val="auto"/>
        </w:rPr>
        <w:t>13, 49</w:t>
      </w:r>
      <w:r w:rsidRPr="008B2A01">
        <w:rPr>
          <w:rFonts w:cs="Times New Roman"/>
          <w:color w:val="auto"/>
        </w:rPr>
        <w:t>.</w:t>
      </w:r>
    </w:p>
  </w:footnote>
  <w:footnote w:id="28">
    <w:p w14:paraId="689757A6"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Ibid, 49.</w:t>
      </w:r>
    </w:p>
  </w:footnote>
  <w:footnote w:id="29">
    <w:p w14:paraId="110A724B"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E-Commerce WP - Taiwan  (2018), 3, para. 3.1</w:t>
      </w:r>
      <w:r w:rsidRPr="008B2A01">
        <w:rPr>
          <w:rFonts w:cs="Times New Roman"/>
          <w:color w:val="auto"/>
        </w:rPr>
        <w:t>.</w:t>
      </w:r>
    </w:p>
  </w:footnote>
  <w:footnote w:id="30">
    <w:p w14:paraId="58CF6BCE"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GATT 1994: General Agreement on Tariffs and Trade 1994, arts. XX(a), XX(b), XX(d), XXI(b)(iii), Apr. 15, 1994, Marrakesh Agreement Establishing the World Trade Organization, Annex 1A, 1867 U.N.T.S. 187, 33 I.L.M. 1153 (1994); GATS: General Agreement on Trade in Services, arts. XIV(a), XIV(c)(ii), XIV(c)(iii), XIVbis(1)(b)(iii), Apr. 15, 1994, Marrakesh Agreement Establishing the World Trade Organization, Annex 1B, 1869 U.N.T.S. 183, 33 I.L.M. 1167 (1994). </w:t>
      </w:r>
    </w:p>
  </w:footnote>
  <w:footnote w:id="31">
    <w:p w14:paraId="28679F65"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GATS, art XIV(a), fn 5.</w:t>
      </w:r>
    </w:p>
  </w:footnote>
  <w:footnote w:id="32">
    <w:p w14:paraId="2A5AAC33"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Kuner,</w:t>
      </w:r>
      <w:r>
        <w:rPr>
          <w:rFonts w:cs="Times New Roman"/>
          <w:noProof/>
          <w:color w:val="auto"/>
        </w:rPr>
        <w:t xml:space="preserve"> ‘Data Nationalism and its Discontents’,</w:t>
      </w:r>
      <w:r w:rsidRPr="008B2A01">
        <w:rPr>
          <w:rFonts w:cs="Times New Roman"/>
          <w:noProof/>
          <w:color w:val="auto"/>
        </w:rPr>
        <w:t xml:space="preserve"> 2096</w:t>
      </w:r>
      <w:r w:rsidRPr="008B2A01">
        <w:rPr>
          <w:rFonts w:cs="Times New Roman"/>
          <w:color w:val="auto"/>
        </w:rPr>
        <w:t>.</w:t>
      </w:r>
    </w:p>
  </w:footnote>
  <w:footnote w:id="33">
    <w:p w14:paraId="738CF771"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Lina Dencik, Arne Hintz, and Jonathan Cable, ‘Towards Data Justice? The Ambiguity of Anti-Surveillance Resistance in Political Activism’, </w:t>
      </w:r>
      <w:r w:rsidRPr="008B2A01">
        <w:rPr>
          <w:rFonts w:cs="Times New Roman"/>
          <w:i/>
          <w:noProof/>
          <w:color w:val="auto"/>
        </w:rPr>
        <w:t>Big Data &amp; Society</w:t>
      </w:r>
      <w:r>
        <w:rPr>
          <w:rFonts w:cs="Times New Roman"/>
          <w:i/>
          <w:noProof/>
          <w:color w:val="auto"/>
        </w:rPr>
        <w:t>,</w:t>
      </w:r>
      <w:r w:rsidRPr="008B2A01">
        <w:rPr>
          <w:rFonts w:cs="Times New Roman"/>
          <w:noProof/>
          <w:color w:val="auto"/>
        </w:rPr>
        <w:t xml:space="preserve"> 3</w:t>
      </w:r>
      <w:r>
        <w:rPr>
          <w:rFonts w:cs="Times New Roman"/>
          <w:noProof/>
          <w:color w:val="auto"/>
        </w:rPr>
        <w:t>.</w:t>
      </w:r>
      <w:r w:rsidRPr="008B2A01">
        <w:rPr>
          <w:rFonts w:cs="Times New Roman"/>
          <w:noProof/>
          <w:color w:val="auto"/>
        </w:rPr>
        <w:t xml:space="preserve">2 </w:t>
      </w:r>
      <w:r>
        <w:rPr>
          <w:rFonts w:cs="Times New Roman"/>
          <w:noProof/>
          <w:color w:val="auto"/>
        </w:rPr>
        <w:t>(</w:t>
      </w:r>
      <w:r w:rsidRPr="008B2A01">
        <w:rPr>
          <w:rFonts w:cs="Times New Roman"/>
          <w:noProof/>
          <w:color w:val="auto"/>
        </w:rPr>
        <w:t>2016): 8-9</w:t>
      </w:r>
      <w:r w:rsidRPr="008B2A01">
        <w:rPr>
          <w:rFonts w:cs="Times New Roman"/>
          <w:color w:val="auto"/>
        </w:rPr>
        <w:t>.</w:t>
      </w:r>
    </w:p>
  </w:footnote>
  <w:footnote w:id="34">
    <w:p w14:paraId="01FD9EDE"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Linnet Taylor, ‘What is Data Justice? The Case for Connecting Digital Rights and Freedoms Globally’</w:t>
      </w:r>
      <w:r>
        <w:rPr>
          <w:rFonts w:cs="Times New Roman"/>
          <w:noProof/>
          <w:color w:val="auto"/>
        </w:rPr>
        <w:t xml:space="preserve">, </w:t>
      </w:r>
      <w:r>
        <w:rPr>
          <w:rFonts w:cs="Times New Roman"/>
          <w:i/>
          <w:noProof/>
          <w:color w:val="auto"/>
        </w:rPr>
        <w:t xml:space="preserve">Big Data &amp; Society, </w:t>
      </w:r>
      <w:r w:rsidRPr="008B2A01">
        <w:rPr>
          <w:rFonts w:cs="Times New Roman"/>
          <w:noProof/>
          <w:color w:val="auto"/>
        </w:rPr>
        <w:t>4</w:t>
      </w:r>
      <w:r>
        <w:rPr>
          <w:rFonts w:cs="Times New Roman"/>
          <w:noProof/>
          <w:color w:val="auto"/>
        </w:rPr>
        <w:t>.</w:t>
      </w:r>
      <w:r w:rsidRPr="008B2A01">
        <w:rPr>
          <w:rFonts w:cs="Times New Roman"/>
          <w:noProof/>
          <w:color w:val="auto"/>
        </w:rPr>
        <w:t xml:space="preserve">2 </w:t>
      </w:r>
      <w:r>
        <w:rPr>
          <w:rFonts w:cs="Times New Roman"/>
          <w:noProof/>
          <w:color w:val="auto"/>
        </w:rPr>
        <w:t>(</w:t>
      </w:r>
      <w:r w:rsidRPr="008B2A01">
        <w:rPr>
          <w:rFonts w:cs="Times New Roman"/>
          <w:noProof/>
          <w:color w:val="auto"/>
        </w:rPr>
        <w:t>2017): 1-4</w:t>
      </w:r>
      <w:r w:rsidRPr="008B2A01">
        <w:rPr>
          <w:rFonts w:cs="Times New Roman"/>
          <w:color w:val="auto"/>
        </w:rPr>
        <w:t>.</w:t>
      </w:r>
    </w:p>
  </w:footnote>
  <w:footnote w:id="35">
    <w:p w14:paraId="79C46504"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Braithwaite,</w:t>
      </w:r>
      <w:r>
        <w:rPr>
          <w:rFonts w:cs="Times New Roman"/>
          <w:noProof/>
          <w:color w:val="auto"/>
        </w:rPr>
        <w:t xml:space="preserve"> ‘Closing the Gap’,</w:t>
      </w:r>
      <w:r w:rsidRPr="008B2A01">
        <w:rPr>
          <w:rFonts w:cs="Times New Roman"/>
          <w:noProof/>
          <w:color w:val="auto"/>
        </w:rPr>
        <w:t xml:space="preserve"> 30-33</w:t>
      </w:r>
      <w:r w:rsidRPr="008B2A01">
        <w:rPr>
          <w:rFonts w:cs="Times New Roman"/>
          <w:color w:val="auto"/>
        </w:rPr>
        <w:t>.</w:t>
      </w:r>
    </w:p>
  </w:footnote>
  <w:footnote w:id="36">
    <w:p w14:paraId="7E643766"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Floridi, </w:t>
      </w:r>
      <w:r w:rsidRPr="00B72EF8">
        <w:rPr>
          <w:rFonts w:cs="Times New Roman"/>
          <w:i/>
          <w:noProof/>
          <w:color w:val="auto"/>
        </w:rPr>
        <w:t>The Ethics of Information</w:t>
      </w:r>
      <w:r>
        <w:rPr>
          <w:rFonts w:cs="Times New Roman"/>
          <w:noProof/>
          <w:color w:val="auto"/>
        </w:rPr>
        <w:t xml:space="preserve">, </w:t>
      </w:r>
      <w:r w:rsidRPr="008B2A01">
        <w:rPr>
          <w:rFonts w:cs="Times New Roman"/>
          <w:noProof/>
          <w:color w:val="auto"/>
        </w:rPr>
        <w:t>65-67</w:t>
      </w:r>
      <w:r w:rsidRPr="008B2A01">
        <w:rPr>
          <w:rFonts w:cs="Times New Roman"/>
          <w:color w:val="auto"/>
        </w:rPr>
        <w:t>.</w:t>
      </w:r>
    </w:p>
  </w:footnote>
  <w:footnote w:id="37">
    <w:p w14:paraId="65AE3904"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As an alternative to DL policies scholars sometimes refer to the Mutual Legal Assistance Treaties (MLATs). While under MLATs states may agree on information exchange and establish an effective regime of cross-border data interception, this mechanism is extremely time consuming and of a highly political nature. In most cases the request for the information exchange under MLATs may be easily denied. </w:t>
      </w:r>
      <w:r w:rsidRPr="008B2A01">
        <w:rPr>
          <w:rFonts w:cs="Times New Roman"/>
          <w:color w:val="auto"/>
        </w:rPr>
        <w:t xml:space="preserve">Thus, under the MLAT between Russia and the United States ‘the execution of the request [may be denied if it] would prejudice the security or other essential interests of the Requested Party’. Apparently, the category of essential interests is broad and would have different meanings for both Russia and the United States especially considering the current state of international relations between both actors. Hence, </w:t>
      </w:r>
      <w:r w:rsidRPr="008B2A01">
        <w:rPr>
          <w:rFonts w:cs="Times New Roman"/>
          <w:color w:val="auto"/>
          <w:lang w:val="en-US"/>
        </w:rPr>
        <w:t xml:space="preserve">while recognizing the role, although somewhat limited, of MLATs in controlling cross-border data flows, this chapter leaves the question of their potential to constitute a substitute to DL polices open and subject to the future research. See </w:t>
      </w:r>
      <w:r w:rsidRPr="008B2A01">
        <w:rPr>
          <w:rFonts w:cs="Times New Roman"/>
          <w:color w:val="auto"/>
        </w:rPr>
        <w:t xml:space="preserve">Chander and Lê, </w:t>
      </w:r>
      <w:r>
        <w:rPr>
          <w:rFonts w:cs="Times New Roman"/>
          <w:color w:val="auto"/>
        </w:rPr>
        <w:t xml:space="preserve">‘Data Nationalism’, </w:t>
      </w:r>
      <w:r w:rsidRPr="008B2A01">
        <w:rPr>
          <w:rFonts w:cs="Times New Roman"/>
          <w:color w:val="auto"/>
          <w:lang w:val="en-US"/>
        </w:rPr>
        <w:t xml:space="preserve">730–735; </w:t>
      </w:r>
      <w:r w:rsidRPr="008B2A01">
        <w:rPr>
          <w:rFonts w:cs="Times New Roman"/>
          <w:color w:val="auto"/>
        </w:rPr>
        <w:t>Peng and Liu,</w:t>
      </w:r>
      <w:r>
        <w:rPr>
          <w:rFonts w:cs="Times New Roman"/>
          <w:color w:val="auto"/>
        </w:rPr>
        <w:t xml:space="preserve"> ‘The Legality of Data Residency Requirements’,</w:t>
      </w:r>
      <w:r w:rsidRPr="008B2A01">
        <w:rPr>
          <w:rFonts w:cs="Times New Roman"/>
          <w:color w:val="auto"/>
        </w:rPr>
        <w:t xml:space="preserve"> 201–202; ‘Rethinking Data, Geography, and Jurisdiction: Towards a Common Framework for Harmonizing Global Data Flow Controls’, New America, (2018), 5–8, https://newamerica.org/documents/2084/Rethinking_Data_Geography_Jurisdiction_2.21.pdf. </w:t>
      </w:r>
    </w:p>
  </w:footnote>
  <w:footnote w:id="38">
    <w:p w14:paraId="67CE3D1F"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‘Principles for Good Governance of Regulators (Public Consultation Draft)’, Organisation for Economic Co-operation and Development, (2013), http://www.oecd.org/gov/regulatory-policy/Governance%20of%20Regulators%20FN%202.docx.</w:t>
      </w:r>
    </w:p>
  </w:footnote>
  <w:footnote w:id="39">
    <w:p w14:paraId="6E0BB2F6"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Berne Convention for the Protection of Literary and Artistic Works, Sep. 9, 1886, revised at Paris July 24, 1979, 828 U.N.T.S. 221, S. Treaty Doc. No. 99-27, 99th Cong. (1986).</w:t>
      </w:r>
    </w:p>
  </w:footnote>
  <w:footnote w:id="40">
    <w:p w14:paraId="51DD8C5D"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Peter Drahos, </w:t>
      </w:r>
      <w:r w:rsidRPr="008B2A01">
        <w:rPr>
          <w:rFonts w:cs="Times New Roman"/>
          <w:i/>
          <w:noProof/>
          <w:color w:val="auto"/>
        </w:rPr>
        <w:t>A Philosophy of Intellectual Property</w:t>
      </w:r>
      <w:r w:rsidRPr="008B2A01">
        <w:rPr>
          <w:rFonts w:cs="Times New Roman"/>
          <w:noProof/>
          <w:color w:val="auto"/>
        </w:rPr>
        <w:t xml:space="preserve">, Aldershot: Ashgate Publishing Company, 1996, </w:t>
      </w:r>
      <w:r>
        <w:rPr>
          <w:rFonts w:cs="Times New Roman"/>
          <w:noProof/>
          <w:color w:val="auto"/>
        </w:rPr>
        <w:t xml:space="preserve">p. </w:t>
      </w:r>
      <w:r w:rsidRPr="008B2A01">
        <w:rPr>
          <w:rFonts w:cs="Times New Roman"/>
          <w:noProof/>
          <w:color w:val="auto"/>
        </w:rPr>
        <w:t>180</w:t>
      </w:r>
      <w:r w:rsidRPr="008B2A01">
        <w:rPr>
          <w:rFonts w:cs="Times New Roman"/>
          <w:color w:val="auto"/>
        </w:rPr>
        <w:t>.</w:t>
      </w:r>
    </w:p>
  </w:footnote>
  <w:footnote w:id="41">
    <w:p w14:paraId="3B5EB582"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See </w:t>
      </w:r>
      <w:r w:rsidRPr="008B2A01">
        <w:rPr>
          <w:rFonts w:cs="Times New Roman"/>
          <w:noProof/>
          <w:color w:val="auto"/>
        </w:rPr>
        <w:t xml:space="preserve">Luciano Floridi, ‘The Method of Levels of Abstraction’, </w:t>
      </w:r>
      <w:r w:rsidRPr="008B2A01">
        <w:rPr>
          <w:rFonts w:cs="Times New Roman"/>
          <w:i/>
          <w:noProof/>
          <w:color w:val="auto"/>
        </w:rPr>
        <w:t>Minds &amp; Machines</w:t>
      </w:r>
      <w:r>
        <w:rPr>
          <w:rFonts w:cs="Times New Roman"/>
          <w:i/>
          <w:noProof/>
          <w:color w:val="auto"/>
        </w:rPr>
        <w:t>,</w:t>
      </w:r>
      <w:r w:rsidRPr="008B2A01">
        <w:rPr>
          <w:rFonts w:cs="Times New Roman"/>
          <w:noProof/>
          <w:color w:val="auto"/>
        </w:rPr>
        <w:t xml:space="preserve"> 18</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2008): 305-</w:t>
      </w:r>
      <w:r>
        <w:rPr>
          <w:rFonts w:cs="Times New Roman"/>
          <w:noProof/>
          <w:color w:val="auto"/>
        </w:rPr>
        <w:t>3</w:t>
      </w:r>
      <w:r w:rsidRPr="008B2A01">
        <w:rPr>
          <w:rFonts w:cs="Times New Roman"/>
          <w:noProof/>
          <w:color w:val="auto"/>
        </w:rPr>
        <w:t>06</w:t>
      </w:r>
      <w:r w:rsidRPr="008B2A01">
        <w:rPr>
          <w:rFonts w:cs="Times New Roman"/>
          <w:color w:val="auto"/>
        </w:rPr>
        <w:t>.</w:t>
      </w:r>
    </w:p>
  </w:footnote>
  <w:footnote w:id="42">
    <w:p w14:paraId="3B662161"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‘Data Localization Snapshot’,  www.itic.org.</w:t>
      </w:r>
    </w:p>
  </w:footnote>
  <w:footnote w:id="43">
    <w:p w14:paraId="581B6851"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Content data – information aimed at the public (e.g. text messages, audio-</w:t>
      </w:r>
      <w:r>
        <w:rPr>
          <w:rFonts w:cs="Times New Roman"/>
          <w:color w:val="auto"/>
        </w:rPr>
        <w:t xml:space="preserve"> and</w:t>
      </w:r>
      <w:r w:rsidRPr="008B2A01">
        <w:rPr>
          <w:rFonts w:cs="Times New Roman"/>
          <w:color w:val="auto"/>
        </w:rPr>
        <w:t xml:space="preserve"> video-files). Metadata – data about information aimed at the public (e.g. IP-address and device the content was sent from, time of the content exchange, format of the content).</w:t>
      </w:r>
    </w:p>
  </w:footnote>
  <w:footnote w:id="44">
    <w:p w14:paraId="2E7DE2B7" w14:textId="77777777" w:rsidR="00310B95" w:rsidRPr="008B2A01" w:rsidRDefault="00310B95" w:rsidP="00310B95">
      <w:pPr>
        <w:pStyle w:val="FootnoteText"/>
        <w:rPr>
          <w:rFonts w:cs="Times New Roman"/>
          <w:lang w:val="ru-RU"/>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Chander and Lê,</w:t>
      </w:r>
      <w:r>
        <w:rPr>
          <w:rFonts w:cs="Times New Roman"/>
          <w:noProof/>
          <w:color w:val="auto"/>
        </w:rPr>
        <w:t xml:space="preserve"> ‘Data Nationalism’,</w:t>
      </w:r>
      <w:r w:rsidRPr="008B2A01">
        <w:rPr>
          <w:rFonts w:cs="Times New Roman"/>
          <w:noProof/>
          <w:color w:val="auto"/>
        </w:rPr>
        <w:t xml:space="preserve"> 716-17</w:t>
      </w:r>
      <w:r w:rsidRPr="008B2A01">
        <w:rPr>
          <w:rFonts w:cs="Times New Roman"/>
          <w:color w:val="auto"/>
        </w:rPr>
        <w:t xml:space="preserve">. Jackpot problem – a centralized data storage </w:t>
      </w:r>
      <w:r w:rsidRPr="008B2A01">
        <w:rPr>
          <w:rFonts w:cs="Times New Roman"/>
          <w:color w:val="auto"/>
          <w:lang w:val="en-US"/>
        </w:rPr>
        <w:t>that simplifies access for the intruder (e.g. designating a state-owned data center for an obligatory data storage). Protected local provider problem – a deterioration of local data processing services as a result of a limited competition established by the DL policy (i.e. data processing market shrinks by excluding international businesses).</w:t>
      </w:r>
      <w:r w:rsidRPr="008B2A01">
        <w:rPr>
          <w:rFonts w:cs="Times New Roman"/>
          <w:color w:val="auto"/>
          <w:lang w:val="ru-RU"/>
        </w:rPr>
        <w:t xml:space="preserve"> </w:t>
      </w:r>
    </w:p>
  </w:footnote>
  <w:footnote w:id="45">
    <w:p w14:paraId="2E6F408D"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‘Analiz Sushestvujushih Metodov Upravlenija Dostupom k Internet-Resursam i Rekomendatsii po ih Primeneniju’, (</w:t>
      </w:r>
      <w:r w:rsidRPr="008B2A01">
        <w:rPr>
          <w:rFonts w:cs="Times New Roman"/>
          <w:i/>
          <w:noProof/>
          <w:color w:val="auto"/>
        </w:rPr>
        <w:t>Analysis of Existing Methods Regarding Administration of the Access to Internet-Resources and Recommendations on Their Application</w:t>
      </w:r>
      <w:r w:rsidRPr="008B2A01">
        <w:rPr>
          <w:rFonts w:cs="Times New Roman"/>
          <w:noProof/>
          <w:color w:val="auto"/>
        </w:rPr>
        <w:t>), [in Russian], Official Website of Federal Service for Supervision of Communications, Information Technology and Mass Media, (2013), https://rkn.gov.ru/docs/Analysys_and_recommendations_comments_fin.pdf; ‘Digital</w:t>
      </w:r>
      <w:r>
        <w:rPr>
          <w:rFonts w:cs="Times New Roman"/>
          <w:noProof/>
          <w:color w:val="auto"/>
        </w:rPr>
        <w:t xml:space="preserve"> </w:t>
      </w:r>
      <w:r w:rsidRPr="008B2A01">
        <w:rPr>
          <w:rFonts w:cs="Times New Roman"/>
          <w:noProof/>
          <w:color w:val="auto"/>
        </w:rPr>
        <w:t>Child Exploitation Filtering System’, The New Zealand Department of Internal Affairs, (2009), http://www.dia.govt.nz/pubforms.nsf/URL/DCESF-PublicInformationPack.pdf/$file/DCESF-PublicInformationPack.pdf.</w:t>
      </w:r>
    </w:p>
  </w:footnote>
  <w:footnote w:id="46">
    <w:p w14:paraId="7D0C324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‘Encryption Policy in Democratic Regimes: Finding Convergent Paths and Balanced Solutions’, EastWest Institute, (2018), 32-38, https://www.eastwest.ngo/sites/default/files/ewi-encryption.pdf</w:t>
      </w:r>
      <w:r w:rsidRPr="008B2A01">
        <w:rPr>
          <w:rFonts w:cs="Times New Roman"/>
          <w:color w:val="auto"/>
        </w:rPr>
        <w:t>.</w:t>
      </w:r>
    </w:p>
  </w:footnote>
  <w:footnote w:id="47">
    <w:p w14:paraId="57F2559D"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‘Telegram Loses Bid to Block Russia From Encryption Keys’, </w:t>
      </w:r>
      <w:r w:rsidRPr="008B2A01">
        <w:rPr>
          <w:rFonts w:cs="Times New Roman"/>
          <w:i/>
          <w:noProof/>
          <w:color w:val="auto"/>
        </w:rPr>
        <w:t>Bloomberg</w:t>
      </w:r>
      <w:r w:rsidRPr="008B2A01">
        <w:rPr>
          <w:rFonts w:cs="Times New Roman"/>
          <w:noProof/>
          <w:color w:val="auto"/>
        </w:rPr>
        <w:t>, 21 March 2018, https://www.bloomberg.com/news/articles/2018-03-20/telegram-loses-bid-to-stop-russia-from-getting-encryption-keys</w:t>
      </w:r>
      <w:r w:rsidRPr="008B2A01">
        <w:rPr>
          <w:rFonts w:cs="Times New Roman"/>
          <w:color w:val="auto"/>
        </w:rPr>
        <w:t xml:space="preserve">. </w:t>
      </w:r>
      <w:r w:rsidRPr="008B2A01">
        <w:rPr>
          <w:rFonts w:cs="Times New Roman"/>
          <w:color w:val="auto"/>
          <w:lang w:val="en-US"/>
        </w:rPr>
        <w:t xml:space="preserve">One of the arguments within discussion of this case was that </w:t>
      </w:r>
      <w:r>
        <w:rPr>
          <w:rFonts w:cs="Times New Roman"/>
          <w:color w:val="auto"/>
          <w:lang w:val="en-US"/>
        </w:rPr>
        <w:t xml:space="preserve">the </w:t>
      </w:r>
      <w:r w:rsidRPr="008B2A01">
        <w:rPr>
          <w:rFonts w:cs="Times New Roman"/>
          <w:color w:val="auto"/>
          <w:lang w:val="en-US"/>
        </w:rPr>
        <w:t>Russian Federal Security Service does not provide for</w:t>
      </w:r>
      <w:r>
        <w:rPr>
          <w:rFonts w:cs="Times New Roman"/>
          <w:color w:val="auto"/>
          <w:lang w:val="en-US"/>
        </w:rPr>
        <w:t xml:space="preserve"> a</w:t>
      </w:r>
      <w:r w:rsidRPr="008B2A01">
        <w:rPr>
          <w:rFonts w:cs="Times New Roman"/>
          <w:color w:val="auto"/>
          <w:lang w:val="en-US"/>
        </w:rPr>
        <w:t xml:space="preserve"> secure means of encryption keys disclosure and allows </w:t>
      </w:r>
      <w:r>
        <w:rPr>
          <w:rFonts w:cs="Times New Roman"/>
          <w:color w:val="auto"/>
          <w:lang w:val="en-US"/>
        </w:rPr>
        <w:t>them to be sent</w:t>
      </w:r>
      <w:r w:rsidRPr="008B2A01">
        <w:rPr>
          <w:rFonts w:cs="Times New Roman"/>
          <w:color w:val="auto"/>
          <w:lang w:val="en-US"/>
        </w:rPr>
        <w:t xml:space="preserve"> over unsecured mail or email.</w:t>
      </w:r>
    </w:p>
  </w:footnote>
  <w:footnote w:id="48">
    <w:p w14:paraId="06CB574F"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Gervais, </w:t>
      </w:r>
      <w:r>
        <w:rPr>
          <w:rFonts w:cs="Times New Roman"/>
          <w:noProof/>
          <w:color w:val="auto"/>
        </w:rPr>
        <w:t xml:space="preserve">‘Regulation of Inchoate Technologies’, </w:t>
      </w:r>
      <w:r w:rsidRPr="008B2A01">
        <w:rPr>
          <w:rFonts w:cs="Times New Roman"/>
          <w:noProof/>
          <w:color w:val="auto"/>
        </w:rPr>
        <w:t>684-88</w:t>
      </w:r>
      <w:r w:rsidRPr="008B2A01">
        <w:rPr>
          <w:rFonts w:cs="Times New Roman"/>
          <w:color w:val="auto"/>
        </w:rPr>
        <w:t>.</w:t>
      </w:r>
    </w:p>
  </w:footnote>
  <w:footnote w:id="49">
    <w:p w14:paraId="41E11B0F"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Consider the following. </w:t>
      </w:r>
      <w:r w:rsidRPr="008B2A01">
        <w:rPr>
          <w:rFonts w:cs="Times New Roman"/>
          <w:color w:val="auto"/>
          <w:lang w:val="en-US"/>
        </w:rPr>
        <w:t>Russian measures require stor</w:t>
      </w:r>
      <w:r>
        <w:rPr>
          <w:rFonts w:cs="Times New Roman"/>
          <w:color w:val="auto"/>
          <w:lang w:val="en-US"/>
        </w:rPr>
        <w:t>ing</w:t>
      </w:r>
      <w:r w:rsidRPr="008B2A01">
        <w:rPr>
          <w:rFonts w:cs="Times New Roman"/>
          <w:color w:val="auto"/>
          <w:lang w:val="en-US"/>
        </w:rPr>
        <w:t xml:space="preserve"> data onshore, but do not prohibit </w:t>
      </w:r>
      <w:r>
        <w:rPr>
          <w:rFonts w:cs="Times New Roman"/>
          <w:color w:val="auto"/>
          <w:lang w:val="en-US"/>
        </w:rPr>
        <w:t>data being</w:t>
      </w:r>
      <w:r w:rsidRPr="008B2A01">
        <w:rPr>
          <w:rFonts w:cs="Times New Roman"/>
          <w:color w:val="auto"/>
          <w:lang w:val="en-US"/>
        </w:rPr>
        <w:t xml:space="preserve"> transferr</w:t>
      </w:r>
      <w:r>
        <w:rPr>
          <w:rFonts w:cs="Times New Roman"/>
          <w:color w:val="auto"/>
          <w:lang w:val="en-US"/>
        </w:rPr>
        <w:t>ed</w:t>
      </w:r>
      <w:r w:rsidRPr="008B2A01">
        <w:rPr>
          <w:rFonts w:cs="Times New Roman"/>
          <w:color w:val="auto"/>
          <w:lang w:val="en-US"/>
        </w:rPr>
        <w:t xml:space="preserve"> abroad in full. Australian measures require stor</w:t>
      </w:r>
      <w:r>
        <w:rPr>
          <w:rFonts w:cs="Times New Roman"/>
          <w:color w:val="auto"/>
          <w:lang w:val="en-US"/>
        </w:rPr>
        <w:t>ing</w:t>
      </w:r>
      <w:r w:rsidRPr="008B2A01">
        <w:rPr>
          <w:rFonts w:cs="Times New Roman"/>
          <w:color w:val="auto"/>
          <w:lang w:val="en-US"/>
        </w:rPr>
        <w:t xml:space="preserve"> data onshore by prohibiting any transfer of PCEHR overseas unless redacted, anonymized and conducted by an authorized public agency. Obviously, without taking into consideration other features of the systems it is impossible to conclude whether any of them amount to smart regulatory practice.  </w:t>
      </w:r>
    </w:p>
  </w:footnote>
  <w:footnote w:id="50">
    <w:p w14:paraId="73D7F27A" w14:textId="77777777" w:rsidR="00310B95" w:rsidRPr="008B2A01" w:rsidRDefault="00310B95" w:rsidP="00310B95">
      <w:pPr>
        <w:pStyle w:val="FootnoteText"/>
        <w:tabs>
          <w:tab w:val="left" w:pos="7537"/>
        </w:tabs>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By various estimates only the costs of communications data localisation will be anywhere from $50 </w:t>
      </w:r>
      <w:r>
        <w:rPr>
          <w:rFonts w:cs="Times New Roman"/>
          <w:color w:val="auto"/>
        </w:rPr>
        <w:t xml:space="preserve">million </w:t>
      </w:r>
      <w:r w:rsidRPr="008B2A01">
        <w:rPr>
          <w:rFonts w:cs="Times New Roman"/>
          <w:color w:val="auto"/>
        </w:rPr>
        <w:t xml:space="preserve">to $154 </w:t>
      </w:r>
      <w:r>
        <w:rPr>
          <w:rFonts w:cs="Times New Roman"/>
          <w:color w:val="auto"/>
        </w:rPr>
        <w:t>billion</w:t>
      </w:r>
      <w:r w:rsidRPr="008B2A01">
        <w:rPr>
          <w:rFonts w:cs="Times New Roman"/>
          <w:color w:val="auto"/>
        </w:rPr>
        <w:t xml:space="preserve">. See </w:t>
      </w:r>
      <w:r w:rsidRPr="008B2A01">
        <w:rPr>
          <w:rFonts w:cs="Times New Roman"/>
          <w:noProof/>
          <w:color w:val="auto"/>
        </w:rPr>
        <w:t xml:space="preserve">‘Russia's “Big Brother Law” to Cost Telecoms $154Bln – Report’, </w:t>
      </w:r>
      <w:r w:rsidRPr="008B2A01">
        <w:rPr>
          <w:rFonts w:cs="Times New Roman"/>
          <w:i/>
          <w:noProof/>
          <w:color w:val="auto"/>
        </w:rPr>
        <w:t>The Moscow Times</w:t>
      </w:r>
      <w:r w:rsidRPr="008B2A01">
        <w:rPr>
          <w:rFonts w:cs="Times New Roman"/>
          <w:noProof/>
          <w:color w:val="auto"/>
        </w:rPr>
        <w:t>, 26 August 2016, https://themoscowtimes.com/news/anti-terror-big-brother-law-to-cost-russian-companies-154bln-says-expert-55125</w:t>
      </w:r>
      <w:r w:rsidRPr="008B2A01">
        <w:rPr>
          <w:rFonts w:cs="Times New Roman"/>
          <w:color w:val="auto"/>
        </w:rPr>
        <w:t>.</w:t>
      </w:r>
      <w:r w:rsidRPr="008B2A01">
        <w:rPr>
          <w:rFonts w:cs="Times New Roman"/>
          <w:color w:val="auto"/>
        </w:rPr>
        <w:tab/>
      </w:r>
    </w:p>
  </w:footnote>
  <w:footnote w:id="51">
    <w:p w14:paraId="3E7E1EF7"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See A. Wallace Hayes, ‘The Precautionary Principle’, </w:t>
      </w:r>
      <w:r w:rsidRPr="008B2A01">
        <w:rPr>
          <w:rFonts w:cs="Times New Roman"/>
          <w:i/>
          <w:color w:val="auto"/>
        </w:rPr>
        <w:t>Archives Indus. Hygiene &amp; Toxicology</w:t>
      </w:r>
      <w:r w:rsidRPr="008B2A01">
        <w:rPr>
          <w:rFonts w:cs="Times New Roman"/>
          <w:color w:val="auto"/>
        </w:rPr>
        <w:t xml:space="preserve"> 56 (2005): 161-62.</w:t>
      </w:r>
    </w:p>
  </w:footnote>
  <w:footnote w:id="52">
    <w:p w14:paraId="0776D242"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Ibid.</w:t>
      </w:r>
    </w:p>
  </w:footnote>
  <w:footnote w:id="53">
    <w:p w14:paraId="746CF05C"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Gervais, </w:t>
      </w:r>
      <w:r>
        <w:rPr>
          <w:rFonts w:cs="Times New Roman"/>
          <w:color w:val="auto"/>
          <w:lang w:val="en-US"/>
        </w:rPr>
        <w:t xml:space="preserve">‘Regulation of Inchoate Technologies’, </w:t>
      </w:r>
      <w:r w:rsidRPr="008B2A01">
        <w:rPr>
          <w:rFonts w:cs="Times New Roman"/>
          <w:color w:val="auto"/>
          <w:lang w:val="en-US"/>
        </w:rPr>
        <w:t>693-704.</w:t>
      </w:r>
    </w:p>
  </w:footnote>
  <w:footnote w:id="54">
    <w:p w14:paraId="124DF714"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However, there is a plethora of formulas for the precautionary principle depending on the applicable sector and wording. See Hayes, </w:t>
      </w:r>
      <w:r>
        <w:rPr>
          <w:rFonts w:cs="Times New Roman"/>
          <w:color w:val="auto"/>
          <w:lang w:val="en-US"/>
        </w:rPr>
        <w:t xml:space="preserve">‘The Precautionary Principle’, </w:t>
      </w:r>
      <w:r w:rsidRPr="008B2A01">
        <w:rPr>
          <w:rFonts w:cs="Times New Roman"/>
          <w:color w:val="auto"/>
          <w:lang w:val="en-US"/>
        </w:rPr>
        <w:t>162.</w:t>
      </w:r>
    </w:p>
  </w:footnote>
  <w:footnote w:id="55">
    <w:p w14:paraId="540C8545"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Gervais, </w:t>
      </w:r>
      <w:r>
        <w:rPr>
          <w:rFonts w:cs="Times New Roman"/>
          <w:color w:val="auto"/>
          <w:lang w:val="en-US"/>
        </w:rPr>
        <w:t xml:space="preserve">‘Regulation of Inchoate Technologies’, </w:t>
      </w:r>
      <w:r w:rsidRPr="008B2A01">
        <w:rPr>
          <w:rFonts w:cs="Times New Roman"/>
          <w:color w:val="auto"/>
          <w:lang w:val="en-US"/>
        </w:rPr>
        <w:t>697.</w:t>
      </w:r>
    </w:p>
  </w:footnote>
  <w:footnote w:id="56">
    <w:p w14:paraId="7F617B15"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The proposed framework reflects on the four ethical principles of Information Ethics. See Floridi, </w:t>
      </w:r>
      <w:r>
        <w:rPr>
          <w:rFonts w:cs="Times New Roman"/>
          <w:i/>
          <w:color w:val="auto"/>
        </w:rPr>
        <w:t xml:space="preserve">The Ethics of </w:t>
      </w:r>
      <w:r w:rsidRPr="00E11F2A">
        <w:rPr>
          <w:rFonts w:cs="Times New Roman"/>
          <w:color w:val="auto"/>
        </w:rPr>
        <w:t>Information</w:t>
      </w:r>
      <w:r>
        <w:rPr>
          <w:rFonts w:cs="Times New Roman"/>
          <w:color w:val="auto"/>
        </w:rPr>
        <w:t xml:space="preserve">, </w:t>
      </w:r>
      <w:r w:rsidRPr="00E11F2A">
        <w:rPr>
          <w:rFonts w:cs="Times New Roman"/>
          <w:color w:val="auto"/>
        </w:rPr>
        <w:t>70</w:t>
      </w:r>
      <w:r w:rsidRPr="008B2A01">
        <w:rPr>
          <w:rFonts w:cs="Times New Roman"/>
          <w:color w:val="auto"/>
        </w:rPr>
        <w:t>-74.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757B5"/>
    <w:multiLevelType w:val="hybridMultilevel"/>
    <w:tmpl w:val="FFA056DA"/>
    <w:lvl w:ilvl="0" w:tplc="0C09000F">
      <w:start w:val="1"/>
      <w:numFmt w:val="decimal"/>
      <w:lvlText w:val="%1."/>
      <w:lvlJc w:val="left"/>
      <w:pPr>
        <w:ind w:left="1419" w:hanging="360"/>
      </w:pPr>
      <w:rPr>
        <w:rFont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95"/>
    <w:rsid w:val="00165C0D"/>
    <w:rsid w:val="002963AD"/>
    <w:rsid w:val="002E6BD1"/>
    <w:rsid w:val="00310B95"/>
    <w:rsid w:val="006A6614"/>
    <w:rsid w:val="00762B4E"/>
    <w:rsid w:val="0098576B"/>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B0D921"/>
  <w14:defaultImageDpi w14:val="32767"/>
  <w15:chartTrackingRefBased/>
  <w15:docId w15:val="{26E6A46E-9AAB-B24C-A6D4-FB5A4088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B95"/>
    <w:pPr>
      <w:spacing w:after="160" w:line="259" w:lineRule="auto"/>
    </w:pPr>
    <w:rPr>
      <w:sz w:val="22"/>
      <w:szCs w:val="22"/>
      <w:lang w:val="en-AU"/>
    </w:rPr>
  </w:style>
  <w:style w:type="paragraph" w:styleId="Heading1">
    <w:name w:val="heading 1"/>
    <w:basedOn w:val="Normal"/>
    <w:next w:val="Normal"/>
    <w:link w:val="Heading1Char"/>
    <w:uiPriority w:val="9"/>
    <w:qFormat/>
    <w:rsid w:val="00310B9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310B9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310B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B9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310B95"/>
    <w:rPr>
      <w:rFonts w:ascii="Times New Roman" w:eastAsia="Calibri" w:hAnsi="Times New Roman" w:cs="Times New Roman"/>
      <w:b/>
      <w:color w:val="000000"/>
      <w:sz w:val="28"/>
      <w:szCs w:val="28"/>
      <w:lang w:val="en-US" w:eastAsia="en-AU"/>
    </w:rPr>
  </w:style>
  <w:style w:type="paragraph" w:styleId="ListParagraph">
    <w:name w:val="List Paragraph"/>
    <w:basedOn w:val="Normal"/>
    <w:uiPriority w:val="34"/>
    <w:qFormat/>
    <w:rsid w:val="00310B95"/>
    <w:pPr>
      <w:ind w:left="720"/>
      <w:contextualSpacing/>
    </w:pPr>
  </w:style>
  <w:style w:type="paragraph" w:styleId="FootnoteText">
    <w:name w:val="footnote text"/>
    <w:basedOn w:val="Normal"/>
    <w:link w:val="FootnoteTextChar"/>
    <w:uiPriority w:val="99"/>
    <w:unhideWhenUsed/>
    <w:qFormat/>
    <w:rsid w:val="00310B95"/>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310B95"/>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310B95"/>
    <w:rPr>
      <w:vertAlign w:val="superscript"/>
    </w:rPr>
  </w:style>
  <w:style w:type="paragraph" w:customStyle="1" w:styleId="EndNoteBibliography">
    <w:name w:val="EndNote Bibliography"/>
    <w:basedOn w:val="Normal"/>
    <w:link w:val="EndNoteBibliographyChar"/>
    <w:rsid w:val="00310B95"/>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310B95"/>
    <w:rPr>
      <w:rFonts w:ascii="Times New Roman" w:eastAsia="Calibri" w:hAnsi="Times New Roman" w:cs="Calibri"/>
      <w:noProof/>
      <w:color w:val="000000"/>
      <w:sz w:val="20"/>
      <w:szCs w:val="20"/>
      <w:lang w:val="en-AU" w:eastAsia="en-AU"/>
    </w:rPr>
  </w:style>
  <w:style w:type="paragraph" w:styleId="Quote">
    <w:name w:val="Quote"/>
    <w:basedOn w:val="Normal"/>
    <w:next w:val="Normal"/>
    <w:link w:val="QuoteChar"/>
    <w:uiPriority w:val="29"/>
    <w:qFormat/>
    <w:rsid w:val="00310B95"/>
    <w:pPr>
      <w:spacing w:after="200" w:line="276" w:lineRule="auto"/>
    </w:pPr>
    <w:rPr>
      <w:rFonts w:ascii="Calibri" w:eastAsia="Calibri" w:hAnsi="Calibri" w:cs="Times New Roman"/>
      <w:i/>
      <w:iCs/>
      <w:color w:val="000000"/>
      <w:sz w:val="24"/>
      <w:lang w:val="en-US"/>
    </w:rPr>
  </w:style>
  <w:style w:type="character" w:customStyle="1" w:styleId="QuoteChar">
    <w:name w:val="Quote Char"/>
    <w:basedOn w:val="DefaultParagraphFont"/>
    <w:link w:val="Quote"/>
    <w:uiPriority w:val="29"/>
    <w:rsid w:val="00310B95"/>
    <w:rPr>
      <w:rFonts w:ascii="Calibri" w:eastAsia="Calibri" w:hAnsi="Calibri" w:cs="Times New Roman"/>
      <w:i/>
      <w:iCs/>
      <w:color w:val="000000"/>
      <w:szCs w:val="22"/>
      <w:lang w:val="en-US"/>
    </w:rPr>
  </w:style>
  <w:style w:type="character" w:customStyle="1" w:styleId="Heading3Char">
    <w:name w:val="Heading 3 Char"/>
    <w:basedOn w:val="DefaultParagraphFont"/>
    <w:link w:val="Heading3"/>
    <w:uiPriority w:val="9"/>
    <w:rsid w:val="00310B95"/>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2E6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BD1"/>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6027</Words>
  <Characters>34358</Characters>
  <Application>Microsoft Office Word</Application>
  <DocSecurity>0</DocSecurity>
  <Lines>286</Lines>
  <Paragraphs>80</Paragraphs>
  <ScaleCrop>false</ScaleCrop>
  <Company/>
  <LinksUpToDate>false</LinksUpToDate>
  <CharactersWithSpaces>40305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2018-12-10T10:29:00Z</dcterms:created>
  <dcterms:modified xsi:type="dcterms:W3CDTF">2018-12-10T12:55:00Z</dcterms:modified>
</cp:coreProperties>
</file>