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FE6B" w14:textId="77777777" w:rsidR="00F665E2" w:rsidRPr="00F665E2" w:rsidRDefault="00F665E2" w:rsidP="00822E25">
      <w:pPr>
        <w:pStyle w:val="Title"/>
      </w:pPr>
      <w:r w:rsidRPr="00F665E2">
        <w:t xml:space="preserve">THEME 5: GOOD AND SMART DATA </w:t>
      </w:r>
    </w:p>
    <w:p w14:paraId="66A994FB" w14:textId="77777777" w:rsidR="00F665E2" w:rsidRDefault="00F665E2">
      <w:pPr>
        <w:spacing w:after="0" w:line="240" w:lineRule="auto"/>
        <w:rPr>
          <w:rFonts w:ascii="Times New Roman" w:eastAsia="Calibri" w:hAnsi="Times New Roman" w:cs="Times New Roman"/>
          <w:b/>
          <w:color w:val="000000"/>
          <w:sz w:val="32"/>
          <w:szCs w:val="48"/>
          <w:lang w:val="en-US" w:eastAsia="en-AU"/>
        </w:rPr>
      </w:pPr>
      <w:r>
        <w:rPr>
          <w:rFonts w:cs="Times New Roman"/>
          <w:lang w:val="en-US"/>
        </w:rPr>
        <w:br w:type="page"/>
      </w:r>
    </w:p>
    <w:p w14:paraId="3DC81320" w14:textId="01EB2C2C" w:rsidR="00F665E2" w:rsidRPr="008169D8" w:rsidRDefault="00F665E2" w:rsidP="00822E25">
      <w:pPr>
        <w:pStyle w:val="Title"/>
      </w:pPr>
      <w:r>
        <w:lastRenderedPageBreak/>
        <w:t xml:space="preserve">Chapter Seventeen: </w:t>
      </w:r>
      <w:r w:rsidRPr="008169D8">
        <w:t xml:space="preserve">Algorithmic Mapmaking in </w:t>
      </w:r>
      <w:r>
        <w:t>‘</w:t>
      </w:r>
      <w:r w:rsidRPr="008169D8">
        <w:t>Smart Cities</w:t>
      </w:r>
      <w:r>
        <w:t>’</w:t>
      </w:r>
      <w:r w:rsidRPr="008169D8">
        <w:t>: Data Protection Impact Assessments as a means of Protection for Groups</w:t>
      </w:r>
    </w:p>
    <w:p w14:paraId="7399891B" w14:textId="3DA8C2FE" w:rsidR="00F665E2" w:rsidRPr="00CC0697" w:rsidRDefault="00F665E2" w:rsidP="00F665E2">
      <w:pPr>
        <w:rPr>
          <w:lang w:val="nl-NL"/>
        </w:rPr>
      </w:pPr>
      <w:r w:rsidRPr="00CC0697">
        <w:rPr>
          <w:lang w:val="nl-NL"/>
        </w:rPr>
        <w:t>Gerard Jan Ritsema van Eck, University of Groningen</w:t>
      </w:r>
      <w:r w:rsidRPr="00CC0697">
        <w:rPr>
          <w:rStyle w:val="FootnoteReference"/>
          <w:lang w:val="nl-NL"/>
        </w:rPr>
        <w:footnoteReference w:customMarkFollows="1" w:id="1"/>
        <w:t>*</w:t>
      </w:r>
    </w:p>
    <w:p w14:paraId="642DD68E" w14:textId="77777777" w:rsidR="00F665E2" w:rsidRDefault="00F665E2" w:rsidP="00822E25">
      <w:pPr>
        <w:pStyle w:val="Heading1"/>
      </w:pPr>
      <w:r w:rsidRPr="008169D8">
        <w:t>Abstract</w:t>
      </w:r>
    </w:p>
    <w:p w14:paraId="4D8CE84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Maps are powerful communication tools, and mapmaking used to be a privileged affair. In recent times, this has changed as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smart cities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have been outfitted with video, audio, and other kinds of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Internet of Things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sensing devices. The data-streams they generate can be combined with volunteered data to create a vast multitude of interactive maps on which individuals are constantly (re)grouped based on abnormality, deviation, and desirability. Many have argued that under these circumstances personal data protection rights should extend to groups.</w:t>
      </w:r>
    </w:p>
    <w:p w14:paraId="31B75B0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However, group rights are an awkward fit for the current European Data Protection Framework, which is heavily focused on individuals. One possible opening for better protection is offered by Data Protection Impact Assessments (DPIAs), which are mandatory to carry out when the ‘systematic monitoring of a publicly accessible area on a large scale’</w:t>
      </w:r>
      <w:r w:rsidRPr="000D7597">
        <w:rPr>
          <w:rStyle w:val="FootnoteReference"/>
          <w:szCs w:val="24"/>
        </w:rPr>
        <w:footnoteReference w:id="2"/>
      </w:r>
      <w:r w:rsidRPr="000D7597">
        <w:rPr>
          <w:rFonts w:ascii="Times New Roman" w:hAnsi="Times New Roman" w:cs="Times New Roman"/>
          <w:sz w:val="24"/>
          <w:szCs w:val="24"/>
          <w:lang w:val="en-US"/>
        </w:rPr>
        <w:t xml:space="preserve"> necessary for mapmaking takes place. They form an opportunity to recognize the risks of e.g. discrimination at an early stage. Furthermore, by including representatives of local (disadvantaged) groups, the strong performative qualities of maps can offer occasions for groups of citizens in smart cities to proactively shape the environments in which they live.</w:t>
      </w:r>
    </w:p>
    <w:p w14:paraId="307EB8A8" w14:textId="360A3255" w:rsidR="00F665E2" w:rsidRPr="00F665E2"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There are serious limitations. Although DPIAs are mandatory, the inclusion of affected data subjects and their representatives is not. This undermines many of the possible advantages. Finally, the high costs associated with the process might mean many companies engage with it only superficially and temporarily. Establishing effective data protection for groups negatively impacted by mapmaking software through DPIAs thus seems nigh on impossible in lieu of substantial legislative change.</w:t>
      </w:r>
    </w:p>
    <w:p w14:paraId="087ED73B" w14:textId="77777777" w:rsidR="00F665E2" w:rsidRDefault="00F665E2" w:rsidP="00822E25">
      <w:pPr>
        <w:pStyle w:val="Heading1"/>
      </w:pPr>
      <w:r w:rsidRPr="008169D8">
        <w:t>Introduction</w:t>
      </w:r>
    </w:p>
    <w:p w14:paraId="0513AFE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In late 2017, Strava revealed its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global heatmap</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which shows popular running and cycling routes around the world. Although first reported as a ‘striking visualization of over one </w:t>
      </w:r>
      <w:r w:rsidRPr="000D7597">
        <w:rPr>
          <w:rFonts w:ascii="Times New Roman" w:hAnsi="Times New Roman" w:cs="Times New Roman"/>
          <w:sz w:val="24"/>
          <w:szCs w:val="24"/>
          <w:lang w:val="en-US"/>
        </w:rPr>
        <w:lastRenderedPageBreak/>
        <w:t>billion activities’,</w:t>
      </w:r>
      <w:r w:rsidRPr="000D7597">
        <w:rPr>
          <w:rStyle w:val="FootnoteReference"/>
          <w:szCs w:val="24"/>
        </w:rPr>
        <w:footnoteReference w:id="3"/>
      </w:r>
      <w:r w:rsidRPr="000D7597">
        <w:rPr>
          <w:rFonts w:ascii="Times New Roman" w:hAnsi="Times New Roman" w:cs="Times New Roman"/>
          <w:sz w:val="24"/>
          <w:szCs w:val="24"/>
          <w:lang w:val="en-US"/>
        </w:rPr>
        <w:t xml:space="preserve"> the tone of the reporting quickly changed when it was discovered that secret (military) locations could also be located using the heatmap.</w:t>
      </w:r>
      <w:r w:rsidRPr="000D7597">
        <w:rPr>
          <w:rStyle w:val="FootnoteReference"/>
          <w:szCs w:val="24"/>
        </w:rPr>
        <w:footnoteReference w:id="4"/>
      </w:r>
      <w:r w:rsidRPr="000D7597">
        <w:rPr>
          <w:rFonts w:ascii="Times New Roman" w:hAnsi="Times New Roman" w:cs="Times New Roman"/>
          <w:sz w:val="24"/>
          <w:szCs w:val="24"/>
          <w:lang w:val="en-US"/>
        </w:rPr>
        <w:t xml:space="preserve"> The Stratumseind, a popular nightlife area in the Dutch city of Eindhoven received similarly negative press when it transformed into a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Living Lab</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‘where massive amounts of data about people's activities will be used […] to study which factors contribute to violence and discomfort.’</w:t>
      </w:r>
      <w:r w:rsidRPr="000D7597">
        <w:rPr>
          <w:rStyle w:val="FootnoteReference"/>
          <w:szCs w:val="24"/>
        </w:rPr>
        <w:footnoteReference w:id="5"/>
      </w:r>
      <w:r w:rsidRPr="000D7597">
        <w:rPr>
          <w:rFonts w:ascii="Times New Roman" w:hAnsi="Times New Roman" w:cs="Times New Roman"/>
          <w:sz w:val="24"/>
          <w:szCs w:val="24"/>
          <w:lang w:val="en-US"/>
        </w:rPr>
        <w:t xml:space="preserve"> This data is overlaid on a map of the area, and the police can quickly intervene when and where suspicious patterns emerge. One reporter dubbed it ‘Having a beer with Big Brother’.</w:t>
      </w:r>
      <w:r w:rsidRPr="000D7597">
        <w:rPr>
          <w:rStyle w:val="FootnoteReference"/>
          <w:szCs w:val="24"/>
        </w:rPr>
        <w:footnoteReference w:id="6"/>
      </w:r>
    </w:p>
    <w:p w14:paraId="5F4EFC1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Clearly, the usage of large amounts of data to draw maps raises concerns. The practice, however, seems to be booming rather than decreasing.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Smart</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and dumb cities alike are increasingly being outfitted with video, audio, and various other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Internet of Things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(IoT) sensing devices in order to gather ever more data,</w:t>
      </w:r>
      <w:r w:rsidRPr="000D7597">
        <w:rPr>
          <w:rStyle w:val="FootnoteReference"/>
          <w:szCs w:val="24"/>
        </w:rPr>
        <w:footnoteReference w:id="7"/>
      </w:r>
      <w:r w:rsidRPr="000D7597">
        <w:rPr>
          <w:rFonts w:ascii="Times New Roman" w:hAnsi="Times New Roman" w:cs="Times New Roman"/>
          <w:sz w:val="24"/>
          <w:szCs w:val="24"/>
          <w:lang w:val="en-US"/>
        </w:rPr>
        <w:t xml:space="preserve"> and an even more potent, and often cheaper, stream of data can be crowdsourced or scraped from (the smartphones of) city dwellers. Once generated, the data needs to go somewhere, and often they end up in maps.</w:t>
      </w:r>
    </w:p>
    <w:p w14:paraId="742AD945"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chapter will consider these developments by combining insights from critical geography and data protection law, particularly the General Data Protection Regulation (GDPR) that recently came into force in the European Union. Specifically, the chapter will begin by investigating the relationship between data and maps, and why they are such salient artifacts. In the next section, the issue of maps is problematized and the lack of legal protections for affected groups is discussed. Then, Data Protection Impact Assessments (DPIAs), a tool that has received renewed interest as a result of the introduction of the GDPR, are introduced as a possible solution in the absence of strong legislation. But are they really a panacea that can provide meaningful safeguards, or an expensive Band-Aid that will be avoided, ignored, and brushed aside?</w:t>
      </w:r>
    </w:p>
    <w:p w14:paraId="2ADE2C1F" w14:textId="4039B003" w:rsidR="00F665E2" w:rsidRPr="008169D8" w:rsidRDefault="00F665E2" w:rsidP="00F665E2">
      <w:pPr>
        <w:keepNext/>
        <w:rPr>
          <w:rFonts w:ascii="Times New Roman" w:hAnsi="Times New Roman" w:cs="Times New Roman"/>
          <w:lang w:val="en-US"/>
        </w:rPr>
      </w:pPr>
    </w:p>
    <w:p w14:paraId="08E54C25" w14:textId="0E4D6D08" w:rsidR="00F665E2" w:rsidRPr="00822E25" w:rsidRDefault="00F665E2" w:rsidP="00822E25">
      <w:pPr>
        <w:rPr>
          <w:rFonts w:ascii="Times New Roman" w:hAnsi="Times New Roman" w:cs="Times New Roman"/>
          <w:i/>
          <w:lang w:val="en-US"/>
        </w:rPr>
      </w:pPr>
      <w:r w:rsidRPr="001938B2">
        <w:rPr>
          <w:rFonts w:ascii="Times New Roman" w:hAnsi="Times New Roman" w:cs="Times New Roman"/>
          <w:i/>
          <w:lang w:val="en-US"/>
        </w:rPr>
        <w:t>Figure 1. Screenshot taken by the author on https://labs.strava.com/heatmaps on 2 February 2018. Shown is the Stadspark in Groningen, the Netherlands. The clearly visible small semi-circle in the bottom is a 400-meter running track whereas the larger oval above it goes around a pond and measures almost exactly one kilometer; it therefore constitutes a popular running route.</w:t>
      </w:r>
    </w:p>
    <w:p w14:paraId="5FA6CA6E" w14:textId="77777777" w:rsidR="00F665E2" w:rsidRDefault="00F665E2" w:rsidP="00822E25">
      <w:pPr>
        <w:pStyle w:val="Heading1"/>
      </w:pPr>
      <w:r w:rsidRPr="008169D8">
        <w:t>How Maps Are Made</w:t>
      </w:r>
    </w:p>
    <w:p w14:paraId="1CB0D77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Drawing a map is a powerful act. Who draws a map, decides what is shown on it: physical features of the landscape, roads, settlements, or claims to certain territories by various </w:t>
      </w:r>
      <w:r w:rsidRPr="000D7597">
        <w:rPr>
          <w:rFonts w:ascii="Times New Roman" w:hAnsi="Times New Roman" w:cs="Times New Roman"/>
          <w:sz w:val="24"/>
          <w:szCs w:val="24"/>
          <w:lang w:val="en-US"/>
        </w:rPr>
        <w:lastRenderedPageBreak/>
        <w:t>(imagined) groups.</w:t>
      </w:r>
      <w:r w:rsidRPr="000D7597">
        <w:rPr>
          <w:rStyle w:val="FootnoteReference"/>
          <w:szCs w:val="24"/>
        </w:rPr>
        <w:footnoteReference w:id="8"/>
      </w:r>
      <w:r w:rsidRPr="000D7597">
        <w:rPr>
          <w:rFonts w:ascii="Times New Roman" w:hAnsi="Times New Roman" w:cs="Times New Roman"/>
          <w:sz w:val="24"/>
          <w:szCs w:val="24"/>
          <w:lang w:val="en-US"/>
        </w:rPr>
        <w:t xml:space="preserve"> Maps provide a representation of a certain geographical area that, even if not fully objective, at least is claimed to represent the truth.</w:t>
      </w:r>
      <w:r w:rsidRPr="000D7597">
        <w:rPr>
          <w:rStyle w:val="FootnoteReference"/>
          <w:szCs w:val="24"/>
        </w:rPr>
        <w:footnoteReference w:id="9"/>
      </w:r>
      <w:r w:rsidRPr="000D7597">
        <w:rPr>
          <w:rFonts w:ascii="Times New Roman" w:hAnsi="Times New Roman" w:cs="Times New Roman"/>
          <w:sz w:val="24"/>
          <w:szCs w:val="24"/>
          <w:lang w:val="en-US"/>
        </w:rPr>
        <w:t xml:space="preserve"> Map drawing has historically been a privileged affair that is only undertaken by those with the means and motivation to do so, including ‘scientists, planners, urbanists, technocratic subdividers and social engineers’.</w:t>
      </w:r>
      <w:r w:rsidRPr="000D7597">
        <w:rPr>
          <w:rStyle w:val="FootnoteReference"/>
          <w:szCs w:val="24"/>
        </w:rPr>
        <w:footnoteReference w:id="10"/>
      </w:r>
      <w:r w:rsidRPr="000D7597">
        <w:rPr>
          <w:rFonts w:ascii="Times New Roman" w:hAnsi="Times New Roman" w:cs="Times New Roman"/>
          <w:sz w:val="24"/>
          <w:szCs w:val="24"/>
          <w:lang w:val="en-US"/>
        </w:rPr>
        <w:t xml:space="preserve"> However, over the past two decades, the global north has seen a dizzying multiplication of geotagged databases visually overlaid on maps, each of which comprises a new map in itself.</w:t>
      </w:r>
      <w:r w:rsidRPr="000D7597">
        <w:rPr>
          <w:rStyle w:val="FootnoteReference"/>
          <w:szCs w:val="24"/>
        </w:rPr>
        <w:footnoteReference w:id="11"/>
      </w:r>
      <w:r w:rsidRPr="000D7597">
        <w:rPr>
          <w:rFonts w:ascii="Times New Roman" w:hAnsi="Times New Roman" w:cs="Times New Roman"/>
          <w:sz w:val="24"/>
          <w:szCs w:val="24"/>
          <w:lang w:val="en-US"/>
        </w:rPr>
        <w:t xml:space="preserve"> Such ‘Geographic Information Systems’, or simply GIS as they are referred to in the technocratic jargon, are often not carefully constructed by single authors but are based on</w:t>
      </w:r>
      <w:r>
        <w:rPr>
          <w:rFonts w:ascii="Times New Roman" w:hAnsi="Times New Roman" w:cs="Times New Roman"/>
          <w:sz w:val="24"/>
          <w:szCs w:val="24"/>
          <w:lang w:val="en-US"/>
        </w:rPr>
        <w:t xml:space="preserve"> a</w:t>
      </w:r>
      <w:r w:rsidRPr="000D7597">
        <w:rPr>
          <w:rFonts w:ascii="Times New Roman" w:hAnsi="Times New Roman" w:cs="Times New Roman"/>
          <w:sz w:val="24"/>
          <w:szCs w:val="24"/>
          <w:lang w:val="en-US"/>
        </w:rPr>
        <w:t>ggregations of data from a multiplicity of sources, each of which might have been collected differently.</w:t>
      </w:r>
      <w:r w:rsidRPr="000D7597">
        <w:rPr>
          <w:rStyle w:val="FootnoteReference"/>
          <w:szCs w:val="24"/>
        </w:rPr>
        <w:footnoteReference w:id="12"/>
      </w:r>
    </w:p>
    <w:p w14:paraId="4747EE7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Outfitting an environment with enough IoT sensors to collect the critical mass of geotagged data needed to feed a GIS can be prohibitively expensive for all but the most well-funded smart cities. A cheap and therefore popular alternative, or addition, is crowdsourcing. Roughly, organizations that crowdsource the collection of georeferenced data in order to make maps have three options. One option is that data is collected purposefully by participants that have knowledge of (and perhaps an interest in) how it will be processed further. This is the approach taken by, for example, OpenStreetMap, which is ‘built by a community of mappers that contribute and maintain data about roads, trails, cafés, railway stations, and much more’.</w:t>
      </w:r>
      <w:r w:rsidRPr="000D7597">
        <w:rPr>
          <w:rStyle w:val="FootnoteReference"/>
          <w:szCs w:val="24"/>
        </w:rPr>
        <w:footnoteReference w:id="13"/>
      </w:r>
      <w:r w:rsidRPr="000D7597">
        <w:rPr>
          <w:rFonts w:ascii="Times New Roman" w:hAnsi="Times New Roman" w:cs="Times New Roman"/>
          <w:sz w:val="24"/>
          <w:szCs w:val="24"/>
          <w:lang w:val="en-US"/>
        </w:rPr>
        <w:t xml:space="preserve"> Another option is to scrape together the various geotagged data trails that smartphone users leave behind,</w:t>
      </w:r>
      <w:r w:rsidRPr="000D7597">
        <w:rPr>
          <w:rStyle w:val="FootnoteReference"/>
          <w:szCs w:val="24"/>
        </w:rPr>
        <w:footnoteReference w:id="14"/>
      </w:r>
      <w:r w:rsidRPr="000D7597">
        <w:rPr>
          <w:rFonts w:ascii="Times New Roman" w:hAnsi="Times New Roman" w:cs="Times New Roman"/>
          <w:sz w:val="24"/>
          <w:szCs w:val="24"/>
          <w:lang w:val="en-US"/>
        </w:rPr>
        <w:t xml:space="preserve"> as is done by the Living Lab in Eindhoven and various others.</w:t>
      </w:r>
      <w:r w:rsidRPr="000D7597">
        <w:rPr>
          <w:rStyle w:val="FootnoteReference"/>
          <w:szCs w:val="24"/>
        </w:rPr>
        <w:footnoteReference w:id="15"/>
      </w:r>
      <w:r w:rsidRPr="000D7597">
        <w:rPr>
          <w:rFonts w:ascii="Times New Roman" w:hAnsi="Times New Roman" w:cs="Times New Roman"/>
          <w:sz w:val="24"/>
          <w:szCs w:val="24"/>
          <w:lang w:val="en-US"/>
        </w:rPr>
        <w:t xml:space="preserve"> The third option is to combine these two strategies. This model is successfully employed by the navigation app Waze, which </w:t>
      </w:r>
      <w:proofErr w:type="gramStart"/>
      <w:r w:rsidRPr="000D7597">
        <w:rPr>
          <w:rFonts w:ascii="Times New Roman" w:hAnsi="Times New Roman" w:cs="Times New Roman"/>
          <w:sz w:val="24"/>
          <w:szCs w:val="24"/>
          <w:lang w:val="en-US"/>
        </w:rPr>
        <w:t>takes into account</w:t>
      </w:r>
      <w:proofErr w:type="gramEnd"/>
      <w:r w:rsidRPr="000D7597">
        <w:rPr>
          <w:rFonts w:ascii="Times New Roman" w:hAnsi="Times New Roman" w:cs="Times New Roman"/>
          <w:sz w:val="24"/>
          <w:szCs w:val="24"/>
          <w:lang w:val="en-US"/>
        </w:rPr>
        <w:t xml:space="preserve"> the current traffic situation to calculate the fastest routes. To be able to do so, it scrapes data on the speed and location of its users and combines this with data on for instance road closures that users are encouraged to add using a gamified system of badges and achievements. Furthermore, in various cities such as Rio de Janeiro, New York City, and Ghent, Waze receives data on upcoming road closures from local governments through its Connected Citizens Programme — in exchange, the local governments gain access to information on accidents and other traffic disruptions.</w:t>
      </w:r>
      <w:r w:rsidRPr="000D7597">
        <w:rPr>
          <w:rStyle w:val="FootnoteReference"/>
          <w:szCs w:val="24"/>
        </w:rPr>
        <w:footnoteReference w:id="16"/>
      </w:r>
      <w:r w:rsidRPr="000D7597">
        <w:rPr>
          <w:rFonts w:ascii="Times New Roman" w:hAnsi="Times New Roman" w:cs="Times New Roman"/>
          <w:sz w:val="24"/>
          <w:szCs w:val="24"/>
          <w:lang w:val="en-US"/>
        </w:rPr>
        <w:t xml:space="preserve"> As Gekker and Hind point out, this makes it ‘not necessarily easy to </w:t>
      </w:r>
      <w:r w:rsidRPr="000D7597">
        <w:rPr>
          <w:rFonts w:ascii="Times New Roman" w:hAnsi="Times New Roman" w:cs="Times New Roman"/>
          <w:sz w:val="24"/>
          <w:szCs w:val="24"/>
          <w:lang w:val="en-US"/>
        </w:rPr>
        <w:lastRenderedPageBreak/>
        <w:t>make a clean split between those who “produce” the map, those who “edit” the map and those who “consume” the map</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17"/>
      </w:r>
    </w:p>
    <w:p w14:paraId="2D932D95" w14:textId="0022385D" w:rsidR="00F665E2" w:rsidRPr="000D7597" w:rsidRDefault="00F665E2" w:rsidP="00F665E2">
      <w:pPr>
        <w:keepNext/>
        <w:rPr>
          <w:rFonts w:ascii="Times New Roman" w:hAnsi="Times New Roman" w:cs="Times New Roman"/>
          <w:sz w:val="24"/>
          <w:szCs w:val="24"/>
          <w:lang w:val="en-US"/>
        </w:rPr>
      </w:pPr>
    </w:p>
    <w:p w14:paraId="02488061" w14:textId="77777777" w:rsidR="00F665E2" w:rsidRPr="001938B2" w:rsidRDefault="00F665E2" w:rsidP="00F665E2">
      <w:pPr>
        <w:rPr>
          <w:rFonts w:ascii="Times New Roman" w:hAnsi="Times New Roman" w:cs="Times New Roman"/>
          <w:i/>
          <w:sz w:val="24"/>
          <w:szCs w:val="24"/>
          <w:lang w:val="en-US"/>
        </w:rPr>
      </w:pPr>
      <w:r w:rsidRPr="001938B2">
        <w:rPr>
          <w:rFonts w:ascii="Times New Roman" w:hAnsi="Times New Roman" w:cs="Times New Roman"/>
          <w:i/>
          <w:sz w:val="24"/>
          <w:szCs w:val="24"/>
          <w:lang w:val="en-US"/>
        </w:rPr>
        <w:t xml:space="preserve">Figure 2. Screenshot taken by the author on https://www.waze.com/livemap on 5 February 2018. Shown is part of the center of London, England. The three data sources are clearly visible: the coloration of the streets is based on scraped movement data, the balloons are based on user submitted reports, and the map data comes from Google </w:t>
      </w:r>
      <w:r>
        <w:rPr>
          <w:rFonts w:ascii="Times New Roman" w:hAnsi="Times New Roman" w:cs="Times New Roman"/>
          <w:i/>
          <w:sz w:val="24"/>
          <w:szCs w:val="24"/>
          <w:lang w:val="en-US"/>
        </w:rPr>
        <w:t>M</w:t>
      </w:r>
      <w:r w:rsidRPr="001938B2">
        <w:rPr>
          <w:rFonts w:ascii="Times New Roman" w:hAnsi="Times New Roman" w:cs="Times New Roman"/>
          <w:i/>
          <w:sz w:val="24"/>
          <w:szCs w:val="24"/>
          <w:lang w:val="en-US"/>
        </w:rPr>
        <w:t>aps.</w:t>
      </w:r>
    </w:p>
    <w:p w14:paraId="3271B526"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Once collected, the manner in which crowdsourced georeferenced data is presented further blurs the lines between producers, editors, and consumers. Georeferenced datasets are visualized as cartographic imagery in interactive environments overlaid on Google Maps or similar services like OpenStreetMaps or Bing Maps,</w:t>
      </w:r>
      <w:r w:rsidRPr="000D7597">
        <w:rPr>
          <w:rStyle w:val="FootnoteReference"/>
          <w:szCs w:val="24"/>
        </w:rPr>
        <w:footnoteReference w:id="18"/>
      </w:r>
      <w:r w:rsidRPr="000D7597">
        <w:rPr>
          <w:rFonts w:ascii="Times New Roman" w:hAnsi="Times New Roman" w:cs="Times New Roman"/>
          <w:sz w:val="24"/>
          <w:szCs w:val="24"/>
          <w:lang w:val="en-US"/>
        </w:rPr>
        <w:t xml:space="preserve"> engaging the user in acts of active sense making.</w:t>
      </w:r>
      <w:r w:rsidRPr="000D7597">
        <w:rPr>
          <w:rStyle w:val="FootnoteReference"/>
          <w:szCs w:val="24"/>
        </w:rPr>
        <w:footnoteReference w:id="19"/>
      </w:r>
      <w:r w:rsidRPr="000D7597">
        <w:rPr>
          <w:rFonts w:ascii="Times New Roman" w:hAnsi="Times New Roman" w:cs="Times New Roman"/>
          <w:sz w:val="24"/>
          <w:szCs w:val="24"/>
          <w:lang w:val="en-US"/>
        </w:rPr>
        <w:t xml:space="preserve"> This makes </w:t>
      </w:r>
      <w:r w:rsidRPr="000D7597">
        <w:rPr>
          <w:rFonts w:ascii="Times New Roman" w:hAnsi="Times New Roman" w:cs="Times New Roman"/>
          <w:i/>
          <w:sz w:val="24"/>
          <w:szCs w:val="24"/>
          <w:lang w:val="en-US"/>
        </w:rPr>
        <w:t xml:space="preserve">prima facie </w:t>
      </w:r>
      <w:r w:rsidRPr="000D7597">
        <w:rPr>
          <w:rFonts w:ascii="Times New Roman" w:hAnsi="Times New Roman" w:cs="Times New Roman"/>
          <w:sz w:val="24"/>
          <w:szCs w:val="24"/>
          <w:lang w:val="en-US"/>
        </w:rPr>
        <w:t>sense, as the public is accustomed to engaging with large data sets visually.</w:t>
      </w:r>
      <w:r w:rsidRPr="000D7597">
        <w:rPr>
          <w:rStyle w:val="FootnoteReference"/>
          <w:szCs w:val="24"/>
        </w:rPr>
        <w:footnoteReference w:id="20"/>
      </w:r>
    </w:p>
    <w:p w14:paraId="556064AA" w14:textId="4B5C8ED1"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Interestingly, something else is also gained when crowdsourced georeferenced data is offered as a map. This mode of presentation immediately embeds the data within what Leslie calls ‘the “system of maps,” the full panoply of mutually-reinforcing, mutually referential map images that subjects are exposed to […], a system ultimately grounded in a generalized awareness of cartography’s scientism</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21"/>
      </w:r>
      <w:r w:rsidRPr="000D7597">
        <w:rPr>
          <w:rFonts w:ascii="Times New Roman" w:hAnsi="Times New Roman" w:cs="Times New Roman"/>
          <w:sz w:val="24"/>
          <w:szCs w:val="24"/>
          <w:lang w:val="en-US"/>
        </w:rPr>
        <w:t xml:space="preserve"> Thus, by becoming maps, crowdsourced georeferenced data sets also gain the performative power that comes with the claim to truth-correspondence of maps. Put differently: Because people tend to take maps at face value, any data overlaid is also taken at face value, whether it purports to show a crime hotspot or a traffic jam.</w:t>
      </w:r>
    </w:p>
    <w:p w14:paraId="4736239A" w14:textId="2D6D4E44" w:rsidR="00F665E2" w:rsidRDefault="00F665E2" w:rsidP="00822E25">
      <w:pPr>
        <w:pStyle w:val="Heading1"/>
      </w:pPr>
      <w:r w:rsidRPr="008169D8">
        <w:t>Maps and (Missing) Group Rights</w:t>
      </w:r>
    </w:p>
    <w:p w14:paraId="0300B6F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The role of many modern algorithms is to render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big data</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actionable on the basis of hypercomplex probalistics.</w:t>
      </w:r>
      <w:r w:rsidRPr="000D7597">
        <w:rPr>
          <w:rStyle w:val="FootnoteReference"/>
          <w:szCs w:val="24"/>
        </w:rPr>
        <w:footnoteReference w:id="22"/>
      </w:r>
      <w:r w:rsidRPr="000D7597">
        <w:rPr>
          <w:rFonts w:ascii="Times New Roman" w:hAnsi="Times New Roman" w:cs="Times New Roman"/>
          <w:sz w:val="24"/>
          <w:szCs w:val="24"/>
          <w:lang w:val="en-US"/>
        </w:rPr>
        <w:t xml:space="preserve"> They do this by categorizing people into groups: for example, those who should be shown a certain advertisement, those who should not be let into an airplane without an extra security check, or those who should receive special police attention because they know a victim of a recent shooting.</w:t>
      </w:r>
      <w:r w:rsidRPr="000D7597">
        <w:rPr>
          <w:rStyle w:val="FootnoteReference"/>
          <w:szCs w:val="24"/>
        </w:rPr>
        <w:footnoteReference w:id="23"/>
      </w:r>
      <w:r w:rsidRPr="000D7597">
        <w:rPr>
          <w:rFonts w:ascii="Times New Roman" w:hAnsi="Times New Roman" w:cs="Times New Roman"/>
          <w:sz w:val="24"/>
          <w:szCs w:val="24"/>
          <w:lang w:val="en-US"/>
        </w:rPr>
        <w:t xml:space="preserve"> </w:t>
      </w:r>
    </w:p>
    <w:p w14:paraId="4D79054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lastRenderedPageBreak/>
        <w:t>In public spaces, the push to make cities smart by outfitting them with a multitude of sensors also increases the influence of grouping algorithms.</w:t>
      </w:r>
      <w:r w:rsidRPr="000D7597">
        <w:rPr>
          <w:rStyle w:val="FootnoteReference"/>
          <w:szCs w:val="24"/>
        </w:rPr>
        <w:footnoteReference w:id="24"/>
      </w:r>
      <w:r w:rsidRPr="000D7597">
        <w:rPr>
          <w:rFonts w:ascii="Times New Roman" w:hAnsi="Times New Roman" w:cs="Times New Roman"/>
          <w:sz w:val="24"/>
          <w:szCs w:val="24"/>
          <w:lang w:val="en-US"/>
        </w:rPr>
        <w:t xml:space="preserve"> Take, for example, those who are unwittingly part of a suspicious pattern in the Stratumseind Living Lab in Eindhoven. Once identified, the location of the pattern is shown on a map, which, as outlined above, forms an effective communication method for the end-result of such algorithms: it embeds the abstract (and perhaps highly contestable</w:t>
      </w:r>
      <w:r>
        <w:rPr>
          <w:rFonts w:ascii="Times New Roman" w:hAnsi="Times New Roman" w:cs="Times New Roman"/>
          <w:sz w:val="24"/>
          <w:szCs w:val="24"/>
          <w:lang w:val="en-US"/>
        </w:rPr>
        <w:t>)</w:t>
      </w:r>
      <w:r w:rsidRPr="000D7597">
        <w:rPr>
          <w:rStyle w:val="FootnoteReference"/>
          <w:szCs w:val="24"/>
        </w:rPr>
        <w:footnoteReference w:id="25"/>
      </w:r>
      <w:r w:rsidRPr="000D7597">
        <w:rPr>
          <w:rFonts w:ascii="Times New Roman" w:hAnsi="Times New Roman" w:cs="Times New Roman"/>
          <w:sz w:val="24"/>
          <w:szCs w:val="24"/>
          <w:lang w:val="en-US"/>
        </w:rPr>
        <w:t xml:space="preserve"> output of the algorithm in the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panoply of </w:t>
      </w:r>
      <w:proofErr w:type="gramStart"/>
      <w:r w:rsidRPr="000D7597">
        <w:rPr>
          <w:rFonts w:ascii="Times New Roman" w:hAnsi="Times New Roman" w:cs="Times New Roman"/>
          <w:sz w:val="24"/>
          <w:szCs w:val="24"/>
          <w:lang w:val="en-US"/>
        </w:rPr>
        <w:t>maps</w:t>
      </w:r>
      <w:r>
        <w:rPr>
          <w:rFonts w:ascii="Times New Roman" w:hAnsi="Times New Roman" w:cs="Times New Roman"/>
          <w:sz w:val="24"/>
          <w:szCs w:val="24"/>
          <w:lang w:val="en-US"/>
        </w:rPr>
        <w:t>’</w:t>
      </w:r>
      <w:proofErr w:type="gramEnd"/>
      <w:r w:rsidRPr="000D7597">
        <w:rPr>
          <w:rFonts w:ascii="Times New Roman" w:hAnsi="Times New Roman" w:cs="Times New Roman"/>
          <w:sz w:val="24"/>
          <w:szCs w:val="24"/>
          <w:lang w:val="en-US"/>
        </w:rPr>
        <w:t>.</w:t>
      </w:r>
      <w:r w:rsidRPr="000D7597">
        <w:rPr>
          <w:rStyle w:val="FootnoteReference"/>
          <w:szCs w:val="24"/>
        </w:rPr>
        <w:footnoteReference w:id="26"/>
      </w:r>
      <w:r w:rsidRPr="000D7597">
        <w:rPr>
          <w:rFonts w:ascii="Times New Roman" w:hAnsi="Times New Roman" w:cs="Times New Roman"/>
          <w:sz w:val="24"/>
          <w:szCs w:val="24"/>
          <w:lang w:val="en-US"/>
        </w:rPr>
        <w:t xml:space="preserve"> Private security personnel can then be deployed to re-establish order. The Strava example mentioned before shows that an environment does not need to be highly saturated with IoT sensors for such groupings to have an effect: only a few smartphones in the Syrian Desert were enough to give away the locations of various secret military bases.</w:t>
      </w:r>
    </w:p>
    <w:p w14:paraId="36CBD720"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most problematic side product of map-making algorithms can be geographical biases. Although they do not directly affect individuals, they can deeply impact local communities</w:t>
      </w:r>
      <w:r w:rsidRPr="000D7597">
        <w:rPr>
          <w:rStyle w:val="FootnoteReference"/>
          <w:szCs w:val="24"/>
        </w:rPr>
        <w:footnoteReference w:id="27"/>
      </w:r>
      <w:r w:rsidRPr="000D7597">
        <w:rPr>
          <w:rFonts w:ascii="Times New Roman" w:hAnsi="Times New Roman" w:cs="Times New Roman"/>
          <w:sz w:val="24"/>
          <w:szCs w:val="24"/>
          <w:lang w:val="en-US"/>
        </w:rPr>
        <w:t xml:space="preserve"> through, for instance, increased police surveillance.</w:t>
      </w:r>
      <w:r w:rsidRPr="000D7597">
        <w:rPr>
          <w:rStyle w:val="FootnoteReference"/>
          <w:szCs w:val="24"/>
        </w:rPr>
        <w:footnoteReference w:id="28"/>
      </w:r>
      <w:r w:rsidRPr="000D7597">
        <w:rPr>
          <w:rFonts w:ascii="Times New Roman" w:hAnsi="Times New Roman" w:cs="Times New Roman"/>
          <w:sz w:val="24"/>
          <w:szCs w:val="24"/>
          <w:lang w:val="en-US"/>
        </w:rPr>
        <w:t xml:space="preserve"> This can, inter alia, be caused by a skew in the collection of crowdsourced geographic data, in which marginalized communities tend to be underrepresented,</w:t>
      </w:r>
      <w:r w:rsidRPr="000D7597">
        <w:rPr>
          <w:rStyle w:val="FootnoteReference"/>
          <w:szCs w:val="24"/>
        </w:rPr>
        <w:footnoteReference w:id="29"/>
      </w:r>
      <w:r w:rsidRPr="000D7597">
        <w:rPr>
          <w:rFonts w:ascii="Times New Roman" w:hAnsi="Times New Roman" w:cs="Times New Roman"/>
          <w:sz w:val="24"/>
          <w:szCs w:val="24"/>
          <w:lang w:val="en-US"/>
        </w:rPr>
        <w:t xml:space="preserve"> or conversely, their overrepresentation in historical data.</w:t>
      </w:r>
      <w:r w:rsidRPr="000D7597">
        <w:rPr>
          <w:rStyle w:val="FootnoteReference"/>
          <w:szCs w:val="24"/>
        </w:rPr>
        <w:footnoteReference w:id="30"/>
      </w:r>
      <w:r w:rsidRPr="000D7597">
        <w:rPr>
          <w:rFonts w:ascii="Times New Roman" w:hAnsi="Times New Roman" w:cs="Times New Roman"/>
          <w:sz w:val="24"/>
          <w:szCs w:val="24"/>
          <w:lang w:val="en-US"/>
        </w:rPr>
        <w:t xml:space="preserve"> After the collection phase, bias can also creep in during analysis. At this stage though, it may be harder to detect any biases</w:t>
      </w:r>
      <w:r w:rsidRPr="000D7597">
        <w:rPr>
          <w:rStyle w:val="FootnoteReference"/>
          <w:szCs w:val="24"/>
        </w:rPr>
        <w:footnoteReference w:id="31"/>
      </w:r>
      <w:r w:rsidRPr="000D7597">
        <w:rPr>
          <w:rFonts w:ascii="Times New Roman" w:hAnsi="Times New Roman" w:cs="Times New Roman"/>
          <w:sz w:val="24"/>
          <w:szCs w:val="24"/>
          <w:lang w:val="en-US"/>
        </w:rPr>
        <w:t xml:space="preserve"> because the inner workings of many algorithms can be difficult to understand for non-experts and, in the case of self-learning algorithms, for the developers of the algorithm itself.</w:t>
      </w:r>
      <w:r w:rsidRPr="000D7597">
        <w:rPr>
          <w:rStyle w:val="FootnoteReference"/>
          <w:szCs w:val="24"/>
        </w:rPr>
        <w:footnoteReference w:id="32"/>
      </w:r>
      <w:r w:rsidRPr="000D7597">
        <w:rPr>
          <w:rFonts w:ascii="Times New Roman" w:hAnsi="Times New Roman" w:cs="Times New Roman"/>
          <w:sz w:val="24"/>
          <w:szCs w:val="24"/>
          <w:lang w:val="en-US"/>
        </w:rPr>
        <w:t xml:space="preserve"> Such biases can easily turn into disparate impacts and discrimination when the output of an algorithm is taken at face value. This is especially salient for mapmaking algorithms because, as was discussed above, representing abstract outputs on maps increases their performativity. </w:t>
      </w:r>
    </w:p>
    <w:p w14:paraId="4508B3C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lastRenderedPageBreak/>
        <w:t>The enigmatical nature of refined data processing means that even if strong anti-discrimination legislation exists, it might not provide much protection.</w:t>
      </w:r>
      <w:r w:rsidRPr="000D7597">
        <w:rPr>
          <w:rStyle w:val="FootnoteReference"/>
          <w:szCs w:val="24"/>
        </w:rPr>
        <w:footnoteReference w:id="33"/>
      </w:r>
      <w:r w:rsidRPr="000D7597">
        <w:rPr>
          <w:rFonts w:ascii="Times New Roman" w:hAnsi="Times New Roman" w:cs="Times New Roman"/>
          <w:sz w:val="24"/>
          <w:szCs w:val="24"/>
          <w:lang w:val="en-US"/>
        </w:rPr>
        <w:t xml:space="preserve"> This follows from the simple fact that, in order to bring a claim, for instance in a class action setting, claimants need to be aware that they belong to a group that has been negatively impacted. In the context of algorithmic grouping, where groups are constantly being made, re-made, and deleted on the basis of hypercomplex probalistics, this awareness is usually lacking.</w:t>
      </w:r>
      <w:r w:rsidRPr="000D7597">
        <w:rPr>
          <w:rStyle w:val="FootnoteReference"/>
          <w:szCs w:val="24"/>
        </w:rPr>
        <w:footnoteReference w:id="34"/>
      </w:r>
    </w:p>
    <w:p w14:paraId="79E69CC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Furthermore, relying on the current EU data protection framework often falls short. Consider for instance the idea of consent, a cornerstone in individual data protection law.</w:t>
      </w:r>
      <w:r w:rsidRPr="000D7597">
        <w:rPr>
          <w:rStyle w:val="FootnoteReference"/>
          <w:szCs w:val="24"/>
        </w:rPr>
        <w:footnoteReference w:id="35"/>
      </w:r>
      <w:r w:rsidRPr="000D7597">
        <w:rPr>
          <w:rFonts w:ascii="Times New Roman" w:hAnsi="Times New Roman" w:cs="Times New Roman"/>
          <w:sz w:val="24"/>
          <w:szCs w:val="24"/>
          <w:lang w:val="en-US"/>
        </w:rPr>
        <w:t xml:space="preserve"> It seems questionable whether the (often heavily intoxicated) visitors to the Stratumseind gave informed consent to use their personal data for research purposes. And what about their rights to receive access to the data kept on them, in order to see if it is correct</w:t>
      </w:r>
      <w:r>
        <w:rPr>
          <w:rFonts w:ascii="Times New Roman" w:hAnsi="Times New Roman" w:cs="Times New Roman"/>
          <w:sz w:val="24"/>
          <w:szCs w:val="24"/>
          <w:lang w:val="en-US"/>
        </w:rPr>
        <w:t>,</w:t>
      </w:r>
      <w:r w:rsidRPr="000D7597">
        <w:rPr>
          <w:rStyle w:val="FootnoteReference"/>
          <w:szCs w:val="24"/>
        </w:rPr>
        <w:footnoteReference w:id="36"/>
      </w:r>
      <w:r w:rsidRPr="000D7597">
        <w:rPr>
          <w:rFonts w:ascii="Times New Roman" w:hAnsi="Times New Roman" w:cs="Times New Roman"/>
          <w:sz w:val="24"/>
          <w:szCs w:val="24"/>
          <w:lang w:val="en-US"/>
        </w:rPr>
        <w:t xml:space="preserve"> or whether so-called ‘special categories’ of data such as their ethnicity or sexual orientation — easily guessed by observing e.g. the entrance to an LGBT nightclub — have been processed?</w:t>
      </w:r>
      <w:r w:rsidRPr="000D7597">
        <w:rPr>
          <w:rStyle w:val="FootnoteReference"/>
          <w:szCs w:val="24"/>
        </w:rPr>
        <w:footnoteReference w:id="37"/>
      </w:r>
      <w:r w:rsidRPr="000D7597">
        <w:rPr>
          <w:rFonts w:ascii="Times New Roman" w:hAnsi="Times New Roman" w:cs="Times New Roman"/>
          <w:sz w:val="24"/>
          <w:szCs w:val="24"/>
          <w:lang w:val="en-US"/>
        </w:rPr>
        <w:t xml:space="preserve"> Both questions are, from a legal perspective, moot because the Living Lab and Strava anonymize all data before analysis. The latter even gives users an opt-out to making their anonymized data available.</w:t>
      </w:r>
      <w:r w:rsidRPr="000D7597">
        <w:rPr>
          <w:rStyle w:val="FootnoteReference"/>
          <w:szCs w:val="24"/>
        </w:rPr>
        <w:footnoteReference w:id="38"/>
      </w:r>
      <w:r w:rsidRPr="000D7597">
        <w:rPr>
          <w:rFonts w:ascii="Times New Roman" w:hAnsi="Times New Roman" w:cs="Times New Roman"/>
          <w:sz w:val="24"/>
          <w:szCs w:val="24"/>
          <w:lang w:val="en-US"/>
        </w:rPr>
        <w:t xml:space="preserve"> The individual focus of the human rights framework means that the analysis of anonymous data that by definition cannot be traced back to any individual can never infringe any data protection rights. However, it is clear that groups can suffer the consequences of the processing of data that does not identify anyone in the group, for instance when a map clearly indicates where extra police presence might be needed or where antagonists can strike secret military bases.</w:t>
      </w:r>
    </w:p>
    <w:p w14:paraId="1F189DCA"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Many have argued that under these circumstances it no longer makes sense to only defend the personal data protection rights of individuals.</w:t>
      </w:r>
      <w:bookmarkStart w:id="0" w:name="_Ref522538658"/>
      <w:r w:rsidRPr="000D7597">
        <w:rPr>
          <w:rStyle w:val="FootnoteReference"/>
          <w:szCs w:val="24"/>
        </w:rPr>
        <w:footnoteReference w:id="39"/>
      </w:r>
      <w:bookmarkEnd w:id="0"/>
      <w:r w:rsidRPr="000D7597">
        <w:rPr>
          <w:rFonts w:ascii="Times New Roman" w:hAnsi="Times New Roman" w:cs="Times New Roman"/>
          <w:sz w:val="24"/>
          <w:szCs w:val="24"/>
          <w:lang w:val="en-US"/>
        </w:rPr>
        <w:t xml:space="preserve"> Rather, we should be protecting group rights, which are rights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possessed by a group qua group rather than by its members severally</w:t>
      </w:r>
      <w:r>
        <w:rPr>
          <w:rFonts w:ascii="Times New Roman" w:hAnsi="Times New Roman" w:cs="Times New Roman"/>
          <w:sz w:val="24"/>
          <w:szCs w:val="24"/>
          <w:lang w:val="en-US"/>
        </w:rPr>
        <w:t>’,</w:t>
      </w:r>
      <w:r w:rsidRPr="000D7597">
        <w:rPr>
          <w:rStyle w:val="FootnoteReference"/>
          <w:szCs w:val="24"/>
        </w:rPr>
        <w:footnoteReference w:id="40"/>
      </w:r>
      <w:r w:rsidRPr="000D7597">
        <w:rPr>
          <w:rFonts w:ascii="Times New Roman" w:hAnsi="Times New Roman" w:cs="Times New Roman"/>
          <w:sz w:val="24"/>
          <w:szCs w:val="24"/>
          <w:lang w:val="en-US"/>
        </w:rPr>
        <w:t xml:space="preserve"> and more specifically, the data protection rights of groups created by classification algorithms.</w:t>
      </w:r>
    </w:p>
    <w:p w14:paraId="141B237E" w14:textId="38DFC9A2"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However, group rights are an awkward fit for the current European Data Protection Framework, which is heavily focused on individuals.</w:t>
      </w:r>
      <w:r w:rsidRPr="000D7597">
        <w:rPr>
          <w:rStyle w:val="FootnoteReference"/>
          <w:szCs w:val="24"/>
        </w:rPr>
        <w:footnoteReference w:id="41"/>
      </w:r>
      <w:r w:rsidRPr="000D7597">
        <w:rPr>
          <w:rFonts w:ascii="Times New Roman" w:hAnsi="Times New Roman" w:cs="Times New Roman"/>
          <w:sz w:val="24"/>
          <w:szCs w:val="24"/>
          <w:lang w:val="en-US"/>
        </w:rPr>
        <w:t xml:space="preserve"> Combined with the recent adoption of </w:t>
      </w:r>
      <w:r w:rsidRPr="000D7597">
        <w:rPr>
          <w:rFonts w:ascii="Times New Roman" w:hAnsi="Times New Roman" w:cs="Times New Roman"/>
          <w:sz w:val="24"/>
          <w:szCs w:val="24"/>
          <w:lang w:val="en-US"/>
        </w:rPr>
        <w:lastRenderedPageBreak/>
        <w:t>the GDPR and the associated legislative fatigue, which prevents any major innovations in data protection rights in the foreseeable future, it seems unlikely that group data protection rights will become a staple of data protection law in Europe anytime soon.</w:t>
      </w:r>
      <w:r w:rsidRPr="000D7597">
        <w:rPr>
          <w:rStyle w:val="FootnoteReference"/>
          <w:szCs w:val="24"/>
        </w:rPr>
        <w:footnoteReference w:id="42"/>
      </w:r>
      <w:r w:rsidRPr="000D7597">
        <w:rPr>
          <w:rFonts w:ascii="Times New Roman" w:hAnsi="Times New Roman" w:cs="Times New Roman"/>
          <w:sz w:val="24"/>
          <w:szCs w:val="24"/>
          <w:lang w:val="en-US"/>
        </w:rPr>
        <w:t xml:space="preserve"> This section has accentuated why this might be problematic. Therefore, the next section will introduce DPIAs, which might provide a workable solution that can be implemented without completely overhauling the legislative framework.</w:t>
      </w:r>
    </w:p>
    <w:p w14:paraId="702D5BFB" w14:textId="77777777" w:rsidR="00F665E2" w:rsidRDefault="00F665E2" w:rsidP="00822E25">
      <w:pPr>
        <w:pStyle w:val="Heading1"/>
      </w:pPr>
      <w:r w:rsidRPr="008169D8">
        <w:t>Making Group Rights Real Through DPIAs?</w:t>
      </w:r>
    </w:p>
    <w:p w14:paraId="172EA9C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DPIAs have been around for several decades,</w:t>
      </w:r>
      <w:r w:rsidRPr="000D7597">
        <w:rPr>
          <w:rStyle w:val="FootnoteReference"/>
          <w:szCs w:val="24"/>
        </w:rPr>
        <w:footnoteReference w:id="43"/>
      </w:r>
      <w:r w:rsidRPr="000D7597">
        <w:rPr>
          <w:rFonts w:ascii="Times New Roman" w:hAnsi="Times New Roman" w:cs="Times New Roman"/>
          <w:sz w:val="24"/>
          <w:szCs w:val="24"/>
          <w:lang w:val="en-US"/>
        </w:rPr>
        <w:t xml:space="preserve"> but the GDPR has renewed interest in them. The GDPR became directly applicable in the member states of the European Union (EU) on 25 May 2018.</w:t>
      </w:r>
      <w:r w:rsidRPr="000D7597">
        <w:rPr>
          <w:rStyle w:val="FootnoteReference"/>
          <w:szCs w:val="24"/>
        </w:rPr>
        <w:footnoteReference w:id="44"/>
      </w:r>
      <w:r w:rsidRPr="000D7597">
        <w:rPr>
          <w:rFonts w:ascii="Times New Roman" w:hAnsi="Times New Roman" w:cs="Times New Roman"/>
          <w:sz w:val="24"/>
          <w:szCs w:val="24"/>
          <w:lang w:val="en-US"/>
        </w:rPr>
        <w:t xml:space="preserve"> It aims to create ‘first-rate data protection rules providing for the world's highest standard of protection.’</w:t>
      </w:r>
      <w:r w:rsidRPr="000D7597">
        <w:rPr>
          <w:rStyle w:val="FootnoteReference"/>
          <w:szCs w:val="24"/>
        </w:rPr>
        <w:footnoteReference w:id="45"/>
      </w:r>
      <w:r w:rsidRPr="000D7597">
        <w:rPr>
          <w:rFonts w:ascii="Times New Roman" w:hAnsi="Times New Roman" w:cs="Times New Roman"/>
          <w:sz w:val="24"/>
          <w:szCs w:val="24"/>
          <w:lang w:val="en-US"/>
        </w:rPr>
        <w:t xml:space="preserve"> Some of the central tools the GDPR employs in order to ensure this high standard are preventative measures, such as storage limitations,</w:t>
      </w:r>
      <w:r w:rsidRPr="000D7597">
        <w:rPr>
          <w:rStyle w:val="FootnoteReference"/>
          <w:szCs w:val="24"/>
        </w:rPr>
        <w:footnoteReference w:id="46"/>
      </w:r>
      <w:r w:rsidRPr="000D7597">
        <w:rPr>
          <w:rFonts w:ascii="Times New Roman" w:hAnsi="Times New Roman" w:cs="Times New Roman"/>
          <w:sz w:val="24"/>
          <w:szCs w:val="24"/>
          <w:lang w:val="en-US"/>
        </w:rPr>
        <w:t xml:space="preserve"> codes of conduct,</w:t>
      </w:r>
      <w:r w:rsidRPr="000D7597">
        <w:rPr>
          <w:rStyle w:val="FootnoteReference"/>
          <w:szCs w:val="24"/>
        </w:rPr>
        <w:footnoteReference w:id="47"/>
      </w:r>
      <w:r w:rsidRPr="000D7597">
        <w:rPr>
          <w:rFonts w:ascii="Times New Roman" w:hAnsi="Times New Roman" w:cs="Times New Roman"/>
          <w:sz w:val="24"/>
          <w:szCs w:val="24"/>
          <w:lang w:val="en-US"/>
        </w:rPr>
        <w:t xml:space="preserve"> certification,</w:t>
      </w:r>
      <w:r w:rsidRPr="000D7597">
        <w:rPr>
          <w:rStyle w:val="FootnoteReference"/>
          <w:szCs w:val="24"/>
        </w:rPr>
        <w:footnoteReference w:id="48"/>
      </w:r>
      <w:r w:rsidRPr="000D7597">
        <w:rPr>
          <w:rFonts w:ascii="Times New Roman" w:hAnsi="Times New Roman" w:cs="Times New Roman"/>
          <w:sz w:val="24"/>
          <w:szCs w:val="24"/>
          <w:lang w:val="en-US"/>
        </w:rPr>
        <w:t xml:space="preserve"> data protection by design and by default,</w:t>
      </w:r>
      <w:r w:rsidRPr="000D7597">
        <w:rPr>
          <w:rStyle w:val="FootnoteReference"/>
          <w:szCs w:val="24"/>
        </w:rPr>
        <w:footnoteReference w:id="49"/>
      </w:r>
      <w:r w:rsidRPr="000D7597">
        <w:rPr>
          <w:rFonts w:ascii="Times New Roman" w:hAnsi="Times New Roman" w:cs="Times New Roman"/>
          <w:sz w:val="24"/>
          <w:szCs w:val="24"/>
          <w:lang w:val="en-US"/>
        </w:rPr>
        <w:t xml:space="preserve"> and rules on the security of personal data.</w:t>
      </w:r>
      <w:r w:rsidRPr="000D7597">
        <w:rPr>
          <w:rStyle w:val="FootnoteReference"/>
          <w:szCs w:val="24"/>
        </w:rPr>
        <w:footnoteReference w:id="50"/>
      </w:r>
      <w:r w:rsidRPr="000D7597">
        <w:rPr>
          <w:rFonts w:ascii="Times New Roman" w:hAnsi="Times New Roman" w:cs="Times New Roman"/>
          <w:sz w:val="24"/>
          <w:szCs w:val="24"/>
          <w:lang w:val="en-US"/>
        </w:rPr>
        <w:t xml:space="preserve"> This approach aimed at reducing risks seems fitting for personal data protection, as it can be difficult to predict harms</w:t>
      </w:r>
      <w:r>
        <w:rPr>
          <w:rFonts w:ascii="Times New Roman" w:hAnsi="Times New Roman" w:cs="Times New Roman"/>
          <w:sz w:val="24"/>
          <w:szCs w:val="24"/>
          <w:lang w:val="en-US"/>
        </w:rPr>
        <w:t>,</w:t>
      </w:r>
      <w:r w:rsidRPr="000D7597">
        <w:rPr>
          <w:rStyle w:val="FootnoteReference"/>
          <w:szCs w:val="24"/>
        </w:rPr>
        <w:footnoteReference w:id="51"/>
      </w:r>
      <w:r w:rsidRPr="000D7597">
        <w:rPr>
          <w:rFonts w:ascii="Times New Roman" w:hAnsi="Times New Roman" w:cs="Times New Roman"/>
          <w:sz w:val="24"/>
          <w:szCs w:val="24"/>
          <w:lang w:val="en-US"/>
        </w:rPr>
        <w:t xml:space="preserve"> and it might be even more complicated to reverse them.</w:t>
      </w:r>
    </w:p>
    <w:p w14:paraId="74338829"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DPIAs are a central instrument in this toolbox, and required if the processing of personal data is ‘likely to result in a high risk to the rights and freedoms of natural persons.’</w:t>
      </w:r>
      <w:r w:rsidRPr="000D7597">
        <w:rPr>
          <w:rStyle w:val="FootnoteReference"/>
          <w:szCs w:val="24"/>
        </w:rPr>
        <w:footnoteReference w:id="52"/>
      </w:r>
      <w:r w:rsidRPr="000D7597">
        <w:rPr>
          <w:rFonts w:ascii="Times New Roman" w:hAnsi="Times New Roman" w:cs="Times New Roman"/>
          <w:sz w:val="24"/>
          <w:szCs w:val="24"/>
          <w:lang w:val="en-US"/>
        </w:rPr>
        <w:t xml:space="preserve"> In cases where it is unclear whether high risks will materialize, the Article 29 Working Party recommends that a DPIA be carried out nonetheless in order to minimize risks and ensure </w:t>
      </w:r>
      <w:r w:rsidRPr="000D7597">
        <w:rPr>
          <w:rFonts w:ascii="Times New Roman" w:hAnsi="Times New Roman" w:cs="Times New Roman"/>
          <w:sz w:val="24"/>
          <w:szCs w:val="24"/>
          <w:lang w:val="en-US"/>
        </w:rPr>
        <w:lastRenderedPageBreak/>
        <w:t>compliance.</w:t>
      </w:r>
      <w:r w:rsidRPr="000D7597">
        <w:rPr>
          <w:rStyle w:val="FootnoteReference"/>
          <w:szCs w:val="24"/>
        </w:rPr>
        <w:footnoteReference w:id="53"/>
      </w:r>
      <w:r w:rsidRPr="000D7597">
        <w:rPr>
          <w:rFonts w:ascii="Times New Roman" w:hAnsi="Times New Roman" w:cs="Times New Roman"/>
          <w:sz w:val="24"/>
          <w:szCs w:val="24"/>
          <w:lang w:val="en-US"/>
        </w:rPr>
        <w:t xml:space="preserve"> ‘A DPIA is a process designed to describe the processing, assess its necessity and proportionality and help manage the risks to the rights and freedoms of natural persons resulting from the processing of personal data</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54"/>
      </w:r>
      <w:r w:rsidRPr="000D7597">
        <w:rPr>
          <w:rFonts w:ascii="Times New Roman" w:hAnsi="Times New Roman" w:cs="Times New Roman"/>
          <w:sz w:val="24"/>
          <w:szCs w:val="24"/>
          <w:lang w:val="en-US"/>
        </w:rPr>
        <w:t xml:space="preserve"> This process can take many forms depending on, inter alia, the type of personal data processing being assessed.</w:t>
      </w:r>
      <w:r w:rsidRPr="000D7597">
        <w:rPr>
          <w:rStyle w:val="FootnoteReference"/>
          <w:szCs w:val="24"/>
        </w:rPr>
        <w:footnoteReference w:id="55"/>
      </w:r>
      <w:r w:rsidRPr="000D7597">
        <w:rPr>
          <w:rFonts w:ascii="Times New Roman" w:hAnsi="Times New Roman" w:cs="Times New Roman"/>
          <w:sz w:val="24"/>
          <w:szCs w:val="24"/>
          <w:lang w:val="en-US"/>
        </w:rPr>
        <w:t xml:space="preserve"> But its minimum requirements are a description of the processing; an assessment of the proportionality and necessity of the processing (i.e. can the same aim be achieved with less personal data processing); measures to minimize risks to data subjects; and an active involvement of those data subjects.</w:t>
      </w:r>
      <w:r w:rsidRPr="000D7597">
        <w:rPr>
          <w:rStyle w:val="FootnoteReference"/>
          <w:szCs w:val="24"/>
        </w:rPr>
        <w:footnoteReference w:id="56"/>
      </w:r>
    </w:p>
    <w:p w14:paraId="77FB836E"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Crowdsourced maps are usually of publicly accessible areas such as streets, neighborhoods and parks, if only because it would be hard to find a crowd in an area that is </w:t>
      </w:r>
      <w:r w:rsidRPr="000D7597">
        <w:rPr>
          <w:rFonts w:ascii="Times New Roman" w:hAnsi="Times New Roman" w:cs="Times New Roman"/>
          <w:i/>
          <w:sz w:val="24"/>
          <w:szCs w:val="24"/>
          <w:lang w:val="en-US"/>
        </w:rPr>
        <w:t>not</w:t>
      </w:r>
      <w:r w:rsidRPr="000D7597">
        <w:rPr>
          <w:rFonts w:ascii="Times New Roman" w:hAnsi="Times New Roman" w:cs="Times New Roman"/>
          <w:sz w:val="24"/>
          <w:szCs w:val="24"/>
          <w:lang w:val="en-US"/>
        </w:rPr>
        <w:t xml:space="preserve"> publicly accessible.</w:t>
      </w:r>
      <w:r w:rsidRPr="000D7597">
        <w:rPr>
          <w:rStyle w:val="FootnoteReference"/>
          <w:szCs w:val="24"/>
        </w:rPr>
        <w:footnoteReference w:id="57"/>
      </w:r>
      <w:r w:rsidRPr="000D7597">
        <w:rPr>
          <w:rFonts w:ascii="Times New Roman" w:hAnsi="Times New Roman" w:cs="Times New Roman"/>
          <w:sz w:val="24"/>
          <w:szCs w:val="24"/>
          <w:lang w:val="en-US"/>
        </w:rPr>
        <w:t xml:space="preserve"> In particular, the GDPR requires DPIAs if ‘systematic monitoring of a publicly accessible area on a large scale’ takes place.</w:t>
      </w:r>
      <w:r w:rsidRPr="000D7597">
        <w:rPr>
          <w:rStyle w:val="FootnoteReference"/>
          <w:szCs w:val="24"/>
        </w:rPr>
        <w:footnoteReference w:id="58"/>
      </w:r>
      <w:r w:rsidRPr="000D7597">
        <w:rPr>
          <w:rFonts w:ascii="Times New Roman" w:hAnsi="Times New Roman" w:cs="Times New Roman"/>
          <w:sz w:val="24"/>
          <w:szCs w:val="24"/>
          <w:lang w:val="en-US"/>
        </w:rPr>
        <w:t xml:space="preserve"> The Article 29 Working Party points out that such data collection can be especially problematic because data subjects might not be aware of the data processing. Furthermore, they might not be able to prevent their data from being collected without avoiding the public area in question, rendering the public place less public and any form of consent meaningless.</w:t>
      </w:r>
      <w:r w:rsidRPr="000D7597">
        <w:rPr>
          <w:rStyle w:val="FootnoteReference"/>
          <w:szCs w:val="24"/>
        </w:rPr>
        <w:footnoteReference w:id="59"/>
      </w:r>
      <w:r w:rsidRPr="000D7597">
        <w:rPr>
          <w:rFonts w:ascii="Times New Roman" w:hAnsi="Times New Roman" w:cs="Times New Roman"/>
          <w:sz w:val="24"/>
          <w:szCs w:val="24"/>
          <w:lang w:val="en-US"/>
        </w:rPr>
        <w:t xml:space="preserve"> Therefore, safeguards to gauge and minimize risks are certainly needed, and it seems it will be nigh on impossible to avoid doing a DPIA when gathering crowdsourced data for making maps.</w:t>
      </w:r>
    </w:p>
    <w:p w14:paraId="72B32E6C" w14:textId="7C47204B"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As DPIAs are thus a necessary step in the development of crowdsourced maps, they might form a promising avenue to address the problems identified in the previous section. As we have seen however, trying to deal with group data protection rights within the EU data protection framework achieves unsatisfactory results. So why should Data Protection Impact Assessments be better suited to deal with mapmaking algorithms that analyze crowdsourced data if they are a part of that same framework? In the next two sub-sections, only those aspects that are pertinent to this specific question will be dealt with. Many others have already written extensively on DPIAs and proposed various models and frameworks.</w:t>
      </w:r>
      <w:bookmarkStart w:id="1" w:name="_Ref523404044"/>
      <w:r w:rsidRPr="000D7597">
        <w:rPr>
          <w:rStyle w:val="FootnoteReference"/>
          <w:szCs w:val="24"/>
        </w:rPr>
        <w:footnoteReference w:id="60"/>
      </w:r>
      <w:bookmarkEnd w:id="1"/>
      <w:r w:rsidRPr="000D7597">
        <w:rPr>
          <w:rFonts w:ascii="Times New Roman" w:hAnsi="Times New Roman" w:cs="Times New Roman"/>
          <w:sz w:val="24"/>
          <w:szCs w:val="24"/>
          <w:lang w:val="en-US"/>
        </w:rPr>
        <w:t xml:space="preserve"> The </w:t>
      </w:r>
      <w:r w:rsidRPr="000D7597">
        <w:rPr>
          <w:rFonts w:ascii="Times New Roman" w:hAnsi="Times New Roman" w:cs="Times New Roman"/>
          <w:sz w:val="24"/>
          <w:szCs w:val="24"/>
          <w:lang w:val="en-US"/>
        </w:rPr>
        <w:lastRenderedPageBreak/>
        <w:t xml:space="preserve">object here is not to duplicate their work or add yet another model, but to suggest how, within existing models, a small extension could yield significant results. </w:t>
      </w:r>
    </w:p>
    <w:p w14:paraId="5F08CE95" w14:textId="77777777" w:rsidR="00F665E2" w:rsidRDefault="00F665E2" w:rsidP="00822E25">
      <w:pPr>
        <w:pStyle w:val="Heading1"/>
      </w:pPr>
      <w:r w:rsidRPr="008169D8">
        <w:t>Opportunities</w:t>
      </w:r>
    </w:p>
    <w:p w14:paraId="6FEA12F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Counter-intuitively, the embeddedness of DPIAs provides an opportunity to enhance the protection of group data protection rights </w:t>
      </w:r>
      <w:r w:rsidRPr="000D7597">
        <w:rPr>
          <w:rFonts w:ascii="Times New Roman" w:hAnsi="Times New Roman" w:cs="Times New Roman"/>
          <w:i/>
          <w:sz w:val="24"/>
          <w:szCs w:val="24"/>
          <w:lang w:val="en-US"/>
        </w:rPr>
        <w:t>within</w:t>
      </w:r>
      <w:r w:rsidRPr="000D7597">
        <w:rPr>
          <w:rFonts w:ascii="Times New Roman" w:hAnsi="Times New Roman" w:cs="Times New Roman"/>
          <w:sz w:val="24"/>
          <w:szCs w:val="24"/>
          <w:lang w:val="en-US"/>
        </w:rPr>
        <w:t xml:space="preserve"> the current legal framework. Many other proposals exist to include various ethical, social, and human rights considerations in a plethora of impact assessment tools.</w:t>
      </w:r>
      <w:r w:rsidRPr="000D7597">
        <w:rPr>
          <w:rStyle w:val="FootnoteReference"/>
          <w:szCs w:val="24"/>
        </w:rPr>
        <w:footnoteReference w:id="61"/>
      </w:r>
      <w:r w:rsidRPr="000D7597">
        <w:rPr>
          <w:rFonts w:ascii="Times New Roman" w:hAnsi="Times New Roman" w:cs="Times New Roman"/>
          <w:sz w:val="24"/>
          <w:szCs w:val="24"/>
          <w:lang w:val="en-US"/>
        </w:rPr>
        <w:t xml:space="preserve"> These can serve as important inspirations and templates in the context of crowdsourced map-making initiatives. However, they form an additional financial and administrative burden that data controllers are called upon to voluntarily shoulder. By adding group rights to an already existing requirement, these costs could be significantly decreased.</w:t>
      </w:r>
    </w:p>
    <w:p w14:paraId="01E5F8E8"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most straightforward way in which group data protection rights for crowdsourced mapmaking initiatives can be safeguarded is the same way in which personal data protection rights are safeguarded: by ‘assessing [risks] and determining the measures to address them</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62"/>
      </w:r>
      <w:r w:rsidRPr="000D7597">
        <w:rPr>
          <w:rFonts w:ascii="Times New Roman" w:hAnsi="Times New Roman" w:cs="Times New Roman"/>
          <w:sz w:val="24"/>
          <w:szCs w:val="24"/>
          <w:lang w:val="en-US"/>
        </w:rPr>
        <w:t xml:space="preserve"> Many already established personal data protection principles can be applied to address any identified risks for groups. Consider, for example, how the data minimization principle could also be applied to anonymous data. In the Strava example mentioned above this simple procedure could have prevented the company great reputational loss, not to mention the unknown costs to military operations.</w:t>
      </w:r>
    </w:p>
    <w:p w14:paraId="6E8A7CD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example also shows how important the proactive nature of DPIAs is in making group rights real. DPIAs should be engaged in ‘as early as is practicable’</w:t>
      </w:r>
      <w:r w:rsidRPr="000D7597">
        <w:rPr>
          <w:rStyle w:val="FootnoteReference"/>
          <w:szCs w:val="24"/>
        </w:rPr>
        <w:footnoteReference w:id="63"/>
      </w:r>
      <w:r w:rsidRPr="000D7597">
        <w:rPr>
          <w:rFonts w:ascii="Times New Roman" w:hAnsi="Times New Roman" w:cs="Times New Roman"/>
          <w:sz w:val="24"/>
          <w:szCs w:val="24"/>
          <w:lang w:val="en-US"/>
        </w:rPr>
        <w:t xml:space="preserve"> in order to prevent risks from materializing. As was discussed in the section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Maps and (Missing) Group Rights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it can be difficult to reliably reconstruct what has happened once an algorithm has grouped individuals. Therefore, it is preferable to set limits and objectives beforehand</w:t>
      </w:r>
      <w:r>
        <w:rPr>
          <w:rFonts w:ascii="Times New Roman" w:hAnsi="Times New Roman" w:cs="Times New Roman"/>
          <w:sz w:val="24"/>
          <w:szCs w:val="24"/>
          <w:lang w:val="en-US"/>
        </w:rPr>
        <w:t>,</w:t>
      </w:r>
      <w:r w:rsidRPr="000D7597">
        <w:rPr>
          <w:rStyle w:val="FootnoteReference"/>
          <w:szCs w:val="24"/>
        </w:rPr>
        <w:footnoteReference w:id="64"/>
      </w:r>
      <w:r w:rsidRPr="000D7597">
        <w:rPr>
          <w:rFonts w:ascii="Times New Roman" w:hAnsi="Times New Roman" w:cs="Times New Roman"/>
          <w:sz w:val="24"/>
          <w:szCs w:val="24"/>
          <w:lang w:val="en-US"/>
        </w:rPr>
        <w:t xml:space="preserve"> by for instance auditing algorithms for disparate impacts using simulated data.</w:t>
      </w:r>
      <w:r w:rsidRPr="000D7597">
        <w:rPr>
          <w:rStyle w:val="FootnoteReference"/>
          <w:szCs w:val="24"/>
        </w:rPr>
        <w:footnoteReference w:id="65"/>
      </w:r>
    </w:p>
    <w:p w14:paraId="51E577BD" w14:textId="77777777" w:rsidR="00F665E2" w:rsidRPr="000D7597" w:rsidRDefault="00F665E2" w:rsidP="00F665E2">
      <w:pPr>
        <w:rPr>
          <w:rStyle w:val="CommentReference"/>
          <w:rFonts w:ascii="Times New Roman" w:hAnsi="Times New Roman" w:cs="Times New Roman"/>
          <w:sz w:val="24"/>
          <w:szCs w:val="24"/>
          <w:lang w:val="en-US"/>
        </w:rPr>
      </w:pPr>
      <w:r w:rsidRPr="000D7597">
        <w:rPr>
          <w:rFonts w:ascii="Times New Roman" w:hAnsi="Times New Roman" w:cs="Times New Roman"/>
          <w:sz w:val="24"/>
          <w:szCs w:val="24"/>
          <w:lang w:val="en-US"/>
        </w:rPr>
        <w:t>Besides these more general opportunities for the inclusion of group data protection rights within DPIAs, the GDPR contains a clause with specific relevance for crowdsourced mapmaking initiatives: ‘where appropriate, the controller shall seek the views of data subjects or their representatives on the intended processing</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66"/>
      </w:r>
      <w:r w:rsidRPr="000D7597">
        <w:rPr>
          <w:rFonts w:ascii="Times New Roman" w:hAnsi="Times New Roman" w:cs="Times New Roman"/>
          <w:sz w:val="24"/>
          <w:szCs w:val="24"/>
          <w:lang w:val="en-US"/>
        </w:rPr>
        <w:t xml:space="preserve"> At its most basic, this clause allows data controllers to seek these views and perhaps include them in the final report of the DPIA, </w:t>
      </w:r>
      <w:r w:rsidRPr="000D7597">
        <w:rPr>
          <w:rFonts w:ascii="Times New Roman" w:hAnsi="Times New Roman" w:cs="Times New Roman"/>
          <w:sz w:val="24"/>
          <w:szCs w:val="24"/>
          <w:lang w:val="en-US"/>
        </w:rPr>
        <w:lastRenderedPageBreak/>
        <w:t>but then for all intents and purposes discount them. However, if properly engaged with, it also allows for data subjects to co-produce the environments in which they live.</w:t>
      </w:r>
      <w:r w:rsidRPr="000D7597">
        <w:rPr>
          <w:rStyle w:val="FootnoteReference"/>
          <w:szCs w:val="24"/>
        </w:rPr>
        <w:footnoteReference w:id="67"/>
      </w:r>
    </w:p>
    <w:p w14:paraId="6B2F80D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opportunity is created by the considerable performative power of maps, as discussed in the section ‘How Maps are Made</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By affording local groups access to the development process, they gain ownership</w:t>
      </w:r>
      <w:r w:rsidRPr="000D7597">
        <w:rPr>
          <w:rStyle w:val="FootnoteReference"/>
          <w:szCs w:val="24"/>
        </w:rPr>
        <w:footnoteReference w:id="68"/>
      </w:r>
      <w:r w:rsidRPr="000D7597">
        <w:rPr>
          <w:rFonts w:ascii="Times New Roman" w:hAnsi="Times New Roman" w:cs="Times New Roman"/>
          <w:sz w:val="24"/>
          <w:szCs w:val="24"/>
          <w:lang w:val="en-US"/>
        </w:rPr>
        <w:t xml:space="preserve"> over the production of the map and thus their surroundings. For instance, they can have a voice in what maps will and will not show, in which way, and to whom</w:t>
      </w:r>
      <w:r>
        <w:rPr>
          <w:rFonts w:ascii="Times New Roman" w:hAnsi="Times New Roman" w:cs="Times New Roman"/>
          <w:sz w:val="24"/>
          <w:szCs w:val="24"/>
          <w:lang w:val="en-US"/>
        </w:rPr>
        <w:t>.</w:t>
      </w:r>
      <w:r w:rsidRPr="000D7597">
        <w:rPr>
          <w:rStyle w:val="FootnoteReference"/>
          <w:szCs w:val="24"/>
        </w:rPr>
        <w:footnoteReference w:id="69"/>
      </w:r>
      <w:r w:rsidRPr="000D7597">
        <w:rPr>
          <w:rFonts w:ascii="Times New Roman" w:hAnsi="Times New Roman" w:cs="Times New Roman"/>
          <w:sz w:val="24"/>
          <w:szCs w:val="24"/>
          <w:lang w:val="en-US"/>
        </w:rPr>
        <w:t xml:space="preserve"> This ability to contribute to the meaning of places makes DPIAs for crowdsourced maps especially well-suited for empowering residents;</w:t>
      </w:r>
      <w:r w:rsidRPr="000D7597">
        <w:rPr>
          <w:rStyle w:val="FootnoteReference"/>
          <w:szCs w:val="24"/>
        </w:rPr>
        <w:footnoteReference w:id="70"/>
      </w:r>
      <w:r w:rsidRPr="000D7597">
        <w:rPr>
          <w:rFonts w:ascii="Times New Roman" w:hAnsi="Times New Roman" w:cs="Times New Roman"/>
          <w:sz w:val="24"/>
          <w:szCs w:val="24"/>
          <w:lang w:val="en-US"/>
        </w:rPr>
        <w:t xml:space="preserve"> it allows them to change their environment from a place that they happen to live in and that others map, to a place that is mapped and co-produced by them.</w:t>
      </w:r>
      <w:r w:rsidRPr="000D7597">
        <w:rPr>
          <w:rStyle w:val="FootnoteReference"/>
          <w:szCs w:val="24"/>
        </w:rPr>
        <w:footnoteReference w:id="71"/>
      </w:r>
      <w:r w:rsidRPr="000D7597">
        <w:rPr>
          <w:rFonts w:ascii="Times New Roman" w:hAnsi="Times New Roman" w:cs="Times New Roman"/>
          <w:sz w:val="24"/>
          <w:szCs w:val="24"/>
          <w:lang w:val="en-US"/>
        </w:rPr>
        <w:t xml:space="preserve"> </w:t>
      </w:r>
    </w:p>
    <w:p w14:paraId="186DFF76"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Such a co-production can be modelled after consent, one of the pillars of personal data protection law. Consent should always be given beforehand</w:t>
      </w:r>
      <w:r>
        <w:rPr>
          <w:rFonts w:ascii="Times New Roman" w:hAnsi="Times New Roman" w:cs="Times New Roman"/>
          <w:sz w:val="24"/>
          <w:szCs w:val="24"/>
          <w:lang w:val="en-US"/>
        </w:rPr>
        <w:t>,</w:t>
      </w:r>
      <w:r w:rsidRPr="000D7597">
        <w:rPr>
          <w:rStyle w:val="FootnoteReference"/>
          <w:szCs w:val="24"/>
        </w:rPr>
        <w:footnoteReference w:id="72"/>
      </w:r>
      <w:r w:rsidRPr="000D7597">
        <w:rPr>
          <w:rFonts w:ascii="Times New Roman" w:hAnsi="Times New Roman" w:cs="Times New Roman"/>
          <w:sz w:val="24"/>
          <w:szCs w:val="24"/>
          <w:lang w:val="en-US"/>
        </w:rPr>
        <w:t xml:space="preserve"> and by the affected data subject itself. Consent is only valid if, inter alia, it meets the connected requirements that it is informed, granular, and specific.</w:t>
      </w:r>
      <w:r w:rsidRPr="000D7597">
        <w:rPr>
          <w:rStyle w:val="FootnoteReference"/>
          <w:szCs w:val="24"/>
        </w:rPr>
        <w:footnoteReference w:id="73"/>
      </w:r>
      <w:r w:rsidRPr="000D7597">
        <w:rPr>
          <w:rFonts w:ascii="Times New Roman" w:hAnsi="Times New Roman" w:cs="Times New Roman"/>
          <w:sz w:val="24"/>
          <w:szCs w:val="24"/>
          <w:lang w:val="en-US"/>
        </w:rPr>
        <w:t xml:space="preserve"> By integrating these requirements into DPIAs, groups are given a way to meaningfully co-produce the crowdsourced maps and the GIS software — and thus their living environments — at a stage when some of the processing operations are still unknown.</w:t>
      </w:r>
      <w:r w:rsidRPr="000D7597">
        <w:rPr>
          <w:rStyle w:val="FootnoteReference"/>
          <w:szCs w:val="24"/>
        </w:rPr>
        <w:footnoteReference w:id="74"/>
      </w:r>
    </w:p>
    <w:p w14:paraId="4EEE1F6B"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inclusion of as many views as possible is essential for this process. However, as it seems quite impractical to have all (potential) data subjects fully engaged in any and all DPIAs for crowdsourced mapmaking initiatives that might affect them, the selection of data subjects and their representatives is crucial. These should come from at least two categories: on the one hand representatives of local communities and local disadvantaged groups, and on the other hand, representatives from digital rights associations with a broader basis in society.</w:t>
      </w:r>
    </w:p>
    <w:p w14:paraId="203825A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Delegates from local</w:t>
      </w:r>
      <w:r w:rsidRPr="000D7597">
        <w:rPr>
          <w:rStyle w:val="FootnoteReference"/>
          <w:szCs w:val="24"/>
        </w:rPr>
        <w:footnoteReference w:id="75"/>
      </w:r>
      <w:r w:rsidRPr="000D7597">
        <w:rPr>
          <w:rFonts w:ascii="Times New Roman" w:hAnsi="Times New Roman" w:cs="Times New Roman"/>
          <w:sz w:val="24"/>
          <w:szCs w:val="24"/>
          <w:lang w:val="en-US"/>
        </w:rPr>
        <w:t xml:space="preserve"> communities should be included to directly speak for those affected and in turn, affect the mapmaking process and the places they inhabit. Also, they alone can meaningfully and actively co-produce their environment on behalf of its inhabitants. The </w:t>
      </w:r>
      <w:r w:rsidRPr="000D7597">
        <w:rPr>
          <w:rFonts w:ascii="Times New Roman" w:hAnsi="Times New Roman" w:cs="Times New Roman"/>
          <w:sz w:val="24"/>
          <w:szCs w:val="24"/>
          <w:lang w:val="en-US"/>
        </w:rPr>
        <w:lastRenderedPageBreak/>
        <w:t>inclusion of representatives from disadvantaged groups can help in trying to avoid bias and discrimination. As was pointed out above, georeferenced data gathering tends to underrepresent already disadvantaged groups</w:t>
      </w:r>
      <w:r>
        <w:rPr>
          <w:rFonts w:ascii="Times New Roman" w:hAnsi="Times New Roman" w:cs="Times New Roman"/>
          <w:sz w:val="24"/>
          <w:szCs w:val="24"/>
          <w:lang w:val="en-US"/>
        </w:rPr>
        <w:t>,</w:t>
      </w:r>
      <w:r w:rsidRPr="000D7597">
        <w:rPr>
          <w:rStyle w:val="FootnoteReference"/>
          <w:szCs w:val="24"/>
        </w:rPr>
        <w:footnoteReference w:id="76"/>
      </w:r>
      <w:r w:rsidRPr="000D7597">
        <w:rPr>
          <w:rFonts w:ascii="Times New Roman" w:hAnsi="Times New Roman" w:cs="Times New Roman"/>
          <w:sz w:val="24"/>
          <w:szCs w:val="24"/>
          <w:lang w:val="en-US"/>
        </w:rPr>
        <w:t xml:space="preserve"> and if data is collected on these groups, it usually further stigmatizes them.</w:t>
      </w:r>
      <w:r w:rsidRPr="000D7597">
        <w:rPr>
          <w:rStyle w:val="FootnoteReference"/>
          <w:szCs w:val="24"/>
        </w:rPr>
        <w:footnoteReference w:id="77"/>
      </w:r>
      <w:r w:rsidRPr="000D7597">
        <w:rPr>
          <w:rFonts w:ascii="Times New Roman" w:hAnsi="Times New Roman" w:cs="Times New Roman"/>
          <w:sz w:val="24"/>
          <w:szCs w:val="24"/>
          <w:lang w:val="en-US"/>
        </w:rPr>
        <w:t xml:space="preserve"> The inclusion of these groups should draw the attention of mapmakers to their specific concerns at an early stage.</w:t>
      </w:r>
      <w:r w:rsidRPr="000D7597">
        <w:rPr>
          <w:rStyle w:val="FootnoteReference"/>
          <w:szCs w:val="24"/>
        </w:rPr>
        <w:footnoteReference w:id="78"/>
      </w:r>
    </w:p>
    <w:p w14:paraId="2508A8EC"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benefit of including digital rights associations is that they can represent groups of which the existence is not yet known and can contribute expert knowledge.</w:t>
      </w:r>
      <w:r w:rsidRPr="000D7597">
        <w:rPr>
          <w:rStyle w:val="FootnoteReference"/>
          <w:szCs w:val="24"/>
        </w:rPr>
        <w:footnoteReference w:id="79"/>
      </w:r>
      <w:r w:rsidRPr="000D7597">
        <w:rPr>
          <w:rFonts w:ascii="Times New Roman" w:hAnsi="Times New Roman" w:cs="Times New Roman"/>
          <w:sz w:val="24"/>
          <w:szCs w:val="24"/>
          <w:lang w:val="en-US"/>
        </w:rPr>
        <w:t xml:space="preserve"> As was pointed out in the section ‘Maps and (Missing) Group Rights’ it can be impossible to predict, or even reconstruct after the fact, which groups the algorithms constantly (re)generate. This would mean that any unforeseen groups are automatically excluded from the DPIA. In order to prevent this, digital rights associations may represent them. Note that it would seem appropriate for representatives of such associations to be cautious beyond this specific remit.</w:t>
      </w:r>
    </w:p>
    <w:p w14:paraId="759CB8FE" w14:textId="4FAED249"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The selection of representatives is a difficult task,</w:t>
      </w:r>
      <w:r w:rsidRPr="000D7597">
        <w:rPr>
          <w:rStyle w:val="FootnoteReference"/>
          <w:szCs w:val="24"/>
        </w:rPr>
        <w:footnoteReference w:id="80"/>
      </w:r>
      <w:r w:rsidRPr="000D7597">
        <w:rPr>
          <w:rFonts w:ascii="Times New Roman" w:hAnsi="Times New Roman" w:cs="Times New Roman"/>
          <w:sz w:val="24"/>
          <w:szCs w:val="24"/>
          <w:lang w:val="en-US"/>
        </w:rPr>
        <w:t xml:space="preserve"> but the GDPR gives a hint at who might be welcome at the table regardless. Article 80 outlines how individual data subjects can mandate a ‘</w:t>
      </w:r>
      <w:r w:rsidRPr="000D7597">
        <w:rPr>
          <w:rFonts w:ascii="Times New Roman" w:hAnsi="Times New Roman" w:cs="Times New Roman"/>
          <w:sz w:val="24"/>
          <w:szCs w:val="24"/>
          <w:lang w:val="en-GB"/>
        </w:rPr>
        <w:t>not-for-profit body, organisation or association which […] has statutory objectives which are in the public interest, and is active in the field of the protection of data subjects' rights and freedoms with regard to the protection of their personal data</w:t>
      </w:r>
      <w:r w:rsidRPr="000D7597">
        <w:rPr>
          <w:rFonts w:ascii="Times New Roman" w:hAnsi="Times New Roman" w:cs="Times New Roman"/>
          <w:sz w:val="24"/>
          <w:szCs w:val="24"/>
          <w:lang w:val="en-US"/>
        </w:rPr>
        <w:t>’</w:t>
      </w:r>
      <w:r w:rsidRPr="000D7597">
        <w:rPr>
          <w:rStyle w:val="FootnoteReference"/>
          <w:szCs w:val="24"/>
        </w:rPr>
        <w:footnoteReference w:id="81"/>
      </w:r>
      <w:r w:rsidRPr="000D7597">
        <w:rPr>
          <w:rFonts w:ascii="Times New Roman" w:hAnsi="Times New Roman" w:cs="Times New Roman"/>
          <w:sz w:val="24"/>
          <w:szCs w:val="24"/>
          <w:lang w:val="en-US"/>
        </w:rPr>
        <w:t xml:space="preserve"> to represent them when lodging a complaint with a DPA</w:t>
      </w:r>
      <w:r>
        <w:rPr>
          <w:rFonts w:ascii="Times New Roman" w:hAnsi="Times New Roman" w:cs="Times New Roman"/>
          <w:sz w:val="24"/>
          <w:szCs w:val="24"/>
          <w:lang w:val="en-US"/>
        </w:rPr>
        <w:t>,</w:t>
      </w:r>
      <w:r w:rsidRPr="000D7597">
        <w:rPr>
          <w:rStyle w:val="FootnoteReference"/>
          <w:szCs w:val="24"/>
        </w:rPr>
        <w:footnoteReference w:id="82"/>
      </w:r>
      <w:r w:rsidRPr="000D7597">
        <w:rPr>
          <w:rFonts w:ascii="Times New Roman" w:hAnsi="Times New Roman" w:cs="Times New Roman"/>
          <w:sz w:val="24"/>
          <w:szCs w:val="24"/>
          <w:lang w:val="en-US"/>
        </w:rPr>
        <w:t xml:space="preserve"> or when seeking a judicial remedy against a DPA, data controller, or processer.</w:t>
      </w:r>
      <w:r w:rsidRPr="000D7597">
        <w:rPr>
          <w:rStyle w:val="FootnoteReference"/>
          <w:szCs w:val="24"/>
        </w:rPr>
        <w:footnoteReference w:id="83"/>
      </w:r>
      <w:r w:rsidRPr="000D7597">
        <w:rPr>
          <w:rFonts w:ascii="Times New Roman" w:hAnsi="Times New Roman" w:cs="Times New Roman"/>
          <w:sz w:val="24"/>
          <w:szCs w:val="24"/>
          <w:lang w:val="en-US"/>
        </w:rPr>
        <w:t xml:space="preserve"> This list could be expanded — either informally by data controllers currently executing a DPIA, or eventually by the European legislator — to include the representation of data subjects during DPIAs in the sense of </w:t>
      </w:r>
      <w:r>
        <w:rPr>
          <w:rFonts w:ascii="Times New Roman" w:hAnsi="Times New Roman" w:cs="Times New Roman"/>
          <w:sz w:val="24"/>
          <w:szCs w:val="24"/>
          <w:lang w:val="en-US"/>
        </w:rPr>
        <w:t>A</w:t>
      </w:r>
      <w:r w:rsidRPr="000D7597">
        <w:rPr>
          <w:rFonts w:ascii="Times New Roman" w:hAnsi="Times New Roman" w:cs="Times New Roman"/>
          <w:sz w:val="24"/>
          <w:szCs w:val="24"/>
          <w:lang w:val="en-US"/>
        </w:rPr>
        <w:t>rticle 35(9) of the GDPR.</w:t>
      </w:r>
    </w:p>
    <w:p w14:paraId="6E71D7F3" w14:textId="6E029F0D" w:rsidR="00F665E2" w:rsidRDefault="00F665E2" w:rsidP="00822E25">
      <w:pPr>
        <w:pStyle w:val="Heading1"/>
      </w:pPr>
      <w:r w:rsidRPr="008169D8">
        <w:t>Limitations</w:t>
      </w:r>
    </w:p>
    <w:p w14:paraId="20767AEB"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Although the EU legislator pays lip service to the ethical and social issues that result from large scale data processing and have an impact beyond the individual, these are included neither in</w:t>
      </w:r>
      <w:r>
        <w:rPr>
          <w:rFonts w:ascii="Times New Roman" w:hAnsi="Times New Roman" w:cs="Times New Roman"/>
          <w:sz w:val="24"/>
          <w:szCs w:val="24"/>
          <w:lang w:val="en-US"/>
        </w:rPr>
        <w:t xml:space="preserve"> A</w:t>
      </w:r>
      <w:r w:rsidRPr="000D7597">
        <w:rPr>
          <w:rFonts w:ascii="Times New Roman" w:hAnsi="Times New Roman" w:cs="Times New Roman"/>
          <w:sz w:val="24"/>
          <w:szCs w:val="24"/>
          <w:lang w:val="en-US"/>
        </w:rPr>
        <w:t xml:space="preserve">rticle 35 of the GDPR which describes Data Protection Impact Assessments, nor in the various DPIA models provided by the Data Protection Authorities (DPA) of the </w:t>
      </w:r>
      <w:r>
        <w:rPr>
          <w:rFonts w:ascii="Times New Roman" w:hAnsi="Times New Roman" w:cs="Times New Roman"/>
          <w:sz w:val="24"/>
          <w:szCs w:val="24"/>
          <w:lang w:val="en-US"/>
        </w:rPr>
        <w:t>M</w:t>
      </w:r>
      <w:r w:rsidRPr="000D7597">
        <w:rPr>
          <w:rFonts w:ascii="Times New Roman" w:hAnsi="Times New Roman" w:cs="Times New Roman"/>
          <w:sz w:val="24"/>
          <w:szCs w:val="24"/>
          <w:lang w:val="en-US"/>
        </w:rPr>
        <w:t xml:space="preserve">ember </w:t>
      </w:r>
      <w:r>
        <w:rPr>
          <w:rFonts w:ascii="Times New Roman" w:hAnsi="Times New Roman" w:cs="Times New Roman"/>
          <w:sz w:val="24"/>
          <w:szCs w:val="24"/>
          <w:lang w:val="en-US"/>
        </w:rPr>
        <w:t>S</w:t>
      </w:r>
      <w:r w:rsidRPr="000D7597">
        <w:rPr>
          <w:rFonts w:ascii="Times New Roman" w:hAnsi="Times New Roman" w:cs="Times New Roman"/>
          <w:sz w:val="24"/>
          <w:szCs w:val="24"/>
          <w:lang w:val="en-US"/>
        </w:rPr>
        <w:t>tates.</w:t>
      </w:r>
      <w:r w:rsidRPr="000D7597">
        <w:rPr>
          <w:rStyle w:val="FootnoteReference"/>
          <w:szCs w:val="24"/>
        </w:rPr>
        <w:footnoteReference w:id="84"/>
      </w:r>
      <w:r w:rsidRPr="000D7597">
        <w:rPr>
          <w:rFonts w:ascii="Times New Roman" w:hAnsi="Times New Roman" w:cs="Times New Roman"/>
          <w:sz w:val="24"/>
          <w:szCs w:val="24"/>
          <w:lang w:val="en-US"/>
        </w:rPr>
        <w:t xml:space="preserve"> As a result, despite the many opportunities listed above, a number of important limitations to DPIAs as a tool for enhancing group data protection rights in the context of crowdsourced mapmaking needs to be considered.</w:t>
      </w:r>
    </w:p>
    <w:p w14:paraId="7C5643B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lastRenderedPageBreak/>
        <w:t>A fundamental limitation to the possibility of using DPIAs as embedded in the GDPR is formed by the voluntary nature of the inclusion of groups and their representatives in the process. Article 35(9) is qualified as follows: ‘</w:t>
      </w:r>
      <w:r w:rsidRPr="000D7597">
        <w:rPr>
          <w:rFonts w:ascii="Times New Roman" w:hAnsi="Times New Roman" w:cs="Times New Roman"/>
          <w:i/>
          <w:sz w:val="24"/>
          <w:szCs w:val="24"/>
          <w:lang w:val="en-US"/>
        </w:rPr>
        <w:t>Where appropriate</w:t>
      </w:r>
      <w:r w:rsidRPr="000D7597">
        <w:rPr>
          <w:rFonts w:ascii="Times New Roman" w:hAnsi="Times New Roman" w:cs="Times New Roman"/>
          <w:sz w:val="24"/>
          <w:szCs w:val="24"/>
          <w:lang w:val="en-US"/>
        </w:rPr>
        <w:t>, the controller shall seek the views of data subjects or their representatives on the intended processing […]’ (emphasis added). It remains unclear, at least for the moment, where this would and would not be appropriate; a situation that the Article 29 Working Party failed to remedy in its opinion on DPIAs.</w:t>
      </w:r>
      <w:r w:rsidRPr="000D7597">
        <w:rPr>
          <w:rStyle w:val="FootnoteReference"/>
          <w:szCs w:val="24"/>
        </w:rPr>
        <w:footnoteReference w:id="85"/>
      </w:r>
      <w:r w:rsidRPr="000D7597">
        <w:rPr>
          <w:rFonts w:ascii="Times New Roman" w:hAnsi="Times New Roman" w:cs="Times New Roman"/>
          <w:sz w:val="24"/>
          <w:szCs w:val="24"/>
          <w:lang w:val="en-US"/>
        </w:rPr>
        <w:t xml:space="preserve"> It seems improbable that companies will interpret this provision widely and be eager to engage in the time-consuming, costly, and potentially politically laden process</w:t>
      </w:r>
      <w:r w:rsidRPr="000D7597">
        <w:rPr>
          <w:rStyle w:val="FootnoteReference"/>
          <w:szCs w:val="24"/>
        </w:rPr>
        <w:footnoteReference w:id="86"/>
      </w:r>
      <w:r w:rsidRPr="000D7597">
        <w:rPr>
          <w:rFonts w:ascii="Times New Roman" w:hAnsi="Times New Roman" w:cs="Times New Roman"/>
          <w:sz w:val="24"/>
          <w:szCs w:val="24"/>
          <w:lang w:val="en-US"/>
        </w:rPr>
        <w:t xml:space="preserve"> if it can easily be avoided. As seen above, however, it would be exactly this inclusion that engenders many opportunities.</w:t>
      </w:r>
    </w:p>
    <w:p w14:paraId="1471969C"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If we assume that companies do engage in DPIAs and include affected data subjects and representatives of local (disadvantaged) groups, many limitations still remain. First of all, when we compare the data protection rights of groups that can be protected through DPIAs to the rights that individuals have over their personal data, it seems that it is chiefly the prohibition on the processing of special categories of data that can be somewhat enhanced through engaging in DPIAs. Left by the wayside are many other principles, such as for example accuracy, accountability, confidentiality, or a lawful basis for processing such as informed and freely given consent.</w:t>
      </w:r>
      <w:r w:rsidRPr="000D7597">
        <w:rPr>
          <w:rStyle w:val="FootnoteReference"/>
          <w:szCs w:val="24"/>
        </w:rPr>
        <w:footnoteReference w:id="87"/>
      </w:r>
      <w:r w:rsidRPr="000D7597">
        <w:rPr>
          <w:rFonts w:ascii="Times New Roman" w:hAnsi="Times New Roman" w:cs="Times New Roman"/>
          <w:sz w:val="24"/>
          <w:szCs w:val="24"/>
          <w:lang w:val="en-US"/>
        </w:rPr>
        <w:t xml:space="preserve"> For now, these data protection principles seem out of reach for groups.</w:t>
      </w:r>
    </w:p>
    <w:p w14:paraId="64AB9657"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selection of groups to be represented would also present a data controller eager to conduct a DPIA with major difficulties. As was discussed in the section</w:t>
      </w:r>
      <w:r>
        <w:rPr>
          <w:rFonts w:ascii="Times New Roman" w:hAnsi="Times New Roman" w:cs="Times New Roman"/>
          <w:sz w:val="24"/>
          <w:szCs w:val="24"/>
          <w:lang w:val="en-US"/>
        </w:rPr>
        <w:t xml:space="preserve"> ‘</w:t>
      </w:r>
      <w:r w:rsidRPr="000D7597">
        <w:rPr>
          <w:rFonts w:ascii="Times New Roman" w:hAnsi="Times New Roman" w:cs="Times New Roman"/>
          <w:sz w:val="24"/>
          <w:szCs w:val="24"/>
          <w:lang w:val="en-US"/>
        </w:rPr>
        <w:t>How Maps are Made</w:t>
      </w:r>
      <w:r>
        <w:rPr>
          <w:rFonts w:ascii="Times New Roman" w:hAnsi="Times New Roman" w:cs="Times New Roman"/>
          <w:sz w:val="24"/>
          <w:szCs w:val="24"/>
          <w:lang w:val="en-US"/>
        </w:rPr>
        <w:t xml:space="preserve">’ </w:t>
      </w:r>
      <w:r w:rsidRPr="000D7597">
        <w:rPr>
          <w:rFonts w:ascii="Times New Roman" w:hAnsi="Times New Roman" w:cs="Times New Roman"/>
          <w:sz w:val="24"/>
          <w:szCs w:val="24"/>
          <w:lang w:val="en-US"/>
        </w:rPr>
        <w:t>it is impossible to pinpoint exactly who produces, edits, or consumes a contemporary map; we could add to this confusion those who are impacted by a map. Even if it would be possible to neatly separate these roles and find suitable representatives for each affected group, the composition of all the groups that will (or might) be formed by an algorithm cannot always be known beforehand. Furthermore, many distinct local communities are not neatly divided in classical neighborhoods</w:t>
      </w:r>
      <w:r>
        <w:rPr>
          <w:rFonts w:ascii="Times New Roman" w:hAnsi="Times New Roman" w:cs="Times New Roman"/>
          <w:sz w:val="24"/>
          <w:szCs w:val="24"/>
          <w:lang w:val="en-US"/>
        </w:rPr>
        <w:t>,</w:t>
      </w:r>
      <w:r w:rsidRPr="000D7597">
        <w:rPr>
          <w:rStyle w:val="FootnoteReference"/>
          <w:szCs w:val="24"/>
        </w:rPr>
        <w:footnoteReference w:id="88"/>
      </w:r>
      <w:r w:rsidRPr="000D7597">
        <w:rPr>
          <w:rFonts w:ascii="Times New Roman" w:hAnsi="Times New Roman" w:cs="Times New Roman"/>
          <w:sz w:val="24"/>
          <w:szCs w:val="24"/>
          <w:lang w:val="en-US"/>
        </w:rPr>
        <w:t xml:space="preserve"> and the involvement of neighborhood associations, which may be easy to access for data controllers, might not lead to accurate representation. Finally, assuming that a somewhat complete overview of groups to be represented has been established, it is extremely difficult to decide who can speak on behalf of each group.</w:t>
      </w:r>
      <w:r w:rsidRPr="000D7597">
        <w:rPr>
          <w:rStyle w:val="FootnoteReference"/>
          <w:szCs w:val="24"/>
        </w:rPr>
        <w:footnoteReference w:id="89"/>
      </w:r>
      <w:r w:rsidRPr="000D7597">
        <w:rPr>
          <w:rFonts w:ascii="Times New Roman" w:hAnsi="Times New Roman" w:cs="Times New Roman"/>
          <w:sz w:val="24"/>
          <w:szCs w:val="24"/>
          <w:lang w:val="en-US"/>
        </w:rPr>
        <w:t xml:space="preserve"> As the success of a DPIA hinges on the accurate composition of the groups </w:t>
      </w:r>
      <w:r w:rsidRPr="000D7597">
        <w:rPr>
          <w:rFonts w:ascii="Times New Roman" w:hAnsi="Times New Roman" w:cs="Times New Roman"/>
          <w:sz w:val="24"/>
          <w:szCs w:val="24"/>
          <w:lang w:val="en-US"/>
        </w:rPr>
        <w:lastRenderedPageBreak/>
        <w:t>and involvement of their representatives, careful consideration for each separate DPIA is warranted.</w:t>
      </w:r>
      <w:r w:rsidRPr="000D7597">
        <w:rPr>
          <w:rStyle w:val="FootnoteReference"/>
          <w:szCs w:val="24"/>
        </w:rPr>
        <w:footnoteReference w:id="90"/>
      </w:r>
    </w:p>
    <w:p w14:paraId="73318496" w14:textId="00C609DF"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Finally, even if companies do engage in the process initially and include as many views as possible, for a DPIA to be truly successful it should be a circular process that is regularly repeated. This is even more important if self-learning algorithms are employed as their outcomes can show unexpected changes over time. This can include changes in the groups targeted, thus necessitating a constant updating of the composition of representatives. The costs necessary to continually assess the possible negative impacts of crowdsourced mapmaking software that has already been written and released might not, in the view of profit maximizing companies, be justified by the possible results.</w:t>
      </w:r>
    </w:p>
    <w:p w14:paraId="4DB851B2" w14:textId="77777777" w:rsidR="00F665E2" w:rsidRDefault="00F665E2" w:rsidP="00822E25">
      <w:pPr>
        <w:pStyle w:val="Heading1"/>
      </w:pPr>
      <w:r w:rsidRPr="008169D8">
        <w:t>Conclusion</w:t>
      </w:r>
    </w:p>
    <w:p w14:paraId="3323066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question asked at the beginning of the chapter was whether DPIAs could form a panacea or a Band-Aid when protecting group data protection rights in crowdsourced mapmaking initiatives. It laid out the strong performative power of maps and how crowdsourced data is used to make them. Then, it introduced how this practice interacts with the current personal data protection framework in the European Union, leaving undesirable gaps in the safeguarding of group rights. Finally, it introduced Data Protection Impact Assessments and discussed how they could help in alleviating these problems without overhauling the current legislative framework in the EU.</w:t>
      </w:r>
    </w:p>
    <w:p w14:paraId="61B8CCF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When taking stock of both the opportunities and limitations that DPIAs offer for group data protection rights in crowdsourced mapmaking initiatives it seems that they could easily be circumvented, their effect would be limited at best, that the proper representation of groups is nigh impossible, and that their long-term impact is uncertain in the face of self-learning algorithms. Still, companies interested in retaining consumer trust — and gaining a competitive advantage when dealing with responsible customers and partners — would be well-advised to make the investment. This goes doubly so for governmental bodies and institutions: DPIAs form an opportunity to use group rights to put the performative power of maps in the hands of those being mapped. Despite the many gaps and pitfalls, DPIAs for mapmaking initiatives that utilize crowdsourced georeferenced data should be performed, and they should include as many views as possible; Public space should belong to the public, not to companies writing mapping software.</w:t>
      </w:r>
    </w:p>
    <w:p w14:paraId="228AB838" w14:textId="48757133" w:rsidR="00F665E2"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It is up to the EU legisla</w:t>
      </w:r>
      <w:r>
        <w:rPr>
          <w:rFonts w:ascii="Times New Roman" w:hAnsi="Times New Roman" w:cs="Times New Roman"/>
          <w:sz w:val="24"/>
          <w:szCs w:val="24"/>
          <w:lang w:val="en-US"/>
        </w:rPr>
        <w:t>tor</w:t>
      </w:r>
      <w:r w:rsidRPr="000D7597">
        <w:rPr>
          <w:rFonts w:ascii="Times New Roman" w:hAnsi="Times New Roman" w:cs="Times New Roman"/>
          <w:sz w:val="24"/>
          <w:szCs w:val="24"/>
          <w:lang w:val="en-US"/>
        </w:rPr>
        <w:t xml:space="preserve"> — and in the meantime: the European Data Protection Board, formerly known as the Article 29 Working Party, whose importance ‘for the EU data protection cannot be overstated’</w:t>
      </w:r>
      <w:r w:rsidRPr="000D7597">
        <w:rPr>
          <w:rStyle w:val="FootnoteReference"/>
          <w:szCs w:val="24"/>
        </w:rPr>
        <w:footnoteReference w:id="91"/>
      </w:r>
      <w:r w:rsidRPr="000D7597">
        <w:rPr>
          <w:rFonts w:ascii="Times New Roman" w:hAnsi="Times New Roman" w:cs="Times New Roman"/>
          <w:sz w:val="24"/>
          <w:szCs w:val="24"/>
          <w:lang w:val="en-US"/>
        </w:rPr>
        <w:t xml:space="preserve"> — to ensure that group data protection rights can be properly incorporated within the European Data Protection framework. This is the only way </w:t>
      </w:r>
      <w:r w:rsidRPr="000D7597">
        <w:rPr>
          <w:rFonts w:ascii="Times New Roman" w:hAnsi="Times New Roman" w:cs="Times New Roman"/>
          <w:sz w:val="24"/>
          <w:szCs w:val="24"/>
          <w:lang w:val="en-US"/>
        </w:rPr>
        <w:lastRenderedPageBreak/>
        <w:t>to ensure that the uncomfortable Band-Aid proposed in this chapter becomes unnecessary and can be ripped off.</w:t>
      </w:r>
    </w:p>
    <w:p w14:paraId="3ECA0300" w14:textId="77777777" w:rsidR="00F665E2" w:rsidRDefault="00F665E2" w:rsidP="00822E25">
      <w:pPr>
        <w:pStyle w:val="Heading1"/>
      </w:pPr>
      <w:r w:rsidRPr="008169D8">
        <w:t>Acknowledgments</w:t>
      </w:r>
    </w:p>
    <w:p w14:paraId="66E1FBDA"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An early version of this paper was presented to my colleagues at the department of Transboundary Legal Studies in Groningen. I thank them for the frank comments, which helped to sharpen the argument. I thank Prof. Jeanne Mifsud Bonnici for her many comments on various early drafts. Thanks are due to Lauren Elrick for her careful language check. Finally, I would like to thank the participants of the Surveillance Studies Network 8</w:t>
      </w:r>
      <w:r w:rsidRPr="000D7597">
        <w:rPr>
          <w:rFonts w:ascii="Times New Roman" w:hAnsi="Times New Roman" w:cs="Times New Roman"/>
          <w:sz w:val="24"/>
          <w:szCs w:val="24"/>
          <w:vertAlign w:val="superscript"/>
          <w:lang w:val="en-US"/>
        </w:rPr>
        <w:t>th</w:t>
      </w:r>
      <w:r w:rsidRPr="000D7597">
        <w:rPr>
          <w:rFonts w:ascii="Times New Roman" w:hAnsi="Times New Roman" w:cs="Times New Roman"/>
          <w:sz w:val="24"/>
          <w:szCs w:val="24"/>
          <w:lang w:val="en-US"/>
        </w:rPr>
        <w:t xml:space="preserve"> Biennial Conference at Aarhus University, Denmark, who provided valuable feedback and inspiration.</w:t>
      </w:r>
    </w:p>
    <w:p w14:paraId="0687C6C5" w14:textId="77777777" w:rsidR="00F665E2" w:rsidRPr="000D7597" w:rsidRDefault="00F665E2" w:rsidP="00F665E2">
      <w:pPr>
        <w:rPr>
          <w:rFonts w:ascii="Times New Roman" w:eastAsiaTheme="majorEastAsia" w:hAnsi="Times New Roman" w:cs="Times New Roman"/>
          <w:color w:val="2F5496" w:themeColor="accent1" w:themeShade="BF"/>
          <w:sz w:val="24"/>
          <w:szCs w:val="24"/>
          <w:lang w:val="en-US"/>
        </w:rPr>
      </w:pPr>
      <w:r w:rsidRPr="000D7597">
        <w:rPr>
          <w:rFonts w:ascii="Times New Roman" w:hAnsi="Times New Roman" w:cs="Times New Roman"/>
          <w:sz w:val="24"/>
          <w:szCs w:val="24"/>
          <w:lang w:val="en-US"/>
        </w:rPr>
        <w:br w:type="page"/>
      </w:r>
    </w:p>
    <w:p w14:paraId="21E12E9D" w14:textId="77777777" w:rsidR="00F665E2" w:rsidRDefault="00F665E2" w:rsidP="00822E25">
      <w:pPr>
        <w:pStyle w:val="Heading1"/>
      </w:pPr>
      <w:bookmarkStart w:id="2" w:name="_GoBack"/>
      <w:r w:rsidRPr="008169D8">
        <w:lastRenderedPageBreak/>
        <w:t>Reference</w:t>
      </w:r>
      <w:r>
        <w:t>s</w:t>
      </w:r>
    </w:p>
    <w:bookmarkEnd w:id="2"/>
    <w:p w14:paraId="56C5F59B"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Amoore, Louise. ‘Data Derivatives: On the Emergence of a Security Risk Calculus for Our Times’, </w:t>
      </w:r>
      <w:r w:rsidRPr="000D7597">
        <w:rPr>
          <w:rFonts w:cs="Times New Roman"/>
          <w:i/>
          <w:iCs/>
          <w:szCs w:val="24"/>
          <w:lang w:val="en-US"/>
        </w:rPr>
        <w:t>Theory, Culture &amp; Society</w:t>
      </w:r>
      <w:r w:rsidRPr="000D7597">
        <w:rPr>
          <w:rFonts w:cs="Times New Roman"/>
          <w:szCs w:val="24"/>
          <w:lang w:val="en-US"/>
        </w:rPr>
        <w:t xml:space="preserve"> 28.6 (November 2011): 24–43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10.1177/0263276411417430.</w:t>
      </w:r>
    </w:p>
    <w:p w14:paraId="036C1A79"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Anderson, Benedict R. </w:t>
      </w:r>
      <w:r w:rsidRPr="000D7597">
        <w:rPr>
          <w:rFonts w:cs="Times New Roman"/>
          <w:i/>
          <w:iCs/>
          <w:szCs w:val="24"/>
          <w:lang w:val="en-US"/>
        </w:rPr>
        <w:t>Imagined Communities: Reflections on the Origin and Spread of Nationalism</w:t>
      </w:r>
      <w:r w:rsidRPr="000D7597">
        <w:rPr>
          <w:rFonts w:cs="Times New Roman"/>
          <w:szCs w:val="24"/>
          <w:lang w:val="en-US"/>
        </w:rPr>
        <w:t>, 2nd ed. London; New York: Verso, 2006.</w:t>
      </w:r>
    </w:p>
    <w:p w14:paraId="65403B4B"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Arnstein, Sherry R. ‘A Ladder of Citizen Participation’, </w:t>
      </w:r>
      <w:r w:rsidRPr="000D7597">
        <w:rPr>
          <w:rFonts w:cs="Times New Roman"/>
          <w:i/>
          <w:iCs/>
          <w:szCs w:val="24"/>
          <w:lang w:val="en-US"/>
        </w:rPr>
        <w:t>Journal of the American Institute of Planners</w:t>
      </w:r>
      <w:r w:rsidRPr="000D7597">
        <w:rPr>
          <w:rFonts w:cs="Times New Roman"/>
          <w:szCs w:val="24"/>
          <w:lang w:val="en-US"/>
        </w:rPr>
        <w:t xml:space="preserve"> 35.4 (July 1969): 216–24</w:t>
      </w:r>
      <w:r>
        <w:rPr>
          <w:rFonts w:cs="Times New Roman"/>
          <w:szCs w:val="24"/>
          <w:lang w:val="en-US"/>
        </w:rPr>
        <w:t>, DOI</w:t>
      </w:r>
      <w:r w:rsidRPr="000D7597">
        <w:rPr>
          <w:rFonts w:cs="Times New Roman"/>
          <w:szCs w:val="24"/>
          <w:lang w:val="en-US"/>
        </w:rPr>
        <w:t>: 10.1080/01944366908977225.</w:t>
      </w:r>
    </w:p>
    <w:p w14:paraId="6C2F93F2" w14:textId="77777777" w:rsidR="00F665E2" w:rsidRPr="000D7597" w:rsidRDefault="00F665E2" w:rsidP="00F665E2">
      <w:pPr>
        <w:pStyle w:val="Bibliography"/>
        <w:rPr>
          <w:rFonts w:cs="Times New Roman"/>
          <w:szCs w:val="24"/>
          <w:lang w:val="en-US"/>
        </w:rPr>
      </w:pPr>
      <w:r w:rsidRPr="000D7597">
        <w:rPr>
          <w:rFonts w:cs="Times New Roman"/>
          <w:szCs w:val="24"/>
          <w:lang w:val="en-US"/>
        </w:rPr>
        <w:t>Article 29 Data Protection Working Party. ‘Guidelines on Consent under Regulation 2016/679’, 29 November 2017</w:t>
      </w:r>
      <w:r>
        <w:rPr>
          <w:rFonts w:cs="Times New Roman"/>
          <w:szCs w:val="24"/>
          <w:lang w:val="en-US"/>
        </w:rPr>
        <w:t>,</w:t>
      </w:r>
      <w:r w:rsidRPr="000D7597">
        <w:rPr>
          <w:rFonts w:cs="Times New Roman"/>
          <w:szCs w:val="24"/>
          <w:lang w:val="en-US"/>
        </w:rPr>
        <w:t xml:space="preserve"> http://ec.europa.eu/newsroom/document.cfm?doc_id=48849.</w:t>
      </w:r>
    </w:p>
    <w:p w14:paraId="784B93BC" w14:textId="77777777" w:rsidR="00F665E2" w:rsidRPr="000D7597" w:rsidRDefault="00F665E2" w:rsidP="00F665E2">
      <w:pPr>
        <w:pStyle w:val="Bibliography"/>
        <w:rPr>
          <w:rFonts w:cs="Times New Roman"/>
          <w:szCs w:val="24"/>
          <w:lang w:val="en-US"/>
        </w:rPr>
      </w:pPr>
      <w:r w:rsidRPr="000D7597">
        <w:rPr>
          <w:rFonts w:cs="Times New Roman"/>
          <w:szCs w:val="24"/>
          <w:lang w:val="en-US"/>
        </w:rPr>
        <w:t>———. ‘Guidelines on Data Protection Impact Assessment (DPIA) and Determining Whether Processing Is “Likely to Result in a High Risk” for the Purposes of Regulation 2016/679 (WP 248 Rev.01)’, 4 October 2017. ec.europa.eu/newsroom/document.cfm?doc_id=47711.</w:t>
      </w:r>
    </w:p>
    <w:p w14:paraId="066F9800"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Botta, Federico, Helen Susannah Moat and Tobias Preis. ‘Quantifying Crowd Size with Mobile Phone and Twitter Data’, </w:t>
      </w:r>
      <w:r w:rsidRPr="000D7597">
        <w:rPr>
          <w:rFonts w:cs="Times New Roman"/>
          <w:i/>
          <w:iCs/>
          <w:szCs w:val="24"/>
          <w:lang w:val="en-US"/>
        </w:rPr>
        <w:t>Royal Society Open Science</w:t>
      </w:r>
      <w:r w:rsidRPr="000D7597">
        <w:rPr>
          <w:rFonts w:cs="Times New Roman"/>
          <w:szCs w:val="24"/>
          <w:lang w:val="en-US"/>
        </w:rPr>
        <w:t xml:space="preserve"> 2.5 (May 2015). </w:t>
      </w:r>
      <w:r>
        <w:rPr>
          <w:rFonts w:cs="Times New Roman"/>
          <w:szCs w:val="24"/>
          <w:lang w:val="en-US"/>
        </w:rPr>
        <w:t>DOI</w:t>
      </w:r>
      <w:r w:rsidRPr="000D7597">
        <w:rPr>
          <w:rFonts w:cs="Times New Roman"/>
          <w:szCs w:val="24"/>
          <w:lang w:val="en-US"/>
        </w:rPr>
        <w:t>: 10.1098/rsos.150162.</w:t>
      </w:r>
    </w:p>
    <w:p w14:paraId="0226DF7E"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Brannon, Monica M. ‘Datafied and Divided: Techno-Dimensions of Inequality in American Cities’, </w:t>
      </w:r>
      <w:r w:rsidRPr="000D7597">
        <w:rPr>
          <w:rFonts w:cs="Times New Roman"/>
          <w:i/>
          <w:iCs/>
          <w:szCs w:val="24"/>
          <w:lang w:val="en-US"/>
        </w:rPr>
        <w:t>City &amp; Community</w:t>
      </w:r>
      <w:r w:rsidRPr="000D7597">
        <w:rPr>
          <w:rFonts w:cs="Times New Roman"/>
          <w:szCs w:val="24"/>
          <w:lang w:val="en-US"/>
        </w:rPr>
        <w:t xml:space="preserve"> 16.1 (March 2017): 20–24. </w:t>
      </w:r>
      <w:r>
        <w:rPr>
          <w:rFonts w:cs="Times New Roman"/>
          <w:szCs w:val="24"/>
          <w:lang w:val="en-US"/>
        </w:rPr>
        <w:t>DOI</w:t>
      </w:r>
      <w:r w:rsidRPr="000D7597">
        <w:rPr>
          <w:rFonts w:cs="Times New Roman"/>
          <w:szCs w:val="24"/>
          <w:lang w:val="en-US"/>
        </w:rPr>
        <w:t>: 10.1111/cico.12220.</w:t>
      </w:r>
    </w:p>
    <w:p w14:paraId="28588DB0"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Cardullo, Paolo, and Rob Kitchin. ‘Being a “Citizen” in the Smart City: Up and down the Scaffold of Smart Citizen Participation in Dublin, Ireland’, </w:t>
      </w:r>
      <w:r w:rsidRPr="000D7597">
        <w:rPr>
          <w:rFonts w:cs="Times New Roman"/>
          <w:i/>
          <w:iCs/>
          <w:szCs w:val="24"/>
          <w:lang w:val="en-US"/>
        </w:rPr>
        <w:t>GeoJournal</w:t>
      </w:r>
      <w:r w:rsidRPr="000D7597">
        <w:rPr>
          <w:rFonts w:cs="Times New Roman"/>
          <w:szCs w:val="24"/>
          <w:lang w:val="en-US"/>
        </w:rPr>
        <w:t xml:space="preserve"> </w:t>
      </w:r>
      <w:r>
        <w:rPr>
          <w:rFonts w:cs="Times New Roman"/>
          <w:szCs w:val="24"/>
          <w:lang w:val="en-US"/>
        </w:rPr>
        <w:t>(</w:t>
      </w:r>
      <w:r w:rsidRPr="000D7597">
        <w:rPr>
          <w:rFonts w:cs="Times New Roman"/>
          <w:szCs w:val="24"/>
          <w:lang w:val="en-US"/>
        </w:rPr>
        <w:t>12 January 2018</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10.1007/s10708-018-9845-8.</w:t>
      </w:r>
    </w:p>
    <w:p w14:paraId="68405328" w14:textId="77777777" w:rsidR="00F665E2" w:rsidRPr="000D7597" w:rsidRDefault="00F665E2" w:rsidP="00F665E2">
      <w:pPr>
        <w:pStyle w:val="Bibliography"/>
        <w:rPr>
          <w:rFonts w:cs="Times New Roman"/>
          <w:szCs w:val="24"/>
          <w:lang w:val="en-US"/>
        </w:rPr>
      </w:pPr>
      <w:r w:rsidRPr="000D7597">
        <w:rPr>
          <w:rFonts w:cs="Times New Roman"/>
          <w:szCs w:val="24"/>
          <w:lang w:val="en-US"/>
        </w:rPr>
        <w:t>Casals, Neus Torbisco (ed</w:t>
      </w:r>
      <w:r>
        <w:rPr>
          <w:rFonts w:cs="Times New Roman"/>
          <w:szCs w:val="24"/>
          <w:lang w:val="en-US"/>
        </w:rPr>
        <w:t>.</w:t>
      </w:r>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Group Rights as Human Rights: A Liberal Approach to Multiculturalism</w:t>
      </w:r>
      <w:r>
        <w:rPr>
          <w:rFonts w:cs="Times New Roman"/>
          <w:szCs w:val="24"/>
          <w:lang w:val="en-US"/>
        </w:rPr>
        <w:t>,</w:t>
      </w:r>
      <w:r w:rsidRPr="000D7597">
        <w:rPr>
          <w:rFonts w:cs="Times New Roman"/>
          <w:szCs w:val="24"/>
          <w:lang w:val="en-US"/>
        </w:rPr>
        <w:t xml:space="preserve"> Law and Philosophy Library #75. Dordrecht: Springer, 2006. </w:t>
      </w:r>
    </w:p>
    <w:p w14:paraId="06C31B8C"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Clarke, Roger. ‘Privacy Impact Assessment: Its Origins and Development’, </w:t>
      </w:r>
      <w:r w:rsidRPr="000D7597">
        <w:rPr>
          <w:rFonts w:cs="Times New Roman"/>
          <w:i/>
          <w:iCs/>
          <w:szCs w:val="24"/>
          <w:lang w:val="en-US"/>
        </w:rPr>
        <w:t>Computer Law &amp; Security Review</w:t>
      </w:r>
      <w:r w:rsidRPr="000D7597">
        <w:rPr>
          <w:rFonts w:cs="Times New Roman"/>
          <w:szCs w:val="24"/>
          <w:lang w:val="en-US"/>
        </w:rPr>
        <w:t xml:space="preserve"> 25.2 (January 2009): 123–35</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10.1016/j.clsr.2009.02.002.</w:t>
      </w:r>
    </w:p>
    <w:p w14:paraId="06048090" w14:textId="77777777" w:rsidR="00F665E2" w:rsidRPr="000D7597" w:rsidRDefault="00F665E2" w:rsidP="00F665E2">
      <w:pPr>
        <w:pStyle w:val="Bibliography"/>
        <w:rPr>
          <w:rFonts w:cs="Times New Roman"/>
          <w:szCs w:val="24"/>
          <w:lang w:val="en-US"/>
        </w:rPr>
      </w:pPr>
      <w:r w:rsidRPr="000D7597">
        <w:rPr>
          <w:rFonts w:cs="Times New Roman"/>
          <w:szCs w:val="24"/>
          <w:lang w:val="fr-FR"/>
        </w:rPr>
        <w:t xml:space="preserve">Commission Nationale de l’Informatique et des Libertés. </w:t>
      </w:r>
      <w:r w:rsidRPr="000D7597">
        <w:rPr>
          <w:rFonts w:cs="Times New Roman"/>
          <w:szCs w:val="24"/>
          <w:lang w:val="en-US"/>
        </w:rPr>
        <w:t>‘Privacy Impact Assessment (PIA) Templates’, 2018</w:t>
      </w:r>
      <w:r>
        <w:rPr>
          <w:rFonts w:cs="Times New Roman"/>
          <w:szCs w:val="24"/>
          <w:lang w:val="en-US"/>
        </w:rPr>
        <w:t>,</w:t>
      </w:r>
      <w:r w:rsidRPr="000D7597">
        <w:rPr>
          <w:rFonts w:cs="Times New Roman"/>
          <w:szCs w:val="24"/>
          <w:lang w:val="en-US"/>
        </w:rPr>
        <w:t xml:space="preserve"> https://www.cnil.fr/sites/default/files/atoms/files/cnil-pia-2-en-templates.pdf.</w:t>
      </w:r>
    </w:p>
    <w:p w14:paraId="75C4B85A" w14:textId="77777777" w:rsidR="00F665E2" w:rsidRPr="000D7597" w:rsidRDefault="00F665E2" w:rsidP="00F665E2">
      <w:pPr>
        <w:pStyle w:val="Bibliography"/>
        <w:rPr>
          <w:rFonts w:cs="Times New Roman"/>
          <w:szCs w:val="24"/>
          <w:lang w:val="en-US"/>
        </w:rPr>
      </w:pPr>
      <w:r w:rsidRPr="000D7597">
        <w:rPr>
          <w:rFonts w:cs="Times New Roman"/>
          <w:szCs w:val="24"/>
          <w:lang w:val="en-US"/>
        </w:rPr>
        <w:t>———. ‘The Open Source PIA Software Helps to Carry out Data Protection Impact Assessment’, CNIL, 31 May 2018</w:t>
      </w:r>
      <w:r>
        <w:rPr>
          <w:rFonts w:cs="Times New Roman"/>
          <w:szCs w:val="24"/>
          <w:lang w:val="en-US"/>
        </w:rPr>
        <w:t>,</w:t>
      </w:r>
      <w:r w:rsidRPr="000D7597">
        <w:rPr>
          <w:rFonts w:cs="Times New Roman"/>
          <w:szCs w:val="24"/>
          <w:lang w:val="en-US"/>
        </w:rPr>
        <w:t xml:space="preserve"> https://www.cnil.fr/en/open-source-pia-software-helps-carry-out-data-protection-impact-assesment.</w:t>
      </w:r>
    </w:p>
    <w:p w14:paraId="16E13CB3" w14:textId="77777777" w:rsidR="00F665E2" w:rsidRPr="000D7597" w:rsidRDefault="00F665E2" w:rsidP="00F665E2">
      <w:pPr>
        <w:pStyle w:val="Bibliography"/>
        <w:rPr>
          <w:rFonts w:cs="Times New Roman"/>
          <w:szCs w:val="24"/>
          <w:lang w:val="en-US"/>
        </w:rPr>
      </w:pPr>
      <w:r w:rsidRPr="000D7597">
        <w:rPr>
          <w:rFonts w:cs="Times New Roman"/>
          <w:szCs w:val="24"/>
          <w:lang w:val="en-US"/>
        </w:rPr>
        <w:t>‘Connected Citizen’s Programme’, Waze. https://www.waze.com/ccp.</w:t>
      </w:r>
    </w:p>
    <w:p w14:paraId="59E256FF"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Crampton, Jeremy W. ‘Bordering on Bosnia’, </w:t>
      </w:r>
      <w:r w:rsidRPr="000D7597">
        <w:rPr>
          <w:rFonts w:cs="Times New Roman"/>
          <w:i/>
          <w:iCs/>
          <w:szCs w:val="24"/>
          <w:lang w:val="en-US"/>
        </w:rPr>
        <w:t>GeoJournal</w:t>
      </w:r>
      <w:r w:rsidRPr="000D7597">
        <w:rPr>
          <w:rFonts w:cs="Times New Roman"/>
          <w:szCs w:val="24"/>
          <w:lang w:val="en-US"/>
        </w:rPr>
        <w:t xml:space="preserve"> 39.4 (1996): 353–61.</w:t>
      </w:r>
    </w:p>
    <w:p w14:paraId="5B3068C6"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 ‘Maps as Social Constructions: Power, Communication, and Visualization’, </w:t>
      </w:r>
      <w:r w:rsidRPr="000D7597">
        <w:rPr>
          <w:rFonts w:cs="Times New Roman"/>
          <w:i/>
          <w:iCs/>
          <w:szCs w:val="24"/>
          <w:lang w:val="en-US"/>
        </w:rPr>
        <w:t>Progress in Human Geography</w:t>
      </w:r>
      <w:r w:rsidRPr="000D7597">
        <w:rPr>
          <w:rFonts w:cs="Times New Roman"/>
          <w:szCs w:val="24"/>
          <w:lang w:val="en-US"/>
        </w:rPr>
        <w:t xml:space="preserve"> 25.2 (2001): 235–52.</w:t>
      </w:r>
    </w:p>
    <w:p w14:paraId="6B306299" w14:textId="77777777" w:rsidR="00F665E2" w:rsidRPr="000D7597" w:rsidRDefault="00F665E2" w:rsidP="00F665E2">
      <w:pPr>
        <w:pStyle w:val="Bibliography"/>
        <w:rPr>
          <w:rFonts w:cs="Times New Roman"/>
          <w:szCs w:val="24"/>
          <w:lang w:val="en-US"/>
        </w:rPr>
      </w:pPr>
      <w:r w:rsidRPr="000D7597">
        <w:rPr>
          <w:rFonts w:cs="Times New Roman"/>
          <w:szCs w:val="24"/>
        </w:rPr>
        <w:t xml:space="preserve">De Lange, Michiel, and Martijn De Waal. </w:t>
      </w:r>
      <w:r w:rsidRPr="000D7597">
        <w:rPr>
          <w:rFonts w:cs="Times New Roman"/>
          <w:szCs w:val="24"/>
          <w:lang w:val="en-US"/>
        </w:rPr>
        <w:t xml:space="preserve">‘Owning the City: New Media and Citizen Engagement in Urban Design’, </w:t>
      </w:r>
      <w:r w:rsidRPr="000D7597">
        <w:rPr>
          <w:rFonts w:cs="Times New Roman"/>
          <w:i/>
          <w:iCs/>
          <w:szCs w:val="24"/>
          <w:lang w:val="en-US"/>
        </w:rPr>
        <w:t>First Monday</w:t>
      </w:r>
      <w:r w:rsidRPr="000D7597">
        <w:rPr>
          <w:rFonts w:cs="Times New Roman"/>
          <w:szCs w:val="24"/>
          <w:lang w:val="en-US"/>
        </w:rPr>
        <w:t xml:space="preserve"> 18.11 (27 November 2013)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10.5210/</w:t>
      </w:r>
      <w:proofErr w:type="gramStart"/>
      <w:r w:rsidRPr="000D7597">
        <w:rPr>
          <w:rFonts w:cs="Times New Roman"/>
          <w:szCs w:val="24"/>
          <w:lang w:val="en-US"/>
        </w:rPr>
        <w:t>fm.v</w:t>
      </w:r>
      <w:proofErr w:type="gramEnd"/>
      <w:r w:rsidRPr="000D7597">
        <w:rPr>
          <w:rFonts w:cs="Times New Roman"/>
          <w:szCs w:val="24"/>
          <w:lang w:val="en-US"/>
        </w:rPr>
        <w:t>18i11.4954.</w:t>
      </w:r>
    </w:p>
    <w:p w14:paraId="3A436C49"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Edwards, Lilian. ‘Privacy, Security and Data Protection in Smart Cities: A Critical EU Law Perspective’, </w:t>
      </w:r>
      <w:r w:rsidRPr="000D7597">
        <w:rPr>
          <w:rFonts w:cs="Times New Roman"/>
          <w:i/>
          <w:iCs/>
          <w:szCs w:val="24"/>
          <w:lang w:val="en-US"/>
        </w:rPr>
        <w:t>European Data Protection Law Review</w:t>
      </w:r>
      <w:r w:rsidRPr="000D7597">
        <w:rPr>
          <w:rFonts w:cs="Times New Roman"/>
          <w:szCs w:val="24"/>
          <w:lang w:val="en-US"/>
        </w:rPr>
        <w:t xml:space="preserve"> 2.1 (2016): 28–58</w:t>
      </w:r>
      <w:r>
        <w:rPr>
          <w:rFonts w:cs="Times New Roman"/>
          <w:szCs w:val="24"/>
          <w:lang w:val="en-US"/>
        </w:rPr>
        <w:t>, DOI</w:t>
      </w:r>
      <w:r w:rsidRPr="000D7597">
        <w:rPr>
          <w:rFonts w:cs="Times New Roman"/>
          <w:szCs w:val="24"/>
          <w:lang w:val="en-US"/>
        </w:rPr>
        <w:t>: 10.21552/EDPL/2016/1/6.</w:t>
      </w:r>
    </w:p>
    <w:p w14:paraId="479E0B27"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Edwards, Lilian, and Michael Veale. ‘Enslaving the Algorithm: From a “Right to an Explanation” to a “Right to Better Decisions”?’, </w:t>
      </w:r>
      <w:r w:rsidRPr="000D7597">
        <w:rPr>
          <w:rFonts w:cs="Times New Roman"/>
          <w:i/>
          <w:iCs/>
          <w:szCs w:val="24"/>
          <w:lang w:val="en-US"/>
        </w:rPr>
        <w:t>IEEE Security &amp; Privacy</w:t>
      </w:r>
      <w:r w:rsidRPr="000D7597">
        <w:rPr>
          <w:rFonts w:cs="Times New Roman"/>
          <w:szCs w:val="24"/>
          <w:lang w:val="en-US"/>
        </w:rPr>
        <w:t xml:space="preserve"> 16.3 (May 2018): 46–54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10.1109/MSP.2018.2701152.</w:t>
      </w:r>
    </w:p>
    <w:p w14:paraId="151EC0D2" w14:textId="77777777" w:rsidR="00F665E2" w:rsidRPr="000D7597" w:rsidRDefault="00F665E2" w:rsidP="00F665E2">
      <w:pPr>
        <w:pStyle w:val="Bibliography"/>
        <w:rPr>
          <w:rFonts w:cs="Times New Roman"/>
          <w:szCs w:val="24"/>
          <w:lang w:val="en-US"/>
        </w:rPr>
      </w:pPr>
      <w:r w:rsidRPr="000D7597">
        <w:rPr>
          <w:rFonts w:cs="Times New Roman"/>
          <w:szCs w:val="24"/>
          <w:lang w:val="en-US"/>
        </w:rPr>
        <w:t>‘Eindhoven Living Lab’, European Network of Living Labs. http://www.openlivinglabs.eu/livinglab/eindhoven-living-lab.</w:t>
      </w:r>
    </w:p>
    <w:p w14:paraId="57D7F01C" w14:textId="77777777" w:rsidR="00F665E2" w:rsidRPr="000D7597" w:rsidRDefault="00F665E2" w:rsidP="00F665E2">
      <w:pPr>
        <w:pStyle w:val="Bibliography"/>
        <w:rPr>
          <w:rFonts w:cs="Times New Roman"/>
          <w:szCs w:val="24"/>
          <w:lang w:val="en-US"/>
        </w:rPr>
      </w:pPr>
      <w:r w:rsidRPr="000D7597">
        <w:rPr>
          <w:rFonts w:cs="Times New Roman"/>
          <w:szCs w:val="24"/>
          <w:lang w:val="en-US"/>
        </w:rPr>
        <w:lastRenderedPageBreak/>
        <w:t>Elliot, Delbert S. ‘Lies, Damn Lies and Arrest Statistics’. Center for the Study and Prevention of Violence, 1995.</w:t>
      </w:r>
    </w:p>
    <w:p w14:paraId="12234861" w14:textId="77777777" w:rsidR="00F665E2" w:rsidRPr="000D7597" w:rsidRDefault="00F665E2" w:rsidP="00F665E2">
      <w:pPr>
        <w:pStyle w:val="Bibliography"/>
        <w:rPr>
          <w:rFonts w:cs="Times New Roman"/>
          <w:szCs w:val="24"/>
          <w:lang w:val="en-US"/>
        </w:rPr>
      </w:pPr>
      <w:r w:rsidRPr="000D7597">
        <w:rPr>
          <w:rFonts w:cs="Times New Roman"/>
          <w:szCs w:val="24"/>
          <w:lang w:val="en-US"/>
        </w:rPr>
        <w:t>European Commission. ‘Joint Statement on the Final Adoption of the New EU Rules for Personal Data Protection’, 14 April 2016</w:t>
      </w:r>
      <w:r>
        <w:rPr>
          <w:rFonts w:cs="Times New Roman"/>
          <w:szCs w:val="24"/>
          <w:lang w:val="en-US"/>
        </w:rPr>
        <w:t>,</w:t>
      </w:r>
      <w:r w:rsidRPr="000D7597">
        <w:rPr>
          <w:rFonts w:cs="Times New Roman"/>
          <w:szCs w:val="24"/>
          <w:lang w:val="en-US"/>
        </w:rPr>
        <w:t xml:space="preserve"> http://europa.eu/rapid/press-release_STATEMENT-16-1403_en.htm.</w:t>
      </w:r>
    </w:p>
    <w:p w14:paraId="6E9C5B6C"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Gekker, Alex, and Sam Hind. ‘“Outsmarting Traffic, </w:t>
      </w:r>
      <w:proofErr w:type="gramStart"/>
      <w:r w:rsidRPr="000D7597">
        <w:rPr>
          <w:rFonts w:cs="Times New Roman"/>
          <w:szCs w:val="24"/>
          <w:lang w:val="en-US"/>
        </w:rPr>
        <w:t>Together</w:t>
      </w:r>
      <w:proofErr w:type="gramEnd"/>
      <w:r w:rsidRPr="000D7597">
        <w:rPr>
          <w:rFonts w:cs="Times New Roman"/>
          <w:szCs w:val="24"/>
          <w:lang w:val="en-US"/>
        </w:rPr>
        <w:t xml:space="preserve">”: Driving as Social Navigation’, </w:t>
      </w:r>
      <w:r>
        <w:rPr>
          <w:rFonts w:cs="Times New Roman"/>
          <w:szCs w:val="24"/>
          <w:lang w:val="en-US"/>
        </w:rPr>
        <w:t>i</w:t>
      </w:r>
      <w:r w:rsidRPr="000D7597">
        <w:rPr>
          <w:rFonts w:cs="Times New Roman"/>
          <w:szCs w:val="24"/>
          <w:lang w:val="en-US"/>
        </w:rPr>
        <w:t>n Clancy Wilmott, Chris Perkins, Sybille Lammes, Sam Hind, Alex Gekker, Emma Fraser, and Daniel Evans</w:t>
      </w:r>
      <w:r w:rsidRPr="000D7597">
        <w:rPr>
          <w:rFonts w:cs="Times New Roman"/>
          <w:i/>
          <w:iCs/>
          <w:szCs w:val="24"/>
          <w:lang w:val="en-US"/>
        </w:rPr>
        <w:t xml:space="preserve"> </w:t>
      </w:r>
      <w:r w:rsidRPr="000D7597">
        <w:rPr>
          <w:rFonts w:cs="Times New Roman"/>
          <w:iCs/>
          <w:szCs w:val="24"/>
          <w:lang w:val="en-US"/>
        </w:rPr>
        <w:t xml:space="preserve">(eds.) </w:t>
      </w:r>
      <w:r w:rsidRPr="000D7597">
        <w:rPr>
          <w:rFonts w:cs="Times New Roman"/>
          <w:i/>
          <w:iCs/>
          <w:szCs w:val="24"/>
          <w:lang w:val="en-US"/>
        </w:rPr>
        <w:t>Playful Mapping in the Digital Age</w:t>
      </w:r>
      <w:r w:rsidRPr="000D7597">
        <w:rPr>
          <w:rFonts w:cs="Times New Roman"/>
          <w:szCs w:val="24"/>
          <w:lang w:val="en-US"/>
        </w:rPr>
        <w:t>, Theory on Demand #21. Amsterdam: Institute of Network Cultures, 2016, pp. 78–92.</w:t>
      </w:r>
    </w:p>
    <w:p w14:paraId="7F6C222F"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Gellert, Raphaël. ‘The Article 29 Working Party’s Provisional Guidelines on Data Protection Impact Assessment’, </w:t>
      </w:r>
      <w:r w:rsidRPr="000D7597">
        <w:rPr>
          <w:rFonts w:cs="Times New Roman"/>
          <w:i/>
          <w:iCs/>
          <w:szCs w:val="24"/>
          <w:lang w:val="en-US"/>
        </w:rPr>
        <w:t>European Data Protection Law Review</w:t>
      </w:r>
      <w:r w:rsidRPr="000D7597">
        <w:rPr>
          <w:rFonts w:cs="Times New Roman"/>
          <w:szCs w:val="24"/>
          <w:lang w:val="en-US"/>
        </w:rPr>
        <w:t xml:space="preserve"> 3.2 (2017): 212–17</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10.21552/edpl/2017/2/11.</w:t>
      </w:r>
    </w:p>
    <w:p w14:paraId="72687143"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Goodman, Bryce. ‘Discrimination, Data Sanitisation and Auditing in the European Union’s General Data Protection Regulation’, </w:t>
      </w:r>
      <w:r w:rsidRPr="000D7597">
        <w:rPr>
          <w:rFonts w:cs="Times New Roman"/>
          <w:i/>
          <w:iCs/>
          <w:szCs w:val="24"/>
          <w:lang w:val="en-US"/>
        </w:rPr>
        <w:t>European Data Protection Law Review</w:t>
      </w:r>
      <w:r w:rsidRPr="000D7597">
        <w:rPr>
          <w:rFonts w:cs="Times New Roman"/>
          <w:szCs w:val="24"/>
          <w:lang w:val="en-US"/>
        </w:rPr>
        <w:t xml:space="preserve"> 2.4 (2016): 493–506</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10.21552/EDPL/2016/4/8.</w:t>
      </w:r>
    </w:p>
    <w:p w14:paraId="2BCE11D9" w14:textId="77777777" w:rsidR="00F665E2" w:rsidRPr="000D7597" w:rsidRDefault="00F665E2" w:rsidP="00F665E2">
      <w:pPr>
        <w:pStyle w:val="Bibliography"/>
        <w:rPr>
          <w:rFonts w:cs="Times New Roman"/>
          <w:szCs w:val="24"/>
          <w:lang w:val="en-US"/>
        </w:rPr>
      </w:pPr>
      <w:r w:rsidRPr="000D7597">
        <w:rPr>
          <w:rFonts w:cs="Times New Roman"/>
          <w:szCs w:val="24"/>
          <w:lang w:val="en-US"/>
        </w:rPr>
        <w:t>Götzmann, Nora, Tulika Bansal, Elin Wrzoncki, Cathrine Poulsen-Hansen, Jacqueline Tedaldi, and Roya Høvsgaard. ‘Human Rights Impact Assessment Guidance and Toolbox (Road-Testing Version)’. The Danish Institute for Human Rights, 2016. https://www.humanrights.dk/sites/humanrights.dk/files/media/dokumenter/business/hria_toolbox/hria_guidance_and_toolbox_final_may22016.pdf_223795_1_1.pdf.</w:t>
      </w:r>
    </w:p>
    <w:p w14:paraId="1B8F8B13" w14:textId="77777777" w:rsidR="00F665E2" w:rsidRPr="000D7597" w:rsidRDefault="00F665E2" w:rsidP="00F665E2">
      <w:pPr>
        <w:pStyle w:val="Bibliography"/>
        <w:rPr>
          <w:rFonts w:cs="Times New Roman"/>
          <w:szCs w:val="24"/>
        </w:rPr>
      </w:pPr>
      <w:r w:rsidRPr="000D7597">
        <w:rPr>
          <w:rFonts w:cs="Times New Roman"/>
          <w:szCs w:val="24"/>
        </w:rPr>
        <w:t xml:space="preserve">Graaf, Peter de. ‘Een Biertje Met Big Brother Erbij’, </w:t>
      </w:r>
      <w:r w:rsidRPr="000D7597">
        <w:rPr>
          <w:rFonts w:cs="Times New Roman"/>
          <w:i/>
          <w:iCs/>
          <w:szCs w:val="24"/>
        </w:rPr>
        <w:t>De Volkskrant</w:t>
      </w:r>
      <w:r w:rsidRPr="000D7597">
        <w:rPr>
          <w:rFonts w:cs="Times New Roman"/>
          <w:szCs w:val="24"/>
        </w:rPr>
        <w:t>, 23 November 2015.</w:t>
      </w:r>
    </w:p>
    <w:p w14:paraId="6CD71830"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Greenfield, Adam, and Mark Shepard. </w:t>
      </w:r>
      <w:r w:rsidRPr="000D7597">
        <w:rPr>
          <w:rFonts w:cs="Times New Roman"/>
          <w:i/>
          <w:iCs/>
          <w:szCs w:val="24"/>
          <w:lang w:val="en-US"/>
        </w:rPr>
        <w:t>Urban Computing and Its Discontents</w:t>
      </w:r>
      <w:r>
        <w:rPr>
          <w:rFonts w:cs="Times New Roman"/>
          <w:szCs w:val="24"/>
          <w:lang w:val="en-US"/>
        </w:rPr>
        <w:t>,</w:t>
      </w:r>
      <w:r w:rsidRPr="000D7597">
        <w:rPr>
          <w:rFonts w:cs="Times New Roman"/>
          <w:szCs w:val="24"/>
          <w:lang w:val="en-US"/>
        </w:rPr>
        <w:t xml:space="preserve"> Architecture and Situated Technologies Pamphlets #1. New York, NY: The Architectural League of New York, 2007.</w:t>
      </w:r>
    </w:p>
    <w:p w14:paraId="12C7E3CC" w14:textId="77777777" w:rsidR="00F665E2" w:rsidRPr="000D7597" w:rsidRDefault="00F665E2" w:rsidP="00F665E2">
      <w:pPr>
        <w:pStyle w:val="Bibliography"/>
        <w:rPr>
          <w:rFonts w:cs="Times New Roman"/>
          <w:szCs w:val="24"/>
          <w:lang w:val="en-US"/>
        </w:rPr>
      </w:pPr>
      <w:r w:rsidRPr="000D7597">
        <w:rPr>
          <w:rFonts w:cs="Times New Roman"/>
          <w:szCs w:val="24"/>
        </w:rPr>
        <w:t xml:space="preserve">Gstrein, Oskar Josef, and Gerard Jan Ritsema van Eck. </w:t>
      </w:r>
      <w:r w:rsidRPr="000D7597">
        <w:rPr>
          <w:rFonts w:cs="Times New Roman"/>
          <w:szCs w:val="24"/>
          <w:lang w:val="en-US"/>
        </w:rPr>
        <w:t xml:space="preserve">‘Mobile Devices as Stigmatizing Security Sensors: The GDPR and a Future of Crowdsourced “Broken Windows”’, </w:t>
      </w:r>
      <w:r w:rsidRPr="000D7597">
        <w:rPr>
          <w:rFonts w:cs="Times New Roman"/>
          <w:i/>
          <w:iCs/>
          <w:szCs w:val="24"/>
          <w:lang w:val="en-US"/>
        </w:rPr>
        <w:t>International Data Privacy Law</w:t>
      </w:r>
      <w:r w:rsidRPr="000D7597">
        <w:rPr>
          <w:rFonts w:cs="Times New Roman"/>
          <w:szCs w:val="24"/>
          <w:lang w:val="en-US"/>
        </w:rPr>
        <w:t xml:space="preserve"> 8.1 (2018): 69–85</w:t>
      </w:r>
      <w:r>
        <w:rPr>
          <w:rFonts w:cs="Times New Roman"/>
          <w:szCs w:val="24"/>
          <w:lang w:val="en-US"/>
        </w:rPr>
        <w:t>, DOI</w:t>
      </w:r>
      <w:r w:rsidRPr="000D7597">
        <w:rPr>
          <w:rFonts w:cs="Times New Roman"/>
          <w:szCs w:val="24"/>
          <w:lang w:val="en-US"/>
        </w:rPr>
        <w:t>: 10.1093/idpl/ipx024.</w:t>
      </w:r>
    </w:p>
    <w:p w14:paraId="197AD46A"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Harding, Alan, and Talja Blokland-Potters. </w:t>
      </w:r>
      <w:r w:rsidRPr="000D7597">
        <w:rPr>
          <w:rFonts w:cs="Times New Roman"/>
          <w:i/>
          <w:iCs/>
          <w:szCs w:val="24"/>
          <w:lang w:val="en-US"/>
        </w:rPr>
        <w:t>Urban Theory: A Critical Introduction to Power, Cities and Urbanism in the 21st Century</w:t>
      </w:r>
      <w:r>
        <w:rPr>
          <w:rFonts w:cs="Times New Roman"/>
          <w:szCs w:val="24"/>
          <w:lang w:val="en-US"/>
        </w:rPr>
        <w:t>,</w:t>
      </w:r>
      <w:r w:rsidRPr="000D7597">
        <w:rPr>
          <w:rFonts w:cs="Times New Roman"/>
          <w:szCs w:val="24"/>
          <w:lang w:val="en-US"/>
        </w:rPr>
        <w:t xml:space="preserve"> Los Angeles: S</w:t>
      </w:r>
      <w:r>
        <w:rPr>
          <w:rFonts w:cs="Times New Roman"/>
          <w:szCs w:val="24"/>
          <w:lang w:val="en-US"/>
        </w:rPr>
        <w:t>AGE</w:t>
      </w:r>
      <w:r w:rsidRPr="000D7597">
        <w:rPr>
          <w:rFonts w:cs="Times New Roman"/>
          <w:szCs w:val="24"/>
          <w:lang w:val="en-US"/>
        </w:rPr>
        <w:t>, 2014.</w:t>
      </w:r>
    </w:p>
    <w:p w14:paraId="1833AF0B"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Hern, Alex. ‘Fitness Tracking App Strava Gives Away Location of Secret US Army Bases’, </w:t>
      </w:r>
      <w:r w:rsidRPr="000D7597">
        <w:rPr>
          <w:rFonts w:cs="Times New Roman"/>
          <w:i/>
          <w:iCs/>
          <w:szCs w:val="24"/>
          <w:lang w:val="en-US"/>
        </w:rPr>
        <w:t>The Guardian</w:t>
      </w:r>
      <w:r w:rsidRPr="000D7597">
        <w:rPr>
          <w:rFonts w:cs="Times New Roman"/>
          <w:szCs w:val="24"/>
          <w:lang w:val="en-US"/>
        </w:rPr>
        <w:t>, 28 January 2018. https://www.theguardian.com/world/2018/jan/28/fitness-tracking-app-gives-away-location-of-secret-us-army-bases.</w:t>
      </w:r>
    </w:p>
    <w:p w14:paraId="11CEE5E2" w14:textId="77777777" w:rsidR="00F665E2" w:rsidRPr="000D7597" w:rsidRDefault="00F665E2" w:rsidP="00F665E2">
      <w:pPr>
        <w:pStyle w:val="Bibliography"/>
        <w:rPr>
          <w:rFonts w:cs="Times New Roman"/>
          <w:szCs w:val="24"/>
          <w:lang w:val="en-US"/>
        </w:rPr>
      </w:pPr>
      <w:r w:rsidRPr="00A625FE">
        <w:rPr>
          <w:rFonts w:cs="Times New Roman"/>
          <w:szCs w:val="24"/>
          <w:lang w:val="fr-FR"/>
        </w:rPr>
        <w:t xml:space="preserve">Hert, Paul de, and Vagelis Papakonstantinou. </w:t>
      </w:r>
      <w:r w:rsidRPr="000D7597">
        <w:rPr>
          <w:rFonts w:cs="Times New Roman"/>
          <w:szCs w:val="24"/>
          <w:lang w:val="en-US"/>
        </w:rPr>
        <w:t xml:space="preserve">‘The New General Data Protection Regulation: Still a Sound System for the Protection of Individuals?’, </w:t>
      </w:r>
      <w:r w:rsidRPr="000D7597">
        <w:rPr>
          <w:rFonts w:cs="Times New Roman"/>
          <w:i/>
          <w:iCs/>
          <w:szCs w:val="24"/>
          <w:lang w:val="en-US"/>
        </w:rPr>
        <w:t>Computer Law &amp; Security Review</w:t>
      </w:r>
      <w:r w:rsidRPr="000D7597">
        <w:rPr>
          <w:rFonts w:cs="Times New Roman"/>
          <w:szCs w:val="24"/>
          <w:lang w:val="en-US"/>
        </w:rPr>
        <w:t xml:space="preserve"> 32.2 (April 2016): 179–94</w:t>
      </w:r>
      <w:r>
        <w:rPr>
          <w:rFonts w:cs="Times New Roman"/>
          <w:szCs w:val="24"/>
          <w:lang w:val="en-US"/>
        </w:rPr>
        <w:t>,</w:t>
      </w:r>
      <w:r w:rsidRPr="000D7597">
        <w:rPr>
          <w:rFonts w:cs="Times New Roman"/>
          <w:szCs w:val="24"/>
          <w:lang w:val="en-US"/>
        </w:rPr>
        <w:t xml:space="preserve"> D</w:t>
      </w:r>
      <w:r>
        <w:rPr>
          <w:rFonts w:cs="Times New Roman"/>
          <w:szCs w:val="24"/>
          <w:lang w:val="en-US"/>
        </w:rPr>
        <w:t xml:space="preserve">OI: </w:t>
      </w:r>
      <w:r w:rsidRPr="000D7597">
        <w:rPr>
          <w:rFonts w:cs="Times New Roman"/>
          <w:szCs w:val="24"/>
          <w:lang w:val="en-US"/>
        </w:rPr>
        <w:t>10.1016/j.clsr.2016.02.006.</w:t>
      </w:r>
    </w:p>
    <w:p w14:paraId="4955BB02" w14:textId="77777777" w:rsidR="00F665E2" w:rsidRPr="000D7597" w:rsidRDefault="00F665E2" w:rsidP="00F665E2">
      <w:pPr>
        <w:pStyle w:val="Bibliography"/>
        <w:rPr>
          <w:rFonts w:cs="Times New Roman"/>
          <w:szCs w:val="24"/>
          <w:lang w:val="en-US"/>
        </w:rPr>
      </w:pPr>
      <w:r w:rsidRPr="000D7597">
        <w:rPr>
          <w:rFonts w:cs="Times New Roman"/>
          <w:szCs w:val="24"/>
          <w:lang w:val="en-US"/>
        </w:rPr>
        <w:t>Information Commissioner’s office. ‘Sample DPIA Template’, 2018</w:t>
      </w:r>
      <w:r>
        <w:rPr>
          <w:rFonts w:cs="Times New Roman"/>
          <w:szCs w:val="24"/>
          <w:lang w:val="en-US"/>
        </w:rPr>
        <w:t>,</w:t>
      </w:r>
      <w:r w:rsidRPr="000D7597">
        <w:rPr>
          <w:rFonts w:cs="Times New Roman"/>
          <w:szCs w:val="24"/>
          <w:lang w:val="en-US"/>
        </w:rPr>
        <w:t xml:space="preserve"> https://ico.org.uk/media/for-organisations/documents/2258857/dpia-template-v1.docx.</w:t>
      </w:r>
    </w:p>
    <w:p w14:paraId="78F4267F"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Joh, Elizabeth E. ‘Policing by Numbers: Big Data and the Fourth Amendment’, </w:t>
      </w:r>
      <w:r w:rsidRPr="000D7597">
        <w:rPr>
          <w:rFonts w:cs="Times New Roman"/>
          <w:i/>
          <w:iCs/>
          <w:szCs w:val="24"/>
          <w:lang w:val="en-US"/>
        </w:rPr>
        <w:t>Washington Law Review</w:t>
      </w:r>
      <w:r w:rsidRPr="000D7597">
        <w:rPr>
          <w:rFonts w:cs="Times New Roman"/>
          <w:szCs w:val="24"/>
          <w:lang w:val="en-US"/>
        </w:rPr>
        <w:t xml:space="preserve"> 89.1 (2014): 35–68.</w:t>
      </w:r>
    </w:p>
    <w:p w14:paraId="4975D01F"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 ‘The New Surveillance Discretion: Automated Suspicion, Big Data, and Policing’, </w:t>
      </w:r>
      <w:r w:rsidRPr="000D7597">
        <w:rPr>
          <w:rFonts w:cs="Times New Roman"/>
          <w:i/>
          <w:iCs/>
          <w:szCs w:val="24"/>
          <w:lang w:val="en-US"/>
        </w:rPr>
        <w:t>Harvard Law &amp; Policy Review</w:t>
      </w:r>
      <w:r w:rsidRPr="000D7597">
        <w:rPr>
          <w:rFonts w:cs="Times New Roman"/>
          <w:szCs w:val="24"/>
          <w:lang w:val="en-US"/>
        </w:rPr>
        <w:t xml:space="preserve"> 10.1 (2016): 15–42.</w:t>
      </w:r>
    </w:p>
    <w:p w14:paraId="47BE0403" w14:textId="77777777" w:rsidR="00F665E2" w:rsidRPr="000D7597" w:rsidRDefault="00F665E2" w:rsidP="00F665E2">
      <w:pPr>
        <w:pStyle w:val="Bibliography"/>
        <w:rPr>
          <w:rFonts w:cs="Times New Roman"/>
          <w:szCs w:val="24"/>
          <w:lang w:val="en-US"/>
        </w:rPr>
      </w:pPr>
      <w:r w:rsidRPr="000D7597">
        <w:rPr>
          <w:rFonts w:cs="Times New Roman"/>
          <w:szCs w:val="24"/>
          <w:lang w:val="en-US"/>
        </w:rPr>
        <w:t>Jones, Peter. ‘Group Rights’, Stanford Encyclopedia of Philosophy, 29 March 2016. http://plato.stanford.edu/archives/sum2016/entries/rights-group/.</w:t>
      </w:r>
    </w:p>
    <w:p w14:paraId="5FACBD41"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 ‘Human Rights, Group Rights, and Peoples’ Rights’, </w:t>
      </w:r>
      <w:r w:rsidRPr="000D7597">
        <w:rPr>
          <w:rFonts w:cs="Times New Roman"/>
          <w:i/>
          <w:iCs/>
          <w:szCs w:val="24"/>
          <w:lang w:val="en-US"/>
        </w:rPr>
        <w:t>Human Rights Quarterly</w:t>
      </w:r>
      <w:r w:rsidRPr="000D7597">
        <w:rPr>
          <w:rFonts w:cs="Times New Roman"/>
          <w:szCs w:val="24"/>
          <w:lang w:val="en-US"/>
        </w:rPr>
        <w:t xml:space="preserve"> 21.2 (1999): 80–107.</w:t>
      </w:r>
    </w:p>
    <w:p w14:paraId="00E56279"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Jovanović, Miodrag A. </w:t>
      </w:r>
      <w:r w:rsidRPr="000D7597">
        <w:rPr>
          <w:rFonts w:cs="Times New Roman"/>
          <w:i/>
          <w:iCs/>
          <w:szCs w:val="24"/>
          <w:lang w:val="en-US"/>
        </w:rPr>
        <w:t>Collective Rights: A Legal Theory</w:t>
      </w:r>
      <w:r>
        <w:rPr>
          <w:rFonts w:cs="Times New Roman"/>
          <w:szCs w:val="24"/>
          <w:lang w:val="en-US"/>
        </w:rPr>
        <w:t>,</w:t>
      </w:r>
      <w:r w:rsidRPr="000D7597">
        <w:rPr>
          <w:rFonts w:cs="Times New Roman"/>
          <w:szCs w:val="24"/>
          <w:lang w:val="en-US"/>
        </w:rPr>
        <w:t xml:space="preserve"> Cambridge</w:t>
      </w:r>
      <w:r>
        <w:rPr>
          <w:rFonts w:cs="Times New Roman"/>
          <w:szCs w:val="24"/>
          <w:lang w:val="en-US"/>
        </w:rPr>
        <w:t>:</w:t>
      </w:r>
      <w:r w:rsidRPr="000D7597">
        <w:rPr>
          <w:rFonts w:cs="Times New Roman"/>
          <w:szCs w:val="24"/>
          <w:lang w:val="en-US"/>
        </w:rPr>
        <w:t xml:space="preserve"> New York: Cambridge University Press, 2012.</w:t>
      </w:r>
    </w:p>
    <w:p w14:paraId="7AFF7918" w14:textId="77777777" w:rsidR="00F665E2" w:rsidRPr="000D7597" w:rsidRDefault="00F665E2" w:rsidP="00F665E2">
      <w:pPr>
        <w:pStyle w:val="Bibliography"/>
        <w:rPr>
          <w:rFonts w:cs="Times New Roman"/>
          <w:szCs w:val="24"/>
          <w:lang w:val="en-US"/>
        </w:rPr>
      </w:pPr>
      <w:r w:rsidRPr="000D7597">
        <w:rPr>
          <w:rFonts w:cs="Times New Roman"/>
          <w:szCs w:val="24"/>
          <w:lang w:val="en-US"/>
        </w:rPr>
        <w:lastRenderedPageBreak/>
        <w:t xml:space="preserve">Kennedy, Helen, Rosemary Lucy Hill, William Allen and Andy Kirk. ‘Engaging with (Big) Data Visualizations: Factors That Affect Engagement and Resulting New Definitions of Effectiveness’, </w:t>
      </w:r>
      <w:r w:rsidRPr="000D7597">
        <w:rPr>
          <w:rFonts w:cs="Times New Roman"/>
          <w:i/>
          <w:iCs/>
          <w:szCs w:val="24"/>
          <w:lang w:val="en-US"/>
        </w:rPr>
        <w:t>First Monday</w:t>
      </w:r>
      <w:r w:rsidRPr="000D7597">
        <w:rPr>
          <w:rFonts w:cs="Times New Roman"/>
          <w:szCs w:val="24"/>
          <w:lang w:val="en-US"/>
        </w:rPr>
        <w:t xml:space="preserve"> 21.11 (3 November 2016)</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10.5210/</w:t>
      </w:r>
      <w:proofErr w:type="gramStart"/>
      <w:r w:rsidRPr="000D7597">
        <w:rPr>
          <w:rFonts w:cs="Times New Roman"/>
          <w:szCs w:val="24"/>
          <w:lang w:val="en-US"/>
        </w:rPr>
        <w:t>fm.v</w:t>
      </w:r>
      <w:proofErr w:type="gramEnd"/>
      <w:r w:rsidRPr="000D7597">
        <w:rPr>
          <w:rFonts w:cs="Times New Roman"/>
          <w:szCs w:val="24"/>
          <w:lang w:val="en-US"/>
        </w:rPr>
        <w:t>21i11.6389.</w:t>
      </w:r>
    </w:p>
    <w:p w14:paraId="35D59651" w14:textId="77777777" w:rsidR="00F665E2" w:rsidRPr="000D7597" w:rsidRDefault="00F665E2" w:rsidP="00F665E2">
      <w:pPr>
        <w:pStyle w:val="Bibliography"/>
        <w:rPr>
          <w:rFonts w:cs="Times New Roman"/>
          <w:szCs w:val="24"/>
          <w:lang w:val="en-US"/>
        </w:rPr>
      </w:pPr>
      <w:r w:rsidRPr="000D7597">
        <w:rPr>
          <w:rFonts w:cs="Times New Roman"/>
          <w:szCs w:val="24"/>
          <w:lang w:val="en-US"/>
        </w:rPr>
        <w:t>Kloza, Darius</w:t>
      </w:r>
      <w:r>
        <w:rPr>
          <w:rFonts w:cs="Times New Roman"/>
          <w:szCs w:val="24"/>
          <w:lang w:val="en-US"/>
        </w:rPr>
        <w:t>z</w:t>
      </w:r>
      <w:r w:rsidRPr="000D7597">
        <w:rPr>
          <w:rFonts w:cs="Times New Roman"/>
          <w:szCs w:val="24"/>
          <w:lang w:val="en-US"/>
        </w:rPr>
        <w:t>, Niels van Dijk, Raphaël Gellert, István Böröcz, Alessia Tanas, Eugenio Mantovani and Paul Quinn. ‘Data Protection Impact Assessments in the European Union: Complementing the New Legal Framework towards a More Robust Protection of Individuals’. d.pia.lab, 2017. https://cris.vub.be/files/32009890/dpialab_pb2017_1_final.pdf.</w:t>
      </w:r>
    </w:p>
    <w:p w14:paraId="5DF46589" w14:textId="77777777" w:rsidR="00F665E2" w:rsidRPr="000D7597" w:rsidRDefault="00F665E2" w:rsidP="00F665E2">
      <w:pPr>
        <w:pStyle w:val="Bibliography"/>
        <w:rPr>
          <w:rFonts w:cs="Times New Roman"/>
          <w:szCs w:val="24"/>
          <w:lang w:val="en-US"/>
        </w:rPr>
      </w:pPr>
      <w:r w:rsidRPr="000D7597">
        <w:rPr>
          <w:rFonts w:cs="Times New Roman"/>
          <w:szCs w:val="24"/>
          <w:lang w:val="en-US"/>
        </w:rPr>
        <w:t>Lefebvre, Henri. ‘Right to the City’, in Eleonore Kofman and Elizabeth Lebas (eds.)</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Writings on Cities</w:t>
      </w:r>
      <w:r w:rsidRPr="000D7597">
        <w:rPr>
          <w:rFonts w:cs="Times New Roman"/>
          <w:szCs w:val="24"/>
          <w:lang w:val="en-US"/>
        </w:rPr>
        <w:t>, Cambridg</w:t>
      </w:r>
      <w:r>
        <w:rPr>
          <w:rFonts w:cs="Times New Roman"/>
          <w:szCs w:val="24"/>
          <w:lang w:val="en-US"/>
        </w:rPr>
        <w:t>e MA</w:t>
      </w:r>
      <w:r w:rsidRPr="000D7597">
        <w:rPr>
          <w:rFonts w:cs="Times New Roman"/>
          <w:szCs w:val="24"/>
          <w:lang w:val="en-US"/>
        </w:rPr>
        <w:t>: Blackwell, 1996 (1968), pp 61–181.</w:t>
      </w:r>
    </w:p>
    <w:p w14:paraId="03E816E2"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 </w:t>
      </w:r>
      <w:r w:rsidRPr="000D7597">
        <w:rPr>
          <w:rFonts w:cs="Times New Roman"/>
          <w:i/>
          <w:iCs/>
          <w:szCs w:val="24"/>
          <w:lang w:val="en-US"/>
        </w:rPr>
        <w:t>The Production of Space</w:t>
      </w:r>
      <w:r w:rsidRPr="000D7597">
        <w:rPr>
          <w:rFonts w:cs="Times New Roman"/>
          <w:szCs w:val="24"/>
          <w:lang w:val="en-US"/>
        </w:rPr>
        <w:t xml:space="preserve">, </w:t>
      </w:r>
      <w:r>
        <w:rPr>
          <w:rFonts w:cs="Times New Roman"/>
          <w:szCs w:val="24"/>
          <w:lang w:val="en-US"/>
        </w:rPr>
        <w:t>trans</w:t>
      </w:r>
      <w:r w:rsidRPr="000D7597">
        <w:rPr>
          <w:rFonts w:cs="Times New Roman"/>
          <w:szCs w:val="24"/>
          <w:lang w:val="en-US"/>
        </w:rPr>
        <w:t xml:space="preserve"> Donald Nicholson-Smith</w:t>
      </w:r>
      <w:r>
        <w:rPr>
          <w:rFonts w:cs="Times New Roman"/>
          <w:szCs w:val="24"/>
          <w:lang w:val="en-US"/>
        </w:rPr>
        <w:t>,</w:t>
      </w:r>
      <w:r w:rsidRPr="000D7597">
        <w:rPr>
          <w:rFonts w:cs="Times New Roman"/>
          <w:szCs w:val="24"/>
          <w:lang w:val="en-US"/>
        </w:rPr>
        <w:t xml:space="preserve"> Malden MA: Blackwell, 1991 (1974).</w:t>
      </w:r>
    </w:p>
    <w:p w14:paraId="79C294F8"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Leslie, Camilo Arturo. ‘Territoriality, Map-Mindedness, and the Politics of Place’, </w:t>
      </w:r>
      <w:r w:rsidRPr="000D7597">
        <w:rPr>
          <w:rFonts w:cs="Times New Roman"/>
          <w:i/>
          <w:iCs/>
          <w:szCs w:val="24"/>
          <w:lang w:val="en-US"/>
        </w:rPr>
        <w:t>Theory and Society</w:t>
      </w:r>
      <w:r w:rsidRPr="000D7597">
        <w:rPr>
          <w:rFonts w:cs="Times New Roman"/>
          <w:szCs w:val="24"/>
          <w:lang w:val="en-US"/>
        </w:rPr>
        <w:t xml:space="preserve"> 45.2 (April 2016): 169–201</w:t>
      </w:r>
      <w:r>
        <w:rPr>
          <w:rFonts w:cs="Times New Roman"/>
          <w:szCs w:val="24"/>
          <w:lang w:val="en-US"/>
        </w:rPr>
        <w:t>, DOI</w:t>
      </w:r>
      <w:r w:rsidRPr="000D7597">
        <w:rPr>
          <w:rFonts w:cs="Times New Roman"/>
          <w:szCs w:val="24"/>
          <w:lang w:val="en-US"/>
        </w:rPr>
        <w:t>: 10.1007/s11186-016-9268-9.</w:t>
      </w:r>
    </w:p>
    <w:p w14:paraId="38D9E920" w14:textId="77777777" w:rsidR="00F665E2" w:rsidRPr="000D7597" w:rsidRDefault="00F665E2" w:rsidP="00F665E2">
      <w:pPr>
        <w:pStyle w:val="Bibliography"/>
        <w:rPr>
          <w:rFonts w:cs="Times New Roman"/>
          <w:szCs w:val="24"/>
          <w:lang w:val="en-US"/>
        </w:rPr>
      </w:pPr>
      <w:r w:rsidRPr="000D7597">
        <w:rPr>
          <w:rFonts w:cs="Times New Roman"/>
          <w:szCs w:val="24"/>
          <w:lang w:val="en-US"/>
        </w:rPr>
        <w:t>Lyon, David</w:t>
      </w:r>
      <w:r>
        <w:rPr>
          <w:rFonts w:cs="Times New Roman"/>
          <w:szCs w:val="24"/>
          <w:lang w:val="en-US"/>
        </w:rPr>
        <w:t xml:space="preserve"> </w:t>
      </w:r>
      <w:r w:rsidRPr="000D7597">
        <w:rPr>
          <w:rFonts w:cs="Times New Roman"/>
          <w:szCs w:val="24"/>
          <w:lang w:val="en-US"/>
        </w:rPr>
        <w:t xml:space="preserve">(ed.). </w:t>
      </w:r>
      <w:r w:rsidRPr="000D7597">
        <w:rPr>
          <w:rFonts w:cs="Times New Roman"/>
          <w:i/>
          <w:iCs/>
          <w:szCs w:val="24"/>
          <w:lang w:val="en-US"/>
        </w:rPr>
        <w:t>Surveillance as Social Sorting: Privacy, Risk, and Digital Discrimination</w:t>
      </w:r>
      <w:r w:rsidRPr="000D7597">
        <w:rPr>
          <w:rFonts w:cs="Times New Roman"/>
          <w:szCs w:val="24"/>
          <w:lang w:val="en-US"/>
        </w:rPr>
        <w:t>. London</w:t>
      </w:r>
      <w:r>
        <w:rPr>
          <w:rFonts w:cs="Times New Roman"/>
          <w:szCs w:val="24"/>
          <w:lang w:val="en-US"/>
        </w:rPr>
        <w:t>/</w:t>
      </w:r>
      <w:r w:rsidRPr="000D7597">
        <w:rPr>
          <w:rFonts w:cs="Times New Roman"/>
          <w:szCs w:val="24"/>
          <w:lang w:val="en-US"/>
        </w:rPr>
        <w:t>New York: Routledge, 2003.</w:t>
      </w:r>
    </w:p>
    <w:p w14:paraId="1AD1545B"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Mantelero, Alessandro. ‘AI and Big Data: A Blueprint for a Human Rights, Social and Ethical Impact Assessment’, </w:t>
      </w:r>
      <w:r w:rsidRPr="000D7597">
        <w:rPr>
          <w:rFonts w:cs="Times New Roman"/>
          <w:i/>
          <w:iCs/>
          <w:szCs w:val="24"/>
          <w:lang w:val="en-US"/>
        </w:rPr>
        <w:t>Computer Law &amp; Security Review</w:t>
      </w:r>
      <w:r w:rsidRPr="000D7597">
        <w:rPr>
          <w:rFonts w:cs="Times New Roman"/>
          <w:szCs w:val="24"/>
          <w:lang w:val="en-US"/>
        </w:rPr>
        <w:t xml:space="preserve"> 34.4 (August 2018): 754–72</w:t>
      </w:r>
      <w:r>
        <w:rPr>
          <w:rFonts w:cs="Times New Roman"/>
          <w:szCs w:val="24"/>
          <w:lang w:val="en-US"/>
        </w:rPr>
        <w:t>, DOI</w:t>
      </w:r>
      <w:r w:rsidRPr="000D7597">
        <w:rPr>
          <w:rFonts w:cs="Times New Roman"/>
          <w:szCs w:val="24"/>
          <w:lang w:val="en-US"/>
        </w:rPr>
        <w:t>: 10.1016/j.clsr.2018.05.017.</w:t>
      </w:r>
    </w:p>
    <w:p w14:paraId="6B9DF7D4" w14:textId="77777777" w:rsidR="00F665E2" w:rsidRPr="000D7597" w:rsidRDefault="00F665E2" w:rsidP="00F665E2">
      <w:pPr>
        <w:pStyle w:val="Bibliography"/>
        <w:rPr>
          <w:rFonts w:cs="Times New Roman"/>
          <w:szCs w:val="24"/>
          <w:lang w:val="en-US"/>
        </w:rPr>
      </w:pPr>
      <w:r w:rsidRPr="000D7597">
        <w:rPr>
          <w:rFonts w:cs="Times New Roman"/>
          <w:szCs w:val="24"/>
          <w:lang w:val="en-US"/>
        </w:rPr>
        <w:t>———</w:t>
      </w:r>
      <w:r>
        <w:rPr>
          <w:rFonts w:cs="Times New Roman"/>
          <w:szCs w:val="24"/>
          <w:lang w:val="en-US"/>
        </w:rPr>
        <w:t>.</w:t>
      </w:r>
      <w:r w:rsidRPr="000D7597">
        <w:rPr>
          <w:rFonts w:cs="Times New Roman"/>
          <w:szCs w:val="24"/>
          <w:lang w:val="en-US"/>
        </w:rPr>
        <w:t xml:space="preserve"> ‘From Group Privacy to Collective Privacy: Towards a New Dimension of Privacy and Data Protection in the Big Data Era’, in Linnet Taylor, Luciano Floridi and Bart van der Sloot</w:t>
      </w:r>
      <w:r w:rsidRPr="000D7597">
        <w:rPr>
          <w:rFonts w:cs="Times New Roman"/>
          <w:i/>
          <w:iCs/>
          <w:szCs w:val="24"/>
          <w:lang w:val="en-US"/>
        </w:rPr>
        <w:t xml:space="preserve"> </w:t>
      </w:r>
      <w:r w:rsidRPr="000D7597">
        <w:rPr>
          <w:rFonts w:cs="Times New Roman"/>
          <w:iCs/>
          <w:szCs w:val="24"/>
          <w:lang w:val="en-US"/>
        </w:rPr>
        <w:t>(eds.)</w:t>
      </w:r>
      <w:r>
        <w:rPr>
          <w:rFonts w:cs="Times New Roman"/>
          <w:iCs/>
          <w:szCs w:val="24"/>
          <w:lang w:val="en-US"/>
        </w:rPr>
        <w:t>,</w:t>
      </w:r>
      <w:r w:rsidRPr="000D7597">
        <w:rPr>
          <w:rFonts w:cs="Times New Roman"/>
          <w:iCs/>
          <w:szCs w:val="24"/>
          <w:lang w:val="en-US"/>
        </w:rPr>
        <w:t xml:space="preserve"> </w:t>
      </w:r>
      <w:r w:rsidRPr="000D7597">
        <w:rPr>
          <w:rFonts w:cs="Times New Roman"/>
          <w:i/>
          <w:iCs/>
          <w:szCs w:val="24"/>
          <w:lang w:val="en-US"/>
        </w:rPr>
        <w:t>Group Privacy: New Challenges of Data Technologies</w:t>
      </w:r>
      <w:r w:rsidRPr="000D7597">
        <w:rPr>
          <w:rFonts w:cs="Times New Roman"/>
          <w:szCs w:val="24"/>
          <w:lang w:val="en-US"/>
        </w:rPr>
        <w:t>, Philosophical Studies Series #126. Berlin: Springer, 2017, pp. 139–58</w:t>
      </w:r>
      <w:r>
        <w:rPr>
          <w:rFonts w:cs="Times New Roman"/>
          <w:szCs w:val="24"/>
          <w:lang w:val="en-US"/>
        </w:rPr>
        <w:t>, DOI:</w:t>
      </w:r>
      <w:r w:rsidRPr="000D7597">
        <w:rPr>
          <w:rFonts w:cs="Times New Roman"/>
          <w:szCs w:val="24"/>
          <w:lang w:val="en-US"/>
        </w:rPr>
        <w:t xml:space="preserve"> https://doi.org/10.1007/978-3-319-46608-8_8.</w:t>
      </w:r>
    </w:p>
    <w:p w14:paraId="263978E0"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 ‘Personal Data for Decisional Purposes in the Age of Analytics: From an Individual to a Collective Dimension of Data Protection’, </w:t>
      </w:r>
      <w:r w:rsidRPr="000D7597">
        <w:rPr>
          <w:rFonts w:cs="Times New Roman"/>
          <w:i/>
          <w:iCs/>
          <w:szCs w:val="24"/>
          <w:lang w:val="en-US"/>
        </w:rPr>
        <w:t>Computer Law &amp; Security Review</w:t>
      </w:r>
      <w:r w:rsidRPr="000D7597">
        <w:rPr>
          <w:rFonts w:cs="Times New Roman"/>
          <w:szCs w:val="24"/>
          <w:lang w:val="en-US"/>
        </w:rPr>
        <w:t xml:space="preserve"> 32.2 (April 2016): 238–55</w:t>
      </w:r>
      <w:r>
        <w:rPr>
          <w:rFonts w:cs="Times New Roman"/>
          <w:szCs w:val="24"/>
          <w:lang w:val="en-US"/>
        </w:rPr>
        <w:t>, DOI</w:t>
      </w:r>
      <w:r w:rsidRPr="000D7597">
        <w:rPr>
          <w:rFonts w:cs="Times New Roman"/>
          <w:szCs w:val="24"/>
          <w:lang w:val="en-US"/>
        </w:rPr>
        <w:t>: 10.1016/j.clsr.2016.01.014.</w:t>
      </w:r>
    </w:p>
    <w:p w14:paraId="05DF02C5"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Miller, David. ‘Group Rights, Human Rights and Citizenship’, </w:t>
      </w:r>
      <w:r w:rsidRPr="000D7597">
        <w:rPr>
          <w:rFonts w:cs="Times New Roman"/>
          <w:i/>
          <w:iCs/>
          <w:szCs w:val="24"/>
          <w:lang w:val="en-US"/>
        </w:rPr>
        <w:t>European Journal of Philosophy</w:t>
      </w:r>
      <w:r w:rsidRPr="000D7597">
        <w:rPr>
          <w:rFonts w:cs="Times New Roman"/>
          <w:szCs w:val="24"/>
          <w:lang w:val="en-US"/>
        </w:rPr>
        <w:t xml:space="preserve"> 10.2 (August 2002): 178–95</w:t>
      </w:r>
      <w:r>
        <w:rPr>
          <w:rFonts w:cs="Times New Roman"/>
          <w:szCs w:val="24"/>
          <w:lang w:val="en-US"/>
        </w:rPr>
        <w:t>, DOI</w:t>
      </w:r>
      <w:r w:rsidRPr="000D7597">
        <w:rPr>
          <w:rFonts w:cs="Times New Roman"/>
          <w:szCs w:val="24"/>
          <w:lang w:val="en-US"/>
        </w:rPr>
        <w:t>: 10.1111/1468-0378.00155.</w:t>
      </w:r>
    </w:p>
    <w:p w14:paraId="5779E76D"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Mittelstadt, Brent. ‘From Individual to Group Privacy in Big Data Analytics’, </w:t>
      </w:r>
      <w:r w:rsidRPr="000D7597">
        <w:rPr>
          <w:rFonts w:cs="Times New Roman"/>
          <w:i/>
          <w:iCs/>
          <w:szCs w:val="24"/>
          <w:lang w:val="en-US"/>
        </w:rPr>
        <w:t>Philosophy &amp; Technology</w:t>
      </w:r>
      <w:r w:rsidRPr="000D7597">
        <w:rPr>
          <w:rFonts w:cs="Times New Roman"/>
          <w:szCs w:val="24"/>
          <w:lang w:val="en-US"/>
        </w:rPr>
        <w:t xml:space="preserve"> 30.4 (December 2017): 475–94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10.1007/s13347-017-0253-7.</w:t>
      </w:r>
    </w:p>
    <w:p w14:paraId="7AB032B6" w14:textId="77777777" w:rsidR="00F665E2" w:rsidRPr="000D7597" w:rsidRDefault="00F665E2" w:rsidP="00F665E2">
      <w:pPr>
        <w:pStyle w:val="Bibliography"/>
        <w:rPr>
          <w:rFonts w:cs="Times New Roman"/>
          <w:szCs w:val="24"/>
          <w:lang w:val="en-US"/>
        </w:rPr>
      </w:pPr>
      <w:r w:rsidRPr="000D7597">
        <w:rPr>
          <w:rFonts w:cs="Times New Roman"/>
          <w:szCs w:val="24"/>
          <w:lang w:val="en-US"/>
        </w:rPr>
        <w:t>Narayanan, Arvind, Joanna Huey and Edward W. Felten, ‘A Precautionary Approach to Big Data Privacy’, in Serge Gutwirth, Ronald Leenes, and Paul De Hert (eds)</w:t>
      </w:r>
      <w:r>
        <w:rPr>
          <w:rFonts w:cs="Times New Roman"/>
          <w:szCs w:val="24"/>
          <w:lang w:val="en-US"/>
        </w:rPr>
        <w:t>,</w:t>
      </w:r>
      <w:r w:rsidRPr="000D7597">
        <w:rPr>
          <w:rFonts w:cs="Times New Roman"/>
          <w:szCs w:val="24"/>
          <w:lang w:val="en-US"/>
        </w:rPr>
        <w:t xml:space="preserve"> </w:t>
      </w:r>
      <w:r w:rsidRPr="000D7597">
        <w:rPr>
          <w:rFonts w:cs="Times New Roman"/>
          <w:i/>
          <w:szCs w:val="24"/>
          <w:lang w:val="en-US"/>
        </w:rPr>
        <w:t>Data Protection on the Move</w:t>
      </w:r>
      <w:r w:rsidRPr="000D7597">
        <w:rPr>
          <w:rFonts w:cs="Times New Roman"/>
          <w:szCs w:val="24"/>
          <w:lang w:val="en-US"/>
        </w:rPr>
        <w:t>, Issues in Privacy and Data Protection #24, Dordrecht: Springer Netherlands, 2016, pp. 357–85</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10.1007/978-94-017-7376-8_13.</w:t>
      </w:r>
    </w:p>
    <w:p w14:paraId="54966275" w14:textId="77777777" w:rsidR="00F665E2" w:rsidRPr="000D7597" w:rsidRDefault="00F665E2" w:rsidP="00F665E2">
      <w:pPr>
        <w:pStyle w:val="Bibliography"/>
        <w:rPr>
          <w:rFonts w:cs="Times New Roman"/>
          <w:szCs w:val="24"/>
          <w:lang w:val="en-US"/>
        </w:rPr>
      </w:pPr>
      <w:r w:rsidRPr="000D7597">
        <w:rPr>
          <w:rFonts w:cs="Times New Roman"/>
          <w:szCs w:val="24"/>
          <w:lang w:val="en-US"/>
        </w:rPr>
        <w:t>OpenStreetMap Foundation. ‘About’, https://www.openstreetmap.org/about.</w:t>
      </w:r>
    </w:p>
    <w:p w14:paraId="284C038A" w14:textId="77777777" w:rsidR="00F665E2" w:rsidRPr="000D7597" w:rsidRDefault="00F665E2" w:rsidP="00F665E2">
      <w:pPr>
        <w:pStyle w:val="Bibliography"/>
        <w:rPr>
          <w:rFonts w:cs="Times New Roman"/>
          <w:szCs w:val="24"/>
          <w:lang w:val="en-US"/>
        </w:rPr>
      </w:pPr>
      <w:r w:rsidRPr="000D7597">
        <w:rPr>
          <w:rFonts w:cs="Times New Roman"/>
          <w:szCs w:val="24"/>
        </w:rPr>
        <w:t xml:space="preserve">Pak, Burak, Alvin Chua, and Andrew Vande Moere. </w:t>
      </w:r>
      <w:r w:rsidRPr="000D7597">
        <w:rPr>
          <w:rFonts w:cs="Times New Roman"/>
          <w:szCs w:val="24"/>
          <w:lang w:val="en-US"/>
        </w:rPr>
        <w:t xml:space="preserve">‘FixMyStreet Brussels: Socio-Demographic Inequality in Crowdsourced Civic Participation’, </w:t>
      </w:r>
      <w:r w:rsidRPr="000D7597">
        <w:rPr>
          <w:rFonts w:cs="Times New Roman"/>
          <w:i/>
          <w:iCs/>
          <w:szCs w:val="24"/>
          <w:lang w:val="en-US"/>
        </w:rPr>
        <w:t>Journal of Urban Technology</w:t>
      </w:r>
      <w:r w:rsidRPr="000D7597">
        <w:rPr>
          <w:rFonts w:cs="Times New Roman"/>
          <w:szCs w:val="24"/>
          <w:lang w:val="en-US"/>
        </w:rPr>
        <w:t xml:space="preserve"> </w:t>
      </w:r>
      <w:r>
        <w:rPr>
          <w:rFonts w:cs="Times New Roman"/>
          <w:szCs w:val="24"/>
          <w:lang w:val="en-US"/>
        </w:rPr>
        <w:t>(</w:t>
      </w:r>
      <w:r w:rsidRPr="000D7597">
        <w:rPr>
          <w:rFonts w:cs="Times New Roman"/>
          <w:szCs w:val="24"/>
          <w:lang w:val="en-US"/>
        </w:rPr>
        <w:t>10 April 2017</w:t>
      </w:r>
      <w:r>
        <w:rPr>
          <w:rFonts w:cs="Times New Roman"/>
          <w:szCs w:val="24"/>
          <w:lang w:val="en-US"/>
        </w:rPr>
        <w:t>)</w:t>
      </w:r>
      <w:r w:rsidRPr="000D7597">
        <w:rPr>
          <w:rFonts w:cs="Times New Roman"/>
          <w:szCs w:val="24"/>
          <w:lang w:val="en-US"/>
        </w:rPr>
        <w:t>, 1–23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10.1080/10630732.2016.1270047.</w:t>
      </w:r>
    </w:p>
    <w:p w14:paraId="0730813B"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Pasquale, Frank. </w:t>
      </w:r>
      <w:r w:rsidRPr="000D7597">
        <w:rPr>
          <w:rFonts w:cs="Times New Roman"/>
          <w:i/>
          <w:iCs/>
          <w:szCs w:val="24"/>
          <w:lang w:val="en-US"/>
        </w:rPr>
        <w:t>The Black Box Society: The Secret Algorithms That Control Money and Information</w:t>
      </w:r>
      <w:r w:rsidRPr="000D7597">
        <w:rPr>
          <w:rFonts w:cs="Times New Roman"/>
          <w:szCs w:val="24"/>
          <w:lang w:val="en-US"/>
        </w:rPr>
        <w:t>. Cambridge: Harvard University Press, 2015.</w:t>
      </w:r>
    </w:p>
    <w:p w14:paraId="6ADA5B78" w14:textId="77777777" w:rsidR="00F665E2" w:rsidRPr="000D7597" w:rsidRDefault="00F665E2" w:rsidP="00F665E2">
      <w:pPr>
        <w:pStyle w:val="Bibliography"/>
        <w:rPr>
          <w:rFonts w:cs="Times New Roman"/>
          <w:szCs w:val="24"/>
          <w:lang w:val="en-US"/>
        </w:rPr>
      </w:pPr>
      <w:r w:rsidRPr="000D7597">
        <w:rPr>
          <w:rFonts w:cs="Times New Roman"/>
          <w:szCs w:val="24"/>
          <w:lang w:val="en-US"/>
        </w:rPr>
        <w:t>Privacy International. ‘Smart Cities: Utopian Vision, Dystopian Reality’, 31 October 2017</w:t>
      </w:r>
      <w:r>
        <w:rPr>
          <w:rFonts w:cs="Times New Roman"/>
          <w:szCs w:val="24"/>
          <w:lang w:val="en-US"/>
        </w:rPr>
        <w:t>,</w:t>
      </w:r>
      <w:r w:rsidRPr="000D7597">
        <w:rPr>
          <w:rFonts w:cs="Times New Roman"/>
          <w:szCs w:val="24"/>
          <w:lang w:val="en-US"/>
        </w:rPr>
        <w:t xml:space="preserve"> https://privacyinternational.org/node/638.</w:t>
      </w:r>
    </w:p>
    <w:p w14:paraId="55F3FCC9"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Robb, Drew. ‘The Global Heatmap, Now 6x Hotter’, </w:t>
      </w:r>
      <w:r w:rsidRPr="001A2595">
        <w:rPr>
          <w:rFonts w:cs="Times New Roman"/>
          <w:i/>
          <w:szCs w:val="24"/>
          <w:lang w:val="en-US"/>
        </w:rPr>
        <w:t>Medium</w:t>
      </w:r>
      <w:r w:rsidRPr="000D7597">
        <w:rPr>
          <w:rFonts w:cs="Times New Roman"/>
          <w:szCs w:val="24"/>
          <w:lang w:val="en-US"/>
        </w:rPr>
        <w:t>, 1 November 2017</w:t>
      </w:r>
      <w:r>
        <w:rPr>
          <w:rFonts w:cs="Times New Roman"/>
          <w:szCs w:val="24"/>
          <w:lang w:val="en-US"/>
        </w:rPr>
        <w:t xml:space="preserve">, </w:t>
      </w:r>
      <w:r w:rsidRPr="000D7597">
        <w:rPr>
          <w:rFonts w:cs="Times New Roman"/>
          <w:szCs w:val="24"/>
          <w:lang w:val="en-US"/>
        </w:rPr>
        <w:t>https://medium.com/strava-engineering/the-global-heatmap-now-6x-hotter-23fc01d301de.</w:t>
      </w:r>
    </w:p>
    <w:p w14:paraId="0C357DF8"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Selbst, Andrew D. ‘Disparate Impact in Big Data Policing’, </w:t>
      </w:r>
      <w:r w:rsidRPr="000D7597">
        <w:rPr>
          <w:rFonts w:cs="Times New Roman"/>
          <w:i/>
          <w:iCs/>
          <w:szCs w:val="24"/>
          <w:lang w:val="en-US"/>
        </w:rPr>
        <w:t>Georgia Law Review</w:t>
      </w:r>
      <w:r w:rsidRPr="000D7597">
        <w:rPr>
          <w:rFonts w:cs="Times New Roman"/>
          <w:szCs w:val="24"/>
          <w:lang w:val="en-US"/>
        </w:rPr>
        <w:t xml:space="preserve"> 52.1 (2018): 109–95.</w:t>
      </w:r>
    </w:p>
    <w:p w14:paraId="7B2E497D" w14:textId="77777777" w:rsidR="00F665E2" w:rsidRPr="000D7597" w:rsidRDefault="00F665E2" w:rsidP="00F665E2">
      <w:pPr>
        <w:pStyle w:val="Bibliography"/>
        <w:rPr>
          <w:rFonts w:cs="Times New Roman"/>
          <w:szCs w:val="24"/>
          <w:lang w:val="en-US"/>
        </w:rPr>
      </w:pPr>
      <w:r w:rsidRPr="000D7597">
        <w:rPr>
          <w:rFonts w:cs="Times New Roman"/>
          <w:szCs w:val="24"/>
          <w:lang w:val="en-US"/>
        </w:rPr>
        <w:lastRenderedPageBreak/>
        <w:t xml:space="preserve">Skorupinski, Barbara, and Konrad Ott. ‘Technology Assessment and Ethics: Determining a Relationship in Theory and Practice’, </w:t>
      </w:r>
      <w:r w:rsidRPr="000D7597">
        <w:rPr>
          <w:rFonts w:cs="Times New Roman"/>
          <w:i/>
          <w:iCs/>
          <w:szCs w:val="24"/>
          <w:lang w:val="en-US"/>
        </w:rPr>
        <w:t>Poiesis &amp; Praxis</w:t>
      </w:r>
      <w:r w:rsidRPr="000D7597">
        <w:rPr>
          <w:rFonts w:cs="Times New Roman"/>
          <w:szCs w:val="24"/>
          <w:lang w:val="en-US"/>
        </w:rPr>
        <w:t xml:space="preserve"> 1.2 (1 August 2002): 95–122</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10.1007/s102020100010.</w:t>
      </w:r>
    </w:p>
    <w:p w14:paraId="39C63BAB" w14:textId="77777777" w:rsidR="00F665E2" w:rsidRPr="000D7597" w:rsidRDefault="00F665E2" w:rsidP="00F665E2">
      <w:pPr>
        <w:pStyle w:val="Bibliography"/>
        <w:rPr>
          <w:rFonts w:cs="Times New Roman"/>
          <w:szCs w:val="24"/>
          <w:lang w:val="en-US"/>
        </w:rPr>
      </w:pPr>
      <w:r w:rsidRPr="000D7597">
        <w:rPr>
          <w:rFonts w:cs="Times New Roman"/>
          <w:szCs w:val="24"/>
          <w:lang w:val="en-US"/>
        </w:rPr>
        <w:t>Sloot, Bart van der. ‘Do Groups Have a Right to Protect Their Group Interest in Privacy and Should They? Peeling the Onion of Rights and Interests Protected under Article 8 ECHR’, in Linnet Taylor, Luciano Floridi, and Bart van der Sloot (eds)</w:t>
      </w:r>
      <w:r>
        <w:rPr>
          <w:rFonts w:cs="Times New Roman"/>
          <w:szCs w:val="24"/>
          <w:lang w:val="en-US"/>
        </w:rPr>
        <w:t>,</w:t>
      </w:r>
      <w:r w:rsidRPr="000D7597">
        <w:rPr>
          <w:rFonts w:cs="Times New Roman"/>
          <w:szCs w:val="24"/>
          <w:lang w:val="en-US"/>
        </w:rPr>
        <w:t xml:space="preserve"> </w:t>
      </w:r>
      <w:r w:rsidRPr="001A2595">
        <w:rPr>
          <w:rFonts w:cs="Times New Roman"/>
          <w:i/>
          <w:szCs w:val="24"/>
          <w:lang w:val="en-US"/>
        </w:rPr>
        <w:t>Group Privacy: New Challenges of Data Technologies.</w:t>
      </w:r>
      <w:r w:rsidRPr="000D7597">
        <w:rPr>
          <w:rFonts w:cs="Times New Roman"/>
          <w:szCs w:val="24"/>
          <w:lang w:val="en-US"/>
        </w:rPr>
        <w:t xml:space="preserve"> Philosophical Studies Series #126. Berlin: Springer, 2017, pp. 197–224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10.1007/978-3-319-46608-8_9.</w:t>
      </w:r>
    </w:p>
    <w:p w14:paraId="04EBE152"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Smith, Gavin J. D. ‘Surveillance, Data and Embodiment: On the Work of Being Watched’, </w:t>
      </w:r>
      <w:r w:rsidRPr="000D7597">
        <w:rPr>
          <w:rFonts w:cs="Times New Roman"/>
          <w:i/>
          <w:iCs/>
          <w:szCs w:val="24"/>
          <w:lang w:val="en-US"/>
        </w:rPr>
        <w:t>Body &amp; Society</w:t>
      </w:r>
      <w:r w:rsidRPr="000D7597">
        <w:rPr>
          <w:rFonts w:cs="Times New Roman"/>
          <w:szCs w:val="24"/>
          <w:lang w:val="en-US"/>
        </w:rPr>
        <w:t xml:space="preserve"> 22.2 (2016): 108–39</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10.1177/1357034X15623622.</w:t>
      </w:r>
    </w:p>
    <w:p w14:paraId="682FC43A"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‘Strava: A Global Heatmap of Athletic Activity’, </w:t>
      </w:r>
      <w:r w:rsidRPr="000D7597">
        <w:rPr>
          <w:rFonts w:cs="Times New Roman"/>
          <w:i/>
          <w:iCs/>
          <w:szCs w:val="24"/>
          <w:lang w:val="en-US"/>
        </w:rPr>
        <w:t>The Guardian</w:t>
      </w:r>
      <w:r w:rsidRPr="000D7597">
        <w:rPr>
          <w:rFonts w:cs="Times New Roman"/>
          <w:szCs w:val="24"/>
          <w:lang w:val="en-US"/>
        </w:rPr>
        <w:t>, 2 November 2017</w:t>
      </w:r>
      <w:r>
        <w:rPr>
          <w:rFonts w:cs="Times New Roman"/>
          <w:szCs w:val="24"/>
          <w:lang w:val="en-US"/>
        </w:rPr>
        <w:t>,</w:t>
      </w:r>
      <w:r w:rsidRPr="000D7597">
        <w:rPr>
          <w:rFonts w:cs="Times New Roman"/>
          <w:szCs w:val="24"/>
          <w:lang w:val="en-US"/>
        </w:rPr>
        <w:t xml:space="preserve"> https://www.theguardian.com/lifeandstyle/the-running-blog/gallery/2017/nov/02/strava-a-global-heatmap-of-athletic-activity.</w:t>
      </w:r>
    </w:p>
    <w:p w14:paraId="0B87E32E" w14:textId="77777777" w:rsidR="00F665E2" w:rsidRPr="000D7597" w:rsidRDefault="00F665E2" w:rsidP="00F665E2">
      <w:pPr>
        <w:pStyle w:val="Bibliography"/>
        <w:rPr>
          <w:rFonts w:cs="Times New Roman"/>
          <w:szCs w:val="24"/>
          <w:lang w:val="en-US"/>
        </w:rPr>
      </w:pPr>
      <w:r w:rsidRPr="00CC0697">
        <w:rPr>
          <w:rFonts w:cs="Times New Roman"/>
          <w:szCs w:val="24"/>
          <w:lang w:val="nl-NL"/>
        </w:rPr>
        <w:t xml:space="preserve">Taylor, Linnet, Luciano Floridi, and Bart van der Sloot (eds). </w:t>
      </w:r>
      <w:r w:rsidRPr="001A2595">
        <w:rPr>
          <w:rFonts w:cs="Times New Roman"/>
          <w:i/>
          <w:szCs w:val="24"/>
          <w:lang w:val="en-US"/>
        </w:rPr>
        <w:t>Group Privacy: New Challenges of Data Technologies</w:t>
      </w:r>
      <w:r>
        <w:rPr>
          <w:rFonts w:cs="Times New Roman"/>
          <w:szCs w:val="24"/>
          <w:lang w:val="en-US"/>
        </w:rPr>
        <w:t>,</w:t>
      </w:r>
      <w:r w:rsidRPr="000D7597">
        <w:rPr>
          <w:rFonts w:cs="Times New Roman"/>
          <w:szCs w:val="24"/>
          <w:lang w:val="en-US"/>
        </w:rPr>
        <w:t xml:space="preserve"> Philosophical Studies Series 126</w:t>
      </w:r>
      <w:r>
        <w:rPr>
          <w:rFonts w:cs="Times New Roman"/>
          <w:szCs w:val="24"/>
          <w:lang w:val="en-US"/>
        </w:rPr>
        <w:t>,</w:t>
      </w:r>
      <w:r w:rsidRPr="000D7597">
        <w:rPr>
          <w:rFonts w:cs="Times New Roman"/>
          <w:szCs w:val="24"/>
          <w:lang w:val="en-US"/>
        </w:rPr>
        <w:t xml:space="preserve"> Berlin: Springer, 2017.</w:t>
      </w:r>
    </w:p>
    <w:p w14:paraId="772303B8" w14:textId="77777777" w:rsidR="00F665E2" w:rsidRPr="00CC0697" w:rsidRDefault="00F665E2" w:rsidP="00F665E2">
      <w:pPr>
        <w:pStyle w:val="Bibliography"/>
        <w:rPr>
          <w:rFonts w:cs="Times New Roman"/>
          <w:szCs w:val="24"/>
          <w:lang w:val="nl-NL"/>
        </w:rPr>
      </w:pPr>
      <w:r w:rsidRPr="000D7597">
        <w:rPr>
          <w:rFonts w:cs="Times New Roman"/>
          <w:szCs w:val="24"/>
          <w:lang w:val="en-US"/>
        </w:rPr>
        <w:t xml:space="preserve">Walker, Simon. </w:t>
      </w:r>
      <w:r w:rsidRPr="000D7597">
        <w:rPr>
          <w:rFonts w:cs="Times New Roman"/>
          <w:i/>
          <w:iCs/>
          <w:szCs w:val="24"/>
          <w:lang w:val="en-US"/>
        </w:rPr>
        <w:t>The Future of Human Rights Impact Assessments of Trade Agreements</w:t>
      </w:r>
      <w:r>
        <w:rPr>
          <w:rFonts w:cs="Times New Roman"/>
          <w:szCs w:val="24"/>
          <w:lang w:val="en-US"/>
        </w:rPr>
        <w:t>,</w:t>
      </w:r>
      <w:r w:rsidRPr="000D7597">
        <w:rPr>
          <w:rFonts w:cs="Times New Roman"/>
          <w:szCs w:val="24"/>
          <w:lang w:val="en-US"/>
        </w:rPr>
        <w:t xml:space="preserve"> School of Human Rights Research Series #35. </w:t>
      </w:r>
      <w:r w:rsidRPr="00CC0697">
        <w:rPr>
          <w:rFonts w:cs="Times New Roman"/>
          <w:szCs w:val="24"/>
          <w:lang w:val="nl-NL"/>
        </w:rPr>
        <w:t>Antwerp: Intersentia, 2009, https://dspace.library.uu.nl/bitstream/handle/1874/36620/walker.pdf.</w:t>
      </w:r>
    </w:p>
    <w:p w14:paraId="1552A9E6"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Williams, Matthew L., Pete Burnap, and Luke Sloan. ‘Crime Sensing with Big Data: The Affordances and Limitations of Using Open Source Communications to Estimate Crime Patterns’, </w:t>
      </w:r>
      <w:r w:rsidRPr="000D7597">
        <w:rPr>
          <w:rFonts w:cs="Times New Roman"/>
          <w:i/>
          <w:iCs/>
          <w:szCs w:val="24"/>
          <w:lang w:val="en-US"/>
        </w:rPr>
        <w:t>British Journal of Criminology</w:t>
      </w:r>
      <w:r>
        <w:rPr>
          <w:rFonts w:cs="Times New Roman"/>
          <w:szCs w:val="24"/>
          <w:lang w:val="en-US"/>
        </w:rPr>
        <w:t xml:space="preserve"> (</w:t>
      </w:r>
      <w:r w:rsidRPr="000D7597">
        <w:rPr>
          <w:rFonts w:cs="Times New Roman"/>
          <w:szCs w:val="24"/>
          <w:lang w:val="en-US"/>
        </w:rPr>
        <w:t>31 March 2016</w:t>
      </w:r>
      <w:r>
        <w:rPr>
          <w:rFonts w:cs="Times New Roman"/>
          <w:szCs w:val="24"/>
          <w:lang w:val="en-US"/>
        </w:rPr>
        <w:t>):</w:t>
      </w:r>
      <w:r w:rsidRPr="000D7597">
        <w:rPr>
          <w:rFonts w:cs="Times New Roman"/>
          <w:szCs w:val="24"/>
          <w:lang w:val="en-US"/>
        </w:rPr>
        <w:t xml:space="preserve"> 320–340</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10.1093/bjc/azw031.</w:t>
      </w:r>
    </w:p>
    <w:p w14:paraId="1F4CA05E"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Winston, Ali. ‘Palantir Has Secretly Been Using New Orleans to Test Its Predictive Policing Technology’, </w:t>
      </w:r>
      <w:r w:rsidRPr="00366E1E">
        <w:rPr>
          <w:rFonts w:cs="Times New Roman"/>
          <w:i/>
          <w:szCs w:val="24"/>
          <w:lang w:val="en-US"/>
        </w:rPr>
        <w:t>The Verge</w:t>
      </w:r>
      <w:r w:rsidRPr="000D7597">
        <w:rPr>
          <w:rFonts w:cs="Times New Roman"/>
          <w:szCs w:val="24"/>
          <w:lang w:val="en-US"/>
        </w:rPr>
        <w:t>, 27 February 2018</w:t>
      </w:r>
      <w:r>
        <w:rPr>
          <w:rFonts w:cs="Times New Roman"/>
          <w:szCs w:val="24"/>
          <w:lang w:val="en-US"/>
        </w:rPr>
        <w:t>,</w:t>
      </w:r>
      <w:r w:rsidRPr="000D7597">
        <w:rPr>
          <w:rFonts w:cs="Times New Roman"/>
          <w:szCs w:val="24"/>
          <w:lang w:val="en-US"/>
        </w:rPr>
        <w:t xml:space="preserve"> https://www.theverge.com/2018/2/27/17054740/palantir-predictive-policing-tool-new-orleans-nopd.</w:t>
      </w:r>
    </w:p>
    <w:p w14:paraId="59B0F862"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Wright, David, and Michael Friedewald. ‘Integrating Privacy and Ethical Impact Assessments’, </w:t>
      </w:r>
      <w:r w:rsidRPr="000D7597">
        <w:rPr>
          <w:rFonts w:cs="Times New Roman"/>
          <w:i/>
          <w:iCs/>
          <w:szCs w:val="24"/>
          <w:lang w:val="en-US"/>
        </w:rPr>
        <w:t>Science and Public Policy</w:t>
      </w:r>
      <w:r w:rsidRPr="000D7597">
        <w:rPr>
          <w:rFonts w:cs="Times New Roman"/>
          <w:szCs w:val="24"/>
          <w:lang w:val="en-US"/>
        </w:rPr>
        <w:t xml:space="preserve"> 40.6 (1 December 2013): 755–66</w:t>
      </w:r>
      <w:r>
        <w:rPr>
          <w:rFonts w:cs="Times New Roman"/>
          <w:szCs w:val="24"/>
          <w:lang w:val="en-US"/>
        </w:rPr>
        <w:t>, DOI</w:t>
      </w:r>
      <w:r w:rsidRPr="000D7597">
        <w:rPr>
          <w:rFonts w:cs="Times New Roman"/>
          <w:szCs w:val="24"/>
          <w:lang w:val="en-US"/>
        </w:rPr>
        <w:t>: 10.1093/scipol/sct083.</w:t>
      </w:r>
    </w:p>
    <w:p w14:paraId="7535B751" w14:textId="77777777" w:rsidR="00F665E2" w:rsidRPr="000D7597" w:rsidRDefault="00F665E2" w:rsidP="00F665E2">
      <w:pPr>
        <w:pStyle w:val="Bibliography"/>
        <w:rPr>
          <w:rFonts w:cs="Times New Roman"/>
          <w:szCs w:val="24"/>
          <w:lang w:val="en-US"/>
        </w:rPr>
      </w:pPr>
      <w:r w:rsidRPr="000D7597">
        <w:rPr>
          <w:rFonts w:cs="Times New Roman"/>
          <w:szCs w:val="24"/>
          <w:lang w:val="en-US"/>
        </w:rPr>
        <w:t>Wright, David, and Paul de Hert</w:t>
      </w:r>
      <w:r>
        <w:rPr>
          <w:rFonts w:cs="Times New Roman"/>
          <w:szCs w:val="24"/>
          <w:lang w:val="en-US"/>
        </w:rPr>
        <w:t xml:space="preserve"> </w:t>
      </w:r>
      <w:r w:rsidRPr="000D7597">
        <w:rPr>
          <w:rFonts w:cs="Times New Roman"/>
          <w:szCs w:val="24"/>
          <w:lang w:val="en-US"/>
        </w:rPr>
        <w:t xml:space="preserve">(eds). </w:t>
      </w:r>
      <w:r w:rsidRPr="000D7597">
        <w:rPr>
          <w:rFonts w:cs="Times New Roman"/>
          <w:i/>
          <w:iCs/>
          <w:szCs w:val="24"/>
          <w:lang w:val="en-US"/>
        </w:rPr>
        <w:t>Privacy Impact Assessment</w:t>
      </w:r>
      <w:r>
        <w:rPr>
          <w:rFonts w:cs="Times New Roman"/>
          <w:szCs w:val="24"/>
          <w:lang w:val="en-US"/>
        </w:rPr>
        <w:t xml:space="preserve">, </w:t>
      </w:r>
      <w:r w:rsidRPr="000D7597">
        <w:rPr>
          <w:rFonts w:cs="Times New Roman"/>
          <w:szCs w:val="24"/>
          <w:lang w:val="en-US"/>
        </w:rPr>
        <w:t>Law, Governance and Technology Series 6. Dordrecht: Springer, 2012.</w:t>
      </w:r>
    </w:p>
    <w:p w14:paraId="28C697F6"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Wright, David, and Emilio Mordini. ‘Privacy and Ethical Impact Assessment’, </w:t>
      </w:r>
      <w:r>
        <w:rPr>
          <w:rFonts w:cs="Times New Roman"/>
          <w:szCs w:val="24"/>
          <w:lang w:val="en-US"/>
        </w:rPr>
        <w:t>i</w:t>
      </w:r>
      <w:r w:rsidRPr="000D7597">
        <w:rPr>
          <w:rFonts w:cs="Times New Roman"/>
          <w:szCs w:val="24"/>
          <w:lang w:val="en-US"/>
        </w:rPr>
        <w:t>n David Wright and Paul De Hert (eds)</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Privacy Impact Assessment</w:t>
      </w:r>
      <w:r w:rsidRPr="000D7597">
        <w:rPr>
          <w:rFonts w:cs="Times New Roman"/>
          <w:szCs w:val="24"/>
          <w:lang w:val="en-US"/>
        </w:rPr>
        <w:t>, Dordrecht: Springer Netherlands, 2012, pp. 397–418</w:t>
      </w:r>
      <w:r>
        <w:rPr>
          <w:rFonts w:cs="Times New Roman"/>
          <w:szCs w:val="24"/>
          <w:lang w:val="en-US"/>
        </w:rPr>
        <w:t>, DOI</w:t>
      </w:r>
      <w:r w:rsidRPr="000D7597">
        <w:rPr>
          <w:rFonts w:cs="Times New Roman"/>
          <w:szCs w:val="24"/>
          <w:lang w:val="en-US"/>
        </w:rPr>
        <w:t>: 10.1007/978-94-007-2543-0_19.</w:t>
      </w:r>
    </w:p>
    <w:p w14:paraId="65C083D1"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Yeal, Tamir. ‘Against Collective Rights’, </w:t>
      </w:r>
      <w:r>
        <w:rPr>
          <w:rFonts w:cs="Times New Roman"/>
          <w:szCs w:val="24"/>
          <w:lang w:val="en-US"/>
        </w:rPr>
        <w:t>i</w:t>
      </w:r>
      <w:r w:rsidRPr="000D7597">
        <w:rPr>
          <w:rFonts w:cs="Times New Roman"/>
          <w:szCs w:val="24"/>
          <w:lang w:val="en-US"/>
        </w:rPr>
        <w:t>n Christian Joppke and Steven Lukes (eds)</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Multicultural Questions</w:t>
      </w:r>
      <w:r w:rsidRPr="000D7597">
        <w:rPr>
          <w:rFonts w:cs="Times New Roman"/>
          <w:szCs w:val="24"/>
          <w:lang w:val="en-US"/>
        </w:rPr>
        <w:t>, Oxford: Oxford University Press, 1999, pp. 150–80.</w:t>
      </w:r>
    </w:p>
    <w:p w14:paraId="258DE5C2"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Yordanov, Atanas. ‘Nature and Ideal Steps of the Data Protection Impact Assessment under the General Data Protection Regulation’, </w:t>
      </w:r>
      <w:r w:rsidRPr="000D7597">
        <w:rPr>
          <w:rFonts w:cs="Times New Roman"/>
          <w:i/>
          <w:iCs/>
          <w:szCs w:val="24"/>
          <w:lang w:val="en-US"/>
        </w:rPr>
        <w:t>European Data Protection Law Review</w:t>
      </w:r>
      <w:r w:rsidRPr="000D7597">
        <w:rPr>
          <w:rFonts w:cs="Times New Roman"/>
          <w:szCs w:val="24"/>
          <w:lang w:val="en-US"/>
        </w:rPr>
        <w:t xml:space="preserve"> 3.4 (2017): 486–95</w:t>
      </w:r>
      <w:r>
        <w:rPr>
          <w:rFonts w:cs="Times New Roman"/>
          <w:szCs w:val="24"/>
          <w:lang w:val="en-US"/>
        </w:rPr>
        <w:t>, DOI</w:t>
      </w:r>
      <w:r w:rsidRPr="000D7597">
        <w:rPr>
          <w:rFonts w:cs="Times New Roman"/>
          <w:szCs w:val="24"/>
          <w:lang w:val="en-US"/>
        </w:rPr>
        <w:t>: 10.21552/edpl/2017/4/10.</w:t>
      </w:r>
    </w:p>
    <w:p w14:paraId="4FB40E7B" w14:textId="77777777" w:rsidR="00F665E2" w:rsidRDefault="00F665E2" w:rsidP="00F665E2">
      <w:pPr>
        <w:pStyle w:val="Heading2"/>
      </w:pPr>
    </w:p>
    <w:p w14:paraId="499C57B4" w14:textId="77777777" w:rsidR="00F665E2" w:rsidRPr="000D7597" w:rsidRDefault="00F665E2" w:rsidP="00F665E2">
      <w:pPr>
        <w:rPr>
          <w:rFonts w:ascii="Times New Roman" w:hAnsi="Times New Roman" w:cs="Times New Roman"/>
          <w:sz w:val="24"/>
          <w:szCs w:val="24"/>
          <w:lang w:val="en-US"/>
        </w:rPr>
      </w:pPr>
    </w:p>
    <w:p w14:paraId="0DDD7820" w14:textId="77777777" w:rsidR="00F665E2" w:rsidRPr="006F41AD" w:rsidRDefault="00F665E2" w:rsidP="00F665E2">
      <w:pPr>
        <w:pBdr>
          <w:top w:val="nil"/>
          <w:left w:val="nil"/>
          <w:bottom w:val="nil"/>
          <w:right w:val="nil"/>
          <w:between w:val="nil"/>
        </w:pBdr>
        <w:rPr>
          <w:rFonts w:ascii="Times New Roman" w:eastAsia="Roboto Condensed" w:hAnsi="Times New Roman" w:cs="Times New Roman"/>
          <w:color w:val="000000"/>
          <w:sz w:val="24"/>
          <w:szCs w:val="24"/>
        </w:rPr>
      </w:pPr>
    </w:p>
    <w:p w14:paraId="04560E0A" w14:textId="77777777" w:rsidR="00F665E2" w:rsidRDefault="00F665E2" w:rsidP="00F665E2">
      <w:pPr>
        <w:pBdr>
          <w:top w:val="nil"/>
          <w:left w:val="nil"/>
          <w:bottom w:val="nil"/>
          <w:right w:val="nil"/>
          <w:between w:val="nil"/>
        </w:pBdr>
        <w:rPr>
          <w:rFonts w:ascii="Times New Roman" w:eastAsia="Roboto Condensed" w:hAnsi="Times New Roman" w:cs="Times New Roman"/>
          <w:color w:val="000000"/>
          <w:sz w:val="24"/>
          <w:szCs w:val="24"/>
        </w:rPr>
      </w:pPr>
    </w:p>
    <w:p w14:paraId="746541C3" w14:textId="77777777" w:rsidR="00F665E2" w:rsidRDefault="00F665E2" w:rsidP="00F665E2">
      <w:pPr>
        <w:pBdr>
          <w:top w:val="nil"/>
          <w:left w:val="nil"/>
          <w:bottom w:val="nil"/>
          <w:right w:val="nil"/>
          <w:between w:val="nil"/>
        </w:pBdr>
        <w:rPr>
          <w:rFonts w:ascii="Times New Roman" w:eastAsia="Roboto Condensed" w:hAnsi="Times New Roman" w:cs="Times New Roman"/>
          <w:color w:val="000000"/>
          <w:sz w:val="24"/>
          <w:szCs w:val="24"/>
        </w:rPr>
      </w:pPr>
    </w:p>
    <w:p w14:paraId="4919DFA4" w14:textId="77777777" w:rsidR="002031BE" w:rsidRDefault="00C45E05"/>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6C14B" w14:textId="77777777" w:rsidR="00C45E05" w:rsidRDefault="00C45E05" w:rsidP="00F665E2">
      <w:pPr>
        <w:spacing w:after="0" w:line="240" w:lineRule="auto"/>
      </w:pPr>
      <w:r>
        <w:separator/>
      </w:r>
    </w:p>
  </w:endnote>
  <w:endnote w:type="continuationSeparator" w:id="0">
    <w:p w14:paraId="38CA1544" w14:textId="77777777" w:rsidR="00C45E05" w:rsidRDefault="00C45E05" w:rsidP="00F6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Arial"/>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78346" w14:textId="77777777" w:rsidR="00C45E05" w:rsidRDefault="00C45E05" w:rsidP="00F665E2">
      <w:pPr>
        <w:spacing w:after="0" w:line="240" w:lineRule="auto"/>
      </w:pPr>
      <w:r>
        <w:separator/>
      </w:r>
    </w:p>
  </w:footnote>
  <w:footnote w:type="continuationSeparator" w:id="0">
    <w:p w14:paraId="7A1EA4F1" w14:textId="77777777" w:rsidR="00C45E05" w:rsidRDefault="00C45E05" w:rsidP="00F665E2">
      <w:pPr>
        <w:spacing w:after="0" w:line="240" w:lineRule="auto"/>
      </w:pPr>
      <w:r>
        <w:continuationSeparator/>
      </w:r>
    </w:p>
  </w:footnote>
  <w:footnote w:id="1">
    <w:p w14:paraId="04FA00FD" w14:textId="77777777" w:rsidR="00F665E2" w:rsidRPr="008B2A01" w:rsidRDefault="00F665E2" w:rsidP="00F665E2">
      <w:pPr>
        <w:pStyle w:val="FootnoteText"/>
        <w:rPr>
          <w:rFonts w:cs="Times New Roman"/>
          <w:lang w:val="en-US"/>
        </w:rPr>
      </w:pPr>
      <w:r w:rsidRPr="008B2A01">
        <w:rPr>
          <w:rStyle w:val="FootnoteReference"/>
          <w:rFonts w:cs="Times New Roman"/>
          <w:lang w:val="en-US"/>
        </w:rPr>
        <w:t>*</w:t>
      </w:r>
      <w:r w:rsidRPr="008B2A01">
        <w:rPr>
          <w:rFonts w:cs="Times New Roman"/>
          <w:lang w:val="en-US"/>
        </w:rPr>
        <w:t xml:space="preserve"> Security, Technology, and </w:t>
      </w:r>
      <w:r w:rsidRPr="008B2A01">
        <w:rPr>
          <w:rFonts w:cs="Times New Roman"/>
          <w:i/>
          <w:lang w:val="en-US"/>
        </w:rPr>
        <w:t>e</w:t>
      </w:r>
      <w:r w:rsidRPr="008B2A01">
        <w:rPr>
          <w:rFonts w:cs="Times New Roman"/>
          <w:lang w:val="en-US"/>
        </w:rPr>
        <w:t>-Privacy (ST</w:t>
      </w:r>
      <w:r w:rsidRPr="008B2A01">
        <w:rPr>
          <w:rFonts w:cs="Times New Roman"/>
          <w:i/>
          <w:lang w:val="en-US"/>
        </w:rPr>
        <w:t>e</w:t>
      </w:r>
      <w:r w:rsidRPr="008B2A01">
        <w:rPr>
          <w:rFonts w:cs="Times New Roman"/>
          <w:lang w:val="en-US"/>
        </w:rPr>
        <w:t>P) research group, University of Groningen, the Netherlands.</w:t>
      </w:r>
    </w:p>
  </w:footnote>
  <w:footnote w:id="2">
    <w:p w14:paraId="0604AD0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Regulation (EU) 2016/679 of the European Parliament and of the Council of 27 April 2016 on the protection of natural persons with regard to the processing of personal data and on the free movement of such data, and repealing Directive 95/46/EC (General Data Protection Regulation (GDPR)) [2016] OJ L119/1, point (c) of art 35(3).</w:t>
      </w:r>
    </w:p>
  </w:footnote>
  <w:footnote w:id="3">
    <w:p w14:paraId="7C6F759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‘Strava: A Global Heatmap of Athletic Activity’, </w:t>
      </w:r>
      <w:r w:rsidRPr="008B2A01">
        <w:rPr>
          <w:rFonts w:cs="Times New Roman"/>
          <w:i/>
          <w:iCs/>
          <w:szCs w:val="24"/>
          <w:lang w:val="en-US"/>
        </w:rPr>
        <w:t>The Guardian</w:t>
      </w:r>
      <w:r w:rsidRPr="008B2A01">
        <w:rPr>
          <w:rFonts w:cs="Times New Roman"/>
          <w:szCs w:val="24"/>
          <w:lang w:val="en-US"/>
        </w:rPr>
        <w:t>, 2 November 2017, https://www.theguardian.com/lifeandstyle/the-running-blog/gallery/2017/nov/02/strava-a-global-heatmap-of-athletic-activity.</w:t>
      </w:r>
    </w:p>
  </w:footnote>
  <w:footnote w:id="4">
    <w:p w14:paraId="5AFFA9C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Alex Hern, ‘Fitness Tracking App Strava Gives Away Location of Secret US Army Bases’, </w:t>
      </w:r>
      <w:r w:rsidRPr="008B2A01">
        <w:rPr>
          <w:rFonts w:cs="Times New Roman"/>
          <w:i/>
          <w:iCs/>
          <w:szCs w:val="24"/>
          <w:lang w:val="en-US"/>
        </w:rPr>
        <w:t>The Guardian</w:t>
      </w:r>
      <w:r w:rsidRPr="008B2A01">
        <w:rPr>
          <w:rFonts w:cs="Times New Roman"/>
          <w:szCs w:val="24"/>
          <w:lang w:val="en-US"/>
        </w:rPr>
        <w:t>, 28 January 2018, https://www.theguardian.com/world/2018/jan/28/fitness-tracking-app-gives-away-location-of-secret-us-army-bases.</w:t>
      </w:r>
    </w:p>
  </w:footnote>
  <w:footnote w:id="5">
    <w:p w14:paraId="1D20211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‘Eindhoven Living Lab’, European Network of Living Labs, http://www.openlivinglabs.eu/livinglab/eindhoven-living-lab.</w:t>
      </w:r>
    </w:p>
  </w:footnote>
  <w:footnote w:id="6">
    <w:p w14:paraId="74A13561" w14:textId="77777777" w:rsidR="00F665E2" w:rsidRPr="00CC0697" w:rsidRDefault="00F665E2" w:rsidP="00F665E2">
      <w:pPr>
        <w:pStyle w:val="FootnoteText"/>
        <w:rPr>
          <w:rFonts w:cs="Times New Roman"/>
          <w:lang w:val="nl-NL"/>
        </w:rPr>
      </w:pPr>
      <w:r w:rsidRPr="008B2A01">
        <w:rPr>
          <w:rStyle w:val="FootnoteReference"/>
          <w:rFonts w:cs="Times New Roman"/>
        </w:rPr>
        <w:footnoteRef/>
      </w:r>
      <w:r w:rsidRPr="00CC0697">
        <w:rPr>
          <w:rFonts w:cs="Times New Roman"/>
          <w:lang w:val="nl-NL"/>
        </w:rPr>
        <w:t xml:space="preserve"> </w:t>
      </w:r>
      <w:r w:rsidRPr="00CC0697">
        <w:rPr>
          <w:rFonts w:cs="Times New Roman"/>
          <w:szCs w:val="24"/>
          <w:lang w:val="nl-NL"/>
        </w:rPr>
        <w:t xml:space="preserve">Author’s translation. Peter de Graaf, ‘Een Biertje Met Big Brother Erbij’, </w:t>
      </w:r>
      <w:r w:rsidRPr="00CC0697">
        <w:rPr>
          <w:rFonts w:cs="Times New Roman"/>
          <w:i/>
          <w:iCs/>
          <w:szCs w:val="24"/>
          <w:lang w:val="nl-NL"/>
        </w:rPr>
        <w:t>De Volkskrant</w:t>
      </w:r>
      <w:r w:rsidRPr="00CC0697">
        <w:rPr>
          <w:rFonts w:cs="Times New Roman"/>
          <w:szCs w:val="24"/>
          <w:lang w:val="nl-NL"/>
        </w:rPr>
        <w:t>, 23 November 2015.</w:t>
      </w:r>
    </w:p>
  </w:footnote>
  <w:footnote w:id="7">
    <w:p w14:paraId="6789D0E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Privacy International, ‘Smart Cities: Utopian Vision, Dystopian Reality’, 31 October 2017, https://privacyinternational.org/node/638.</w:t>
      </w:r>
    </w:p>
  </w:footnote>
  <w:footnote w:id="8">
    <w:p w14:paraId="2D1F57A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an interesting example of how the national map of Indonesia/the former Dutch East Indies was used in this way, see Benedict R. Anderson, </w:t>
      </w:r>
      <w:r w:rsidRPr="008B2A01">
        <w:rPr>
          <w:rFonts w:cs="Times New Roman"/>
          <w:i/>
          <w:iCs/>
          <w:szCs w:val="24"/>
          <w:lang w:val="en-US"/>
        </w:rPr>
        <w:t>Imagined Communities: Reflections on the Origin and Spread of Nationalism</w:t>
      </w:r>
      <w:r w:rsidRPr="008B2A01">
        <w:rPr>
          <w:rFonts w:cs="Times New Roman"/>
          <w:szCs w:val="24"/>
          <w:lang w:val="en-US"/>
        </w:rPr>
        <w:t>, 2nd edition, Londo</w:t>
      </w:r>
      <w:r>
        <w:rPr>
          <w:rFonts w:cs="Times New Roman"/>
          <w:szCs w:val="24"/>
          <w:lang w:val="en-US"/>
        </w:rPr>
        <w:t>n/</w:t>
      </w:r>
      <w:r w:rsidRPr="008B2A01">
        <w:rPr>
          <w:rFonts w:cs="Times New Roman"/>
          <w:szCs w:val="24"/>
          <w:lang w:val="en-US"/>
        </w:rPr>
        <w:t xml:space="preserve">New York: Verso, 2006, </w:t>
      </w:r>
      <w:r>
        <w:rPr>
          <w:rFonts w:cs="Times New Roman"/>
          <w:szCs w:val="24"/>
          <w:lang w:val="en-US"/>
        </w:rPr>
        <w:t xml:space="preserve">from </w:t>
      </w:r>
      <w:r w:rsidRPr="008B2A01">
        <w:rPr>
          <w:rFonts w:cs="Times New Roman"/>
          <w:szCs w:val="24"/>
          <w:lang w:val="en-US"/>
        </w:rPr>
        <w:t>p. 175</w:t>
      </w:r>
      <w:r>
        <w:rPr>
          <w:rFonts w:cs="Times New Roman"/>
          <w:szCs w:val="24"/>
          <w:lang w:val="en-US"/>
        </w:rPr>
        <w:t>.</w:t>
      </w:r>
      <w:r w:rsidRPr="008B2A01">
        <w:rPr>
          <w:rFonts w:cs="Times New Roman"/>
          <w:szCs w:val="24"/>
          <w:lang w:val="en-US"/>
        </w:rPr>
        <w:t xml:space="preserve"> For a contrasting example of the same phenomenon, see Jeremy W. Crampton, ‘Bordering on Bosnia’, </w:t>
      </w:r>
      <w:r w:rsidRPr="008B2A01">
        <w:rPr>
          <w:rFonts w:cs="Times New Roman"/>
          <w:i/>
          <w:iCs/>
          <w:szCs w:val="24"/>
          <w:lang w:val="en-US"/>
        </w:rPr>
        <w:t>GeoJournal</w:t>
      </w:r>
      <w:r w:rsidRPr="008B2A01">
        <w:rPr>
          <w:rFonts w:cs="Times New Roman"/>
          <w:szCs w:val="24"/>
          <w:lang w:val="en-US"/>
        </w:rPr>
        <w:t xml:space="preserve"> 39.4 (1996): 353–61.</w:t>
      </w:r>
    </w:p>
  </w:footnote>
  <w:footnote w:id="9">
    <w:p w14:paraId="26735F1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Camilo Arturo Leslie, ‘Territoriality, Map-Mindedness, and the Politics of Place’, </w:t>
      </w:r>
      <w:r w:rsidRPr="008B2A01">
        <w:rPr>
          <w:rFonts w:cs="Times New Roman"/>
          <w:i/>
          <w:iCs/>
          <w:szCs w:val="24"/>
          <w:lang w:val="en-US"/>
        </w:rPr>
        <w:t>Theory and Society</w:t>
      </w:r>
      <w:r w:rsidRPr="008B2A01">
        <w:rPr>
          <w:rFonts w:cs="Times New Roman"/>
          <w:szCs w:val="24"/>
          <w:lang w:val="en-US"/>
        </w:rPr>
        <w:t xml:space="preserve"> 45.2 (April 2016): especially 172-73</w:t>
      </w:r>
      <w:r>
        <w:rPr>
          <w:rFonts w:cs="Times New Roman"/>
          <w:szCs w:val="24"/>
          <w:lang w:val="en-US"/>
        </w:rPr>
        <w:t>,</w:t>
      </w:r>
      <w:r w:rsidRPr="008B2A01">
        <w:rPr>
          <w:rFonts w:cs="Times New Roman"/>
          <w:szCs w:val="24"/>
          <w:lang w:val="en-US"/>
        </w:rPr>
        <w:t xml:space="preserve"> </w:t>
      </w:r>
      <w:r>
        <w:rPr>
          <w:rFonts w:cs="Times New Roman"/>
          <w:szCs w:val="24"/>
          <w:lang w:val="en-US"/>
        </w:rPr>
        <w:t>DOI</w:t>
      </w:r>
      <w:r w:rsidRPr="008B2A01">
        <w:rPr>
          <w:rFonts w:cs="Times New Roman"/>
          <w:szCs w:val="24"/>
          <w:lang w:val="en-US"/>
        </w:rPr>
        <w:t>: 10.1007/s11186-016-9268-9.</w:t>
      </w:r>
    </w:p>
  </w:footnote>
  <w:footnote w:id="10">
    <w:p w14:paraId="3312D32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Henri Lefebvre, </w:t>
      </w:r>
      <w:r w:rsidRPr="008B2A01">
        <w:rPr>
          <w:rFonts w:cs="Times New Roman"/>
          <w:i/>
          <w:iCs/>
          <w:szCs w:val="24"/>
          <w:lang w:val="en-US"/>
        </w:rPr>
        <w:t>The Production of Space</w:t>
      </w:r>
      <w:r w:rsidRPr="008B2A01">
        <w:rPr>
          <w:rFonts w:cs="Times New Roman"/>
          <w:szCs w:val="24"/>
          <w:lang w:val="en-US"/>
        </w:rPr>
        <w:t>, trans. Donald Nicholson-Smith</w:t>
      </w:r>
      <w:r>
        <w:rPr>
          <w:rFonts w:cs="Times New Roman"/>
          <w:szCs w:val="24"/>
          <w:lang w:val="en-US"/>
        </w:rPr>
        <w:t>,</w:t>
      </w:r>
      <w:r w:rsidRPr="008B2A01">
        <w:rPr>
          <w:rFonts w:cs="Times New Roman"/>
          <w:szCs w:val="24"/>
          <w:lang w:val="en-US"/>
        </w:rPr>
        <w:t xml:space="preserve"> Malden</w:t>
      </w:r>
      <w:r>
        <w:rPr>
          <w:rFonts w:cs="Times New Roman"/>
          <w:szCs w:val="24"/>
          <w:lang w:val="en-US"/>
        </w:rPr>
        <w:t xml:space="preserve"> </w:t>
      </w:r>
      <w:r w:rsidRPr="008B2A01">
        <w:rPr>
          <w:rFonts w:cs="Times New Roman"/>
          <w:szCs w:val="24"/>
          <w:lang w:val="en-US"/>
        </w:rPr>
        <w:t>MA: Blackwell, 1991 (1974), p. 38.</w:t>
      </w:r>
    </w:p>
  </w:footnote>
  <w:footnote w:id="11">
    <w:p w14:paraId="743AB5E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Note that from hereon, the term ‘map’ in this article will be used to describe any visual representation of geographic or georeferenced data that claims to describe some spatial territory, i.e. maps in paper atlases as well as interactive Geographic Information Systems such as Waze.</w:t>
      </w:r>
    </w:p>
  </w:footnote>
  <w:footnote w:id="12">
    <w:p w14:paraId="0B60ACF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some examples of differing input arrangements in this context, see Oskar Josef Gstrein and Gerard Jan Ritsema van Eck, ‘Mobile Devices as Stigmatizing Security Sensors: The GDPR and a Future of Crowdsourced “Broken Windows”’, </w:t>
      </w:r>
      <w:r w:rsidRPr="008B2A01">
        <w:rPr>
          <w:rFonts w:cs="Times New Roman"/>
          <w:i/>
          <w:iCs/>
          <w:szCs w:val="24"/>
          <w:lang w:val="en-US"/>
        </w:rPr>
        <w:t>International Data Privacy Law</w:t>
      </w:r>
      <w:r w:rsidRPr="008B2A01">
        <w:rPr>
          <w:rFonts w:cs="Times New Roman"/>
          <w:szCs w:val="24"/>
          <w:lang w:val="en-US"/>
        </w:rPr>
        <w:t xml:space="preserve"> 8.1 (2018): 70–74, </w:t>
      </w:r>
      <w:r>
        <w:rPr>
          <w:rFonts w:cs="Times New Roman"/>
          <w:szCs w:val="24"/>
          <w:lang w:val="en-US"/>
        </w:rPr>
        <w:t>DOI</w:t>
      </w:r>
      <w:r w:rsidRPr="008B2A01">
        <w:rPr>
          <w:rFonts w:cs="Times New Roman"/>
          <w:szCs w:val="24"/>
          <w:lang w:val="en-US"/>
        </w:rPr>
        <w:t>: 10.1093/idpl/ipx024.</w:t>
      </w:r>
    </w:p>
  </w:footnote>
  <w:footnote w:id="13">
    <w:p w14:paraId="16D76D8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OpenStreetMap Foundation, ‘About’, https://www.openstreetmap.org/about.</w:t>
      </w:r>
    </w:p>
  </w:footnote>
  <w:footnote w:id="14">
    <w:p w14:paraId="61925F1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Gavin J. D. Smith, ‘Surveillance, Data and Embodiment: On the Work of Being Watched’, </w:t>
      </w:r>
      <w:r w:rsidRPr="008B2A01">
        <w:rPr>
          <w:rFonts w:cs="Times New Roman"/>
          <w:i/>
          <w:iCs/>
          <w:szCs w:val="24"/>
          <w:lang w:val="en-US"/>
        </w:rPr>
        <w:t>Body &amp; Society</w:t>
      </w:r>
      <w:r w:rsidRPr="008B2A01">
        <w:rPr>
          <w:rFonts w:cs="Times New Roman"/>
          <w:szCs w:val="24"/>
          <w:lang w:val="en-US"/>
        </w:rPr>
        <w:t xml:space="preserve"> 22.2 (2016): 108, doi: 10.1177/1357034X15623622.</w:t>
      </w:r>
    </w:p>
  </w:footnote>
  <w:footnote w:id="15">
    <w:p w14:paraId="4756B6E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szCs w:val="24"/>
          <w:lang w:val="en-US"/>
        </w:rPr>
        <w:t>See e</w:t>
      </w:r>
      <w:r w:rsidRPr="008B2A01">
        <w:rPr>
          <w:rFonts w:cs="Times New Roman"/>
          <w:szCs w:val="24"/>
          <w:lang w:val="en-US"/>
        </w:rPr>
        <w:t xml:space="preserve">.g. Federico Botta, Helen Susannah Moat and Tobias Preis, ‘Quantifying Crowd Size with Mobile Phone and Twitter Data’, </w:t>
      </w:r>
      <w:r w:rsidRPr="008B2A01">
        <w:rPr>
          <w:rFonts w:cs="Times New Roman"/>
          <w:i/>
          <w:iCs/>
          <w:szCs w:val="24"/>
          <w:lang w:val="en-US"/>
        </w:rPr>
        <w:t>Royal Society Open Science</w:t>
      </w:r>
      <w:r w:rsidRPr="008B2A01">
        <w:rPr>
          <w:rFonts w:cs="Times New Roman"/>
          <w:szCs w:val="24"/>
          <w:lang w:val="en-US"/>
        </w:rPr>
        <w:t xml:space="preserve"> 2.5 (May 2015), </w:t>
      </w:r>
      <w:r>
        <w:rPr>
          <w:rFonts w:cs="Times New Roman"/>
          <w:szCs w:val="24"/>
          <w:lang w:val="en-US"/>
        </w:rPr>
        <w:t>DOI</w:t>
      </w:r>
      <w:r w:rsidRPr="008B2A01">
        <w:rPr>
          <w:rFonts w:cs="Times New Roman"/>
          <w:szCs w:val="24"/>
          <w:lang w:val="en-US"/>
        </w:rPr>
        <w:t>: 10.1098/rsos.150162.</w:t>
      </w:r>
    </w:p>
  </w:footnote>
  <w:footnote w:id="16">
    <w:p w14:paraId="64B42CB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‘Connected Citizen’s Programme’, Waze, https://www.waze.com/ccp.</w:t>
      </w:r>
    </w:p>
  </w:footnote>
  <w:footnote w:id="17">
    <w:p w14:paraId="6F25208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Alex Gekker and Sam Hind, ‘“Outsmarting Traffic, </w:t>
      </w:r>
      <w:proofErr w:type="gramStart"/>
      <w:r w:rsidRPr="008B2A01">
        <w:rPr>
          <w:rFonts w:cs="Times New Roman"/>
          <w:szCs w:val="24"/>
          <w:lang w:val="en-US"/>
        </w:rPr>
        <w:t>Together</w:t>
      </w:r>
      <w:proofErr w:type="gramEnd"/>
      <w:r w:rsidRPr="008B2A01">
        <w:rPr>
          <w:rFonts w:cs="Times New Roman"/>
          <w:szCs w:val="24"/>
          <w:lang w:val="en-US"/>
        </w:rPr>
        <w:t xml:space="preserve">”: Driving as Social Navigation’, in Clancy Wilmott et al (eds.) </w:t>
      </w:r>
      <w:r w:rsidRPr="008B2A01">
        <w:rPr>
          <w:rFonts w:cs="Times New Roman"/>
          <w:i/>
          <w:iCs/>
          <w:szCs w:val="24"/>
          <w:lang w:val="en-US"/>
        </w:rPr>
        <w:t>Playful Mapping in the Digital Age</w:t>
      </w:r>
      <w:r w:rsidRPr="008B2A01">
        <w:rPr>
          <w:rFonts w:cs="Times New Roman"/>
          <w:szCs w:val="24"/>
          <w:lang w:val="en-US"/>
        </w:rPr>
        <w:t>. Theory on Demand #21</w:t>
      </w:r>
      <w:r>
        <w:rPr>
          <w:rFonts w:cs="Times New Roman"/>
          <w:szCs w:val="24"/>
          <w:lang w:val="en-US"/>
        </w:rPr>
        <w:t>,</w:t>
      </w:r>
      <w:r w:rsidRPr="008B2A01">
        <w:rPr>
          <w:rFonts w:cs="Times New Roman"/>
          <w:szCs w:val="24"/>
          <w:lang w:val="en-US"/>
        </w:rPr>
        <w:t xml:space="preserve"> Amsterdam: Institute of Network Cultures, 2016, p. 83.</w:t>
      </w:r>
    </w:p>
  </w:footnote>
  <w:footnote w:id="18">
    <w:p w14:paraId="7E5ED5E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Which itself also provides a seamless transition between multiple ‘views’ of the same area, such as ‘map,’ ‘terrain,’ ‘traffic,’ and ‘satellite.’</w:t>
      </w:r>
    </w:p>
  </w:footnote>
  <w:footnote w:id="19">
    <w:p w14:paraId="174000F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Jeremy W. Crampton, ‘Maps as Social Constructions: Power, Communication, and Visualization’, </w:t>
      </w:r>
      <w:r w:rsidRPr="008B2A01">
        <w:rPr>
          <w:rFonts w:cs="Times New Roman"/>
          <w:i/>
          <w:iCs/>
          <w:szCs w:val="24"/>
          <w:lang w:val="en-US"/>
        </w:rPr>
        <w:t>Progress in Human Geography</w:t>
      </w:r>
      <w:r w:rsidRPr="008B2A01">
        <w:rPr>
          <w:rFonts w:cs="Times New Roman"/>
          <w:szCs w:val="24"/>
          <w:lang w:val="en-US"/>
        </w:rPr>
        <w:t xml:space="preserve"> 25.2 (2001).</w:t>
      </w:r>
    </w:p>
  </w:footnote>
  <w:footnote w:id="20">
    <w:p w14:paraId="0D71D0A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Helen Kennedy et al, ‘Engaging with (Big) Data Visualizations: Factors That Affect Engagement and Resulting New Definitions of Effectiveness’, </w:t>
      </w:r>
      <w:r w:rsidRPr="008B2A01">
        <w:rPr>
          <w:rFonts w:cs="Times New Roman"/>
          <w:i/>
          <w:iCs/>
          <w:szCs w:val="24"/>
          <w:lang w:val="en-US"/>
        </w:rPr>
        <w:t>First Monday</w:t>
      </w:r>
      <w:r w:rsidRPr="008B2A01">
        <w:rPr>
          <w:rFonts w:cs="Times New Roman"/>
          <w:szCs w:val="24"/>
          <w:lang w:val="en-US"/>
        </w:rPr>
        <w:t xml:space="preserve"> 21.11 (3 November 2016), </w:t>
      </w:r>
      <w:r>
        <w:rPr>
          <w:rFonts w:cs="Times New Roman"/>
          <w:szCs w:val="24"/>
          <w:lang w:val="en-US"/>
        </w:rPr>
        <w:t>DOI</w:t>
      </w:r>
      <w:r w:rsidRPr="008B2A01">
        <w:rPr>
          <w:rFonts w:cs="Times New Roman"/>
          <w:szCs w:val="24"/>
          <w:lang w:val="en-US"/>
        </w:rPr>
        <w:t>: 10.5210/</w:t>
      </w:r>
      <w:proofErr w:type="gramStart"/>
      <w:r w:rsidRPr="008B2A01">
        <w:rPr>
          <w:rFonts w:cs="Times New Roman"/>
          <w:szCs w:val="24"/>
          <w:lang w:val="en-US"/>
        </w:rPr>
        <w:t>fm.v</w:t>
      </w:r>
      <w:proofErr w:type="gramEnd"/>
      <w:r w:rsidRPr="008B2A01">
        <w:rPr>
          <w:rFonts w:cs="Times New Roman"/>
          <w:szCs w:val="24"/>
          <w:lang w:val="en-US"/>
        </w:rPr>
        <w:t>21i11.6389.</w:t>
      </w:r>
    </w:p>
  </w:footnote>
  <w:footnote w:id="21">
    <w:p w14:paraId="625F91F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Leslie, ‘Territoriality, Map-Mindedness, and the Politics of Place’, 172.</w:t>
      </w:r>
    </w:p>
  </w:footnote>
  <w:footnote w:id="22">
    <w:p w14:paraId="076F295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Louise Amoore, ‘Data Derivatives: On the Emergence of a Security Risk Calculus for Our Times’, </w:t>
      </w:r>
      <w:r w:rsidRPr="008B2A01">
        <w:rPr>
          <w:rFonts w:cs="Times New Roman"/>
          <w:i/>
          <w:iCs/>
          <w:szCs w:val="24"/>
          <w:lang w:val="en-US"/>
        </w:rPr>
        <w:t>Theory, Culture &amp; Society</w:t>
      </w:r>
      <w:r w:rsidRPr="008B2A01">
        <w:rPr>
          <w:rFonts w:cs="Times New Roman"/>
          <w:szCs w:val="24"/>
          <w:lang w:val="en-US"/>
        </w:rPr>
        <w:t xml:space="preserve"> 28.6 (November 2011): pp. 24–43, </w:t>
      </w:r>
      <w:r>
        <w:rPr>
          <w:rFonts w:cs="Times New Roman"/>
          <w:szCs w:val="24"/>
          <w:lang w:val="en-US"/>
        </w:rPr>
        <w:t>DOI</w:t>
      </w:r>
      <w:r w:rsidRPr="008B2A01">
        <w:rPr>
          <w:rFonts w:cs="Times New Roman"/>
          <w:szCs w:val="24"/>
          <w:lang w:val="en-US"/>
        </w:rPr>
        <w:t>: 10.1177/0263276411417430.</w:t>
      </w:r>
    </w:p>
  </w:footnote>
  <w:footnote w:id="23">
    <w:p w14:paraId="4E90BC9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Ali Winston, ‘Palantir Has Secretly Been Using New Orleans to Test Its Predictive Policing Technology’, </w:t>
      </w:r>
      <w:r w:rsidRPr="00AA30DB">
        <w:rPr>
          <w:rFonts w:cs="Times New Roman"/>
          <w:i/>
          <w:szCs w:val="24"/>
          <w:lang w:val="en-US"/>
        </w:rPr>
        <w:t>The Verge</w:t>
      </w:r>
      <w:r w:rsidRPr="008B2A01">
        <w:rPr>
          <w:rFonts w:cs="Times New Roman"/>
          <w:szCs w:val="24"/>
          <w:lang w:val="en-US"/>
        </w:rPr>
        <w:t>, 27 February 2018, https://www.theverge.com/2018/2/27/17054740/palantir-predictive-policing-tool-new-orleans-nopd; David Lyon</w:t>
      </w:r>
      <w:r>
        <w:rPr>
          <w:rFonts w:cs="Times New Roman"/>
          <w:szCs w:val="24"/>
          <w:lang w:val="en-US"/>
        </w:rPr>
        <w:t xml:space="preserve"> </w:t>
      </w:r>
      <w:r w:rsidRPr="008B2A01">
        <w:rPr>
          <w:rFonts w:cs="Times New Roman"/>
          <w:szCs w:val="24"/>
          <w:lang w:val="en-US"/>
        </w:rPr>
        <w:t xml:space="preserve">(ed.), </w:t>
      </w:r>
      <w:r w:rsidRPr="008B2A01">
        <w:rPr>
          <w:rFonts w:cs="Times New Roman"/>
          <w:i/>
          <w:iCs/>
          <w:szCs w:val="24"/>
          <w:lang w:val="en-US"/>
        </w:rPr>
        <w:t>Surveillance as Social Sorting: Privacy, Risk, and Digital Discrimination</w:t>
      </w:r>
      <w:r w:rsidRPr="008B2A01">
        <w:rPr>
          <w:rFonts w:cs="Times New Roman"/>
          <w:szCs w:val="24"/>
          <w:lang w:val="en-US"/>
        </w:rPr>
        <w:t>, London; New York: Routledge, 2003.</w:t>
      </w:r>
    </w:p>
  </w:footnote>
  <w:footnote w:id="24">
    <w:p w14:paraId="219F3D6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Lilian Edwards, ‘Privacy, Security and Data Protection in Smart Cities: A Critical EU Law Perspective’, </w:t>
      </w:r>
      <w:r w:rsidRPr="008B2A01">
        <w:rPr>
          <w:rFonts w:cs="Times New Roman"/>
          <w:i/>
          <w:iCs/>
          <w:szCs w:val="24"/>
          <w:lang w:val="en-US"/>
        </w:rPr>
        <w:t>European Data Protection Law Review</w:t>
      </w:r>
      <w:r w:rsidRPr="008B2A01">
        <w:rPr>
          <w:rFonts w:cs="Times New Roman"/>
          <w:szCs w:val="24"/>
          <w:lang w:val="en-US"/>
        </w:rPr>
        <w:t xml:space="preserve"> 2.1 (2016) </w:t>
      </w:r>
      <w:r>
        <w:rPr>
          <w:rFonts w:cs="Times New Roman"/>
          <w:szCs w:val="24"/>
          <w:lang w:val="en-US"/>
        </w:rPr>
        <w:t>DOI</w:t>
      </w:r>
      <w:r w:rsidRPr="008B2A01">
        <w:rPr>
          <w:rFonts w:cs="Times New Roman"/>
          <w:szCs w:val="24"/>
          <w:lang w:val="en-US"/>
        </w:rPr>
        <w:t>: 10.21552/EDPL/2016/1/6.</w:t>
      </w:r>
    </w:p>
  </w:footnote>
  <w:footnote w:id="25">
    <w:p w14:paraId="7504594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See e.g. Matthew L. Williams, Pete Burnap, and Luke Sloan, ‘Crime Sensing with Big Data: The Affordances and Limitations of Using Open Source Communications to Estimate Crime Patterns’, </w:t>
      </w:r>
      <w:r w:rsidRPr="008B2A01">
        <w:rPr>
          <w:rFonts w:cs="Times New Roman"/>
          <w:i/>
          <w:iCs/>
          <w:szCs w:val="24"/>
          <w:lang w:val="en-US"/>
        </w:rPr>
        <w:t>British Journal of Criminology</w:t>
      </w:r>
      <w:r w:rsidRPr="008B2A01">
        <w:rPr>
          <w:rFonts w:cs="Times New Roman"/>
          <w:szCs w:val="24"/>
          <w:lang w:val="en-US"/>
        </w:rPr>
        <w:t>, 31 March 2016, doi: 10.1093/bjc/azw031, who found that the same Twitter data can reveal juxtaposed phenomena in areas with either high or low levels of crime.</w:t>
      </w:r>
    </w:p>
  </w:footnote>
  <w:footnote w:id="26">
    <w:p w14:paraId="42E130F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Leslie, ‘Territoriality, Map-Mindedness, and the Politics of Place’, 172.</w:t>
      </w:r>
    </w:p>
  </w:footnote>
  <w:footnote w:id="27">
    <w:p w14:paraId="541F39A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Alessandro Mantelero, ‘Personal Data for Decisional Purposes in the Age of Analytics: From an Individual to a Collective Dimension of Data Protection’, </w:t>
      </w:r>
      <w:r w:rsidRPr="008B2A01">
        <w:rPr>
          <w:rFonts w:cs="Times New Roman"/>
          <w:i/>
          <w:iCs/>
          <w:szCs w:val="24"/>
          <w:lang w:val="en-US"/>
        </w:rPr>
        <w:t>Computer Law &amp; Security Review</w:t>
      </w:r>
      <w:r w:rsidRPr="008B2A01">
        <w:rPr>
          <w:rFonts w:cs="Times New Roman"/>
          <w:szCs w:val="24"/>
          <w:lang w:val="en-US"/>
        </w:rPr>
        <w:t xml:space="preserve"> 32.2 (April 2016): 240, doi: 10.1016/j.clsr.2016.01.014.</w:t>
      </w:r>
    </w:p>
  </w:footnote>
  <w:footnote w:id="28">
    <w:p w14:paraId="4CF4C7E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Elizabeth E. Joh, ‘The New Surveillance Discretion: Automated Suspicion, Big Data, and Policing’, </w:t>
      </w:r>
      <w:r w:rsidRPr="008B2A01">
        <w:rPr>
          <w:rFonts w:cs="Times New Roman"/>
          <w:i/>
          <w:iCs/>
          <w:szCs w:val="24"/>
          <w:lang w:val="en-US"/>
        </w:rPr>
        <w:t>Harvard Law &amp; Policy Review</w:t>
      </w:r>
      <w:r w:rsidRPr="008B2A01">
        <w:rPr>
          <w:rFonts w:cs="Times New Roman"/>
          <w:szCs w:val="24"/>
          <w:lang w:val="en-US"/>
        </w:rPr>
        <w:t xml:space="preserve"> 10.1 (2016): 31–32; Note in this context that Andrew D. Selbst recently proposed an impact assessment framework specifically for predictive policing solutions, see ‘Disparate Impact in Big Data Policing’, </w:t>
      </w:r>
      <w:r w:rsidRPr="008B2A01">
        <w:rPr>
          <w:rFonts w:cs="Times New Roman"/>
          <w:i/>
          <w:iCs/>
          <w:szCs w:val="24"/>
          <w:lang w:val="en-US"/>
        </w:rPr>
        <w:t>Georgia Law Review</w:t>
      </w:r>
      <w:r w:rsidRPr="008B2A01">
        <w:rPr>
          <w:rFonts w:cs="Times New Roman"/>
          <w:szCs w:val="24"/>
          <w:lang w:val="en-US"/>
        </w:rPr>
        <w:t xml:space="preserve"> 52.1 (2018).</w:t>
      </w:r>
    </w:p>
  </w:footnote>
  <w:footnote w:id="29">
    <w:p w14:paraId="65A53D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Burak Pak, Alvin Chua, and Andrew Vande Moere, ‘FixMyStreet Brussels: Socio-Demographic Inequality in Crowdsourced Civic Participation’, </w:t>
      </w:r>
      <w:r w:rsidRPr="008B2A01">
        <w:rPr>
          <w:rFonts w:cs="Times New Roman"/>
          <w:i/>
          <w:iCs/>
          <w:szCs w:val="24"/>
          <w:lang w:val="en-US"/>
        </w:rPr>
        <w:t>Journal of Urban Technology</w:t>
      </w:r>
      <w:r w:rsidRPr="008B2A01">
        <w:rPr>
          <w:rFonts w:cs="Times New Roman"/>
          <w:szCs w:val="24"/>
          <w:lang w:val="en-US"/>
        </w:rPr>
        <w:t xml:space="preserve">, 10 April 2017, </w:t>
      </w:r>
      <w:r>
        <w:rPr>
          <w:rFonts w:cs="Times New Roman"/>
          <w:szCs w:val="24"/>
          <w:lang w:val="en-US"/>
        </w:rPr>
        <w:t>DOI</w:t>
      </w:r>
      <w:r w:rsidRPr="008B2A01">
        <w:rPr>
          <w:rFonts w:cs="Times New Roman"/>
          <w:szCs w:val="24"/>
          <w:lang w:val="en-US"/>
        </w:rPr>
        <w:t xml:space="preserve">: 10.1080/10630732.2016.1270047; Monica M. Brannon, ‘Datafied and Divided: Techno-Dimensions of Inequality in American Cities’, </w:t>
      </w:r>
      <w:r w:rsidRPr="008B2A01">
        <w:rPr>
          <w:rFonts w:cs="Times New Roman"/>
          <w:i/>
          <w:iCs/>
          <w:szCs w:val="24"/>
          <w:lang w:val="en-US"/>
        </w:rPr>
        <w:t>City &amp; Community</w:t>
      </w:r>
      <w:r w:rsidRPr="008B2A01">
        <w:rPr>
          <w:rFonts w:cs="Times New Roman"/>
          <w:szCs w:val="24"/>
          <w:lang w:val="en-US"/>
        </w:rPr>
        <w:t xml:space="preserve"> 16.1 (March 2017): 20–24, </w:t>
      </w:r>
      <w:r>
        <w:rPr>
          <w:rFonts w:cs="Times New Roman"/>
          <w:szCs w:val="24"/>
          <w:lang w:val="en-US"/>
        </w:rPr>
        <w:t>DOI</w:t>
      </w:r>
      <w:r w:rsidRPr="008B2A01">
        <w:rPr>
          <w:rFonts w:cs="Times New Roman"/>
          <w:szCs w:val="24"/>
          <w:lang w:val="en-US"/>
        </w:rPr>
        <w:t>: 10.1111/cico.12220.</w:t>
      </w:r>
    </w:p>
  </w:footnote>
  <w:footnote w:id="30">
    <w:p w14:paraId="0F2544D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Selbst, ‘Disparate Impact in Big Data Policing’, 133; Elizabeth E. Joh, ‘Policing by Numbers: Big Data and the Fourth Amendment’, </w:t>
      </w:r>
      <w:r w:rsidRPr="008B2A01">
        <w:rPr>
          <w:rFonts w:cs="Times New Roman"/>
          <w:i/>
          <w:iCs/>
          <w:szCs w:val="24"/>
          <w:lang w:val="en-US"/>
        </w:rPr>
        <w:t>Washington Law Review</w:t>
      </w:r>
      <w:r w:rsidRPr="008B2A01">
        <w:rPr>
          <w:rFonts w:cs="Times New Roman"/>
          <w:szCs w:val="24"/>
          <w:lang w:val="en-US"/>
        </w:rPr>
        <w:t xml:space="preserve"> 89.1 (2014): 58; Delbert S. Elliot, ‘Lies, Damn Lies and Arrest Statistics’ Center for the Study and Prevention of Violence, 1995.</w:t>
      </w:r>
    </w:p>
  </w:footnote>
  <w:footnote w:id="31">
    <w:p w14:paraId="23CFC44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Brent Mittelstadt, ‘From Individual to Group Privacy in Big Data Analytics’, </w:t>
      </w:r>
      <w:r w:rsidRPr="008B2A01">
        <w:rPr>
          <w:rFonts w:cs="Times New Roman"/>
          <w:i/>
          <w:iCs/>
          <w:szCs w:val="24"/>
          <w:lang w:val="en-US"/>
        </w:rPr>
        <w:t>Philosophy &amp; Technology</w:t>
      </w:r>
      <w:r w:rsidRPr="008B2A01">
        <w:rPr>
          <w:rFonts w:cs="Times New Roman"/>
          <w:szCs w:val="24"/>
          <w:lang w:val="en-US"/>
        </w:rPr>
        <w:t xml:space="preserve"> 30.4 (December 2017): 479 and 490, doi: 10.1007/s13347-017-0253-7.</w:t>
      </w:r>
    </w:p>
  </w:footnote>
  <w:footnote w:id="32">
    <w:p w14:paraId="74A8AFA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Joh, ‘The New Surveillance Discretion’, 21; Frank Pasquale, </w:t>
      </w:r>
      <w:r w:rsidRPr="008B2A01">
        <w:rPr>
          <w:rFonts w:cs="Times New Roman"/>
          <w:i/>
          <w:iCs/>
          <w:szCs w:val="24"/>
          <w:lang w:val="en-US"/>
        </w:rPr>
        <w:t>The Black Box Society: The Secret Algorithms That Control Money and Information</w:t>
      </w:r>
      <w:r>
        <w:rPr>
          <w:rFonts w:cs="Times New Roman"/>
          <w:i/>
          <w:iCs/>
          <w:szCs w:val="24"/>
          <w:lang w:val="en-US"/>
        </w:rPr>
        <w:t>,</w:t>
      </w:r>
      <w:r w:rsidRPr="008B2A01">
        <w:rPr>
          <w:rFonts w:cs="Times New Roman"/>
          <w:szCs w:val="24"/>
          <w:lang w:val="en-US"/>
        </w:rPr>
        <w:t xml:space="preserve"> Cambridge: Harvard University Press, 2015.</w:t>
      </w:r>
    </w:p>
  </w:footnote>
  <w:footnote w:id="33">
    <w:p w14:paraId="066782C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Mantelero, ‘Personal Data for Decisional Purposes in the Age of Analytics’, 248; Bryce Goodman, ‘Discrimination, Data Sanitisation and Auditing in the European Union’s General Data Protection Regulation’, </w:t>
      </w:r>
      <w:r w:rsidRPr="008B2A01">
        <w:rPr>
          <w:rFonts w:cs="Times New Roman"/>
          <w:i/>
          <w:iCs/>
          <w:szCs w:val="24"/>
          <w:lang w:val="en-US"/>
        </w:rPr>
        <w:t>European Data Protection Law Review</w:t>
      </w:r>
      <w:r w:rsidRPr="008B2A01">
        <w:rPr>
          <w:rFonts w:cs="Times New Roman"/>
          <w:szCs w:val="24"/>
          <w:lang w:val="en-US"/>
        </w:rPr>
        <w:t xml:space="preserve"> 2.4 (2016): 502,</w:t>
      </w:r>
      <w:r>
        <w:rPr>
          <w:rFonts w:cs="Times New Roman"/>
          <w:szCs w:val="24"/>
          <w:lang w:val="en-US"/>
        </w:rPr>
        <w:t xml:space="preserve"> DOI</w:t>
      </w:r>
      <w:r w:rsidRPr="008B2A01">
        <w:rPr>
          <w:rFonts w:cs="Times New Roman"/>
          <w:szCs w:val="24"/>
          <w:lang w:val="en-US"/>
        </w:rPr>
        <w:t>: 10.21552/EDPL/2016/4/8 on the GDPR, and specifically art 9 juncto art 22(4).</w:t>
      </w:r>
    </w:p>
  </w:footnote>
  <w:footnote w:id="34">
    <w:p w14:paraId="4C11799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Mittelstadt, ‘From Individual to Group Privacy in Big Data Analytics’, 487–88; Alessandro Mantelero, ‘AI and Big Data: A Blueprint for a Human Rights, Social and Ethical Impact Assessment’, </w:t>
      </w:r>
      <w:r w:rsidRPr="008B2A01">
        <w:rPr>
          <w:rFonts w:cs="Times New Roman"/>
          <w:i/>
          <w:iCs/>
          <w:szCs w:val="24"/>
          <w:lang w:val="en-US"/>
        </w:rPr>
        <w:t>Computer Law &amp; Security Review</w:t>
      </w:r>
      <w:r w:rsidRPr="008B2A01">
        <w:rPr>
          <w:rFonts w:cs="Times New Roman"/>
          <w:szCs w:val="24"/>
          <w:lang w:val="en-US"/>
        </w:rPr>
        <w:t xml:space="preserve"> 34.4 (August 2018): 764, doi: 10.1016/j.clsr.2018.05.017.</w:t>
      </w:r>
    </w:p>
  </w:footnote>
  <w:footnote w:id="35">
    <w:p w14:paraId="5572798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(a) of art 6(1).</w:t>
      </w:r>
    </w:p>
  </w:footnote>
  <w:footnote w:id="36">
    <w:p w14:paraId="23AC606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15.</w:t>
      </w:r>
    </w:p>
  </w:footnote>
  <w:footnote w:id="37">
    <w:p w14:paraId="26FAD94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9.</w:t>
      </w:r>
    </w:p>
  </w:footnote>
  <w:footnote w:id="38">
    <w:p w14:paraId="006F84A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Drew Robb, ‘The Global Heatmap, Now 6x Hotter’, </w:t>
      </w:r>
      <w:r w:rsidRPr="00AA30DB">
        <w:rPr>
          <w:rFonts w:cs="Times New Roman"/>
          <w:i/>
          <w:szCs w:val="24"/>
          <w:lang w:val="en-US"/>
        </w:rPr>
        <w:t>Medium</w:t>
      </w:r>
      <w:r w:rsidRPr="008B2A01">
        <w:rPr>
          <w:rFonts w:cs="Times New Roman"/>
          <w:szCs w:val="24"/>
          <w:lang w:val="en-US"/>
        </w:rPr>
        <w:t>, 1 November 2017, https://medium.com/strava-engineering/the-global-heatmap-now-6x-hotter-23fc01d301de.</w:t>
      </w:r>
    </w:p>
  </w:footnote>
  <w:footnote w:id="39">
    <w:p w14:paraId="5140525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szCs w:val="24"/>
          <w:lang w:val="en-US"/>
        </w:rPr>
        <w:t>See e</w:t>
      </w:r>
      <w:r w:rsidRPr="008B2A01">
        <w:rPr>
          <w:rFonts w:cs="Times New Roman"/>
          <w:szCs w:val="24"/>
          <w:lang w:val="en-US"/>
        </w:rPr>
        <w:t xml:space="preserve">.g. Mantelero, ‘Personal Data for Decisional Purposes in the Age of Analytics’, 241; Mittelstadt, ‘From Individual to Group Privacy in Big Data Analytics’; Linnet Taylor, Luciano Floridi, and Bart van der Sloot, (eds.), </w:t>
      </w:r>
      <w:r w:rsidRPr="008B2A01">
        <w:rPr>
          <w:rFonts w:cs="Times New Roman"/>
          <w:i/>
          <w:iCs/>
          <w:szCs w:val="24"/>
          <w:lang w:val="en-US"/>
        </w:rPr>
        <w:t>Group Privacy: New Challenges of Data Technologie</w:t>
      </w:r>
      <w:r>
        <w:rPr>
          <w:rFonts w:cs="Times New Roman"/>
          <w:szCs w:val="24"/>
          <w:lang w:val="en-US"/>
        </w:rPr>
        <w:t>s,</w:t>
      </w:r>
      <w:r w:rsidRPr="008B2A01">
        <w:rPr>
          <w:rFonts w:cs="Times New Roman"/>
          <w:szCs w:val="24"/>
          <w:lang w:val="en-US"/>
        </w:rPr>
        <w:t xml:space="preserve"> Philosophical Studies Series #126. Berlin: Springer, 2017, p. 2.</w:t>
      </w:r>
    </w:p>
  </w:footnote>
  <w:footnote w:id="40">
    <w:p w14:paraId="2BA4518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Peter Jones, ‘Group Rights’, </w:t>
      </w:r>
      <w:r w:rsidRPr="00AA30DB">
        <w:rPr>
          <w:rFonts w:cs="Times New Roman"/>
          <w:i/>
          <w:szCs w:val="24"/>
          <w:lang w:val="en-US"/>
        </w:rPr>
        <w:t>Stanford Encyclopedia of Philosophy</w:t>
      </w:r>
      <w:r w:rsidRPr="008B2A01">
        <w:rPr>
          <w:rFonts w:cs="Times New Roman"/>
          <w:szCs w:val="24"/>
          <w:lang w:val="en-US"/>
        </w:rPr>
        <w:t>, 29 March 2016, http://plato.stanford.edu/archives/sum2016/entries/rights-group/.</w:t>
      </w:r>
    </w:p>
  </w:footnote>
  <w:footnote w:id="41">
    <w:p w14:paraId="59D8F05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Bart van der Sloot, ‘Do Groups Have a Right to Protect Their Group Interest in Privacy and Should They? Peeling the Onion of Rights and Interests Protected under Article 8 ECHR’, in Linnet Taylor, Luciano Floridi, and Bart van der Sloot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Group Privacy: New Challenges of Data Technologies</w:t>
      </w:r>
      <w:r>
        <w:rPr>
          <w:rFonts w:cs="Times New Roman"/>
          <w:iCs/>
          <w:szCs w:val="24"/>
          <w:lang w:val="en-US"/>
        </w:rPr>
        <w:t>,</w:t>
      </w:r>
      <w:r w:rsidRPr="008B2A01">
        <w:rPr>
          <w:rFonts w:cs="Times New Roman"/>
          <w:szCs w:val="24"/>
          <w:lang w:val="en-US"/>
        </w:rPr>
        <w:t xml:space="preserve"> Philosophical Studies Series 126. Berlin: Springer, 2017, pp. 197–224, </w:t>
      </w:r>
      <w:r>
        <w:rPr>
          <w:rFonts w:cs="Times New Roman"/>
          <w:szCs w:val="24"/>
          <w:lang w:val="en-US"/>
        </w:rPr>
        <w:t>DOI</w:t>
      </w:r>
      <w:r w:rsidRPr="008B2A01">
        <w:rPr>
          <w:rFonts w:cs="Times New Roman"/>
          <w:szCs w:val="24"/>
          <w:lang w:val="en-US"/>
        </w:rPr>
        <w:t xml:space="preserve">: 10.1007/978-3-319-46608-8_9; Lilian Edwards and Michael Veale, ‘Enslaving the Algorithm: From a “Right to an Explanation” to a “Right to Better Decisions”?’, </w:t>
      </w:r>
      <w:r w:rsidRPr="008B2A01">
        <w:rPr>
          <w:rFonts w:cs="Times New Roman"/>
          <w:i/>
          <w:iCs/>
          <w:szCs w:val="24"/>
          <w:lang w:val="en-US"/>
        </w:rPr>
        <w:t>IEEE Security &amp; Privacy</w:t>
      </w:r>
      <w:r w:rsidRPr="008B2A01">
        <w:rPr>
          <w:rFonts w:cs="Times New Roman"/>
          <w:szCs w:val="24"/>
          <w:lang w:val="en-US"/>
        </w:rPr>
        <w:t xml:space="preserve"> 16.3 (May 2018): 47, </w:t>
      </w:r>
      <w:r>
        <w:rPr>
          <w:rFonts w:cs="Times New Roman"/>
          <w:szCs w:val="24"/>
          <w:lang w:val="en-US"/>
        </w:rPr>
        <w:t>DOI</w:t>
      </w:r>
      <w:r w:rsidRPr="008B2A01">
        <w:rPr>
          <w:rFonts w:cs="Times New Roman"/>
          <w:szCs w:val="24"/>
          <w:lang w:val="en-US"/>
        </w:rPr>
        <w:t>: 10.1109/MSP.2018.2701152.</w:t>
      </w:r>
      <w:r w:rsidRPr="008B2A01">
        <w:rPr>
          <w:rFonts w:cs="Times New Roman"/>
          <w:lang w:val="en-US"/>
        </w:rPr>
        <w:t xml:space="preserve"> Note that the existence of group (or collective) rights in general has long been a topic of debate within legal and political philosophy scholarship. There is not sufficient room within the current chapter to provide an overview that would do justice to this debate, but the interested reader may, for both pro and contra perspectives, refer to inter alia </w:t>
      </w:r>
      <w:r w:rsidRPr="008B2A01">
        <w:rPr>
          <w:rFonts w:cs="Times New Roman"/>
          <w:szCs w:val="24"/>
          <w:lang w:val="en-US"/>
        </w:rPr>
        <w:t xml:space="preserve">Peter Jones, ‘Human Rights, Group Rights, and Peoples’ Rights’, </w:t>
      </w:r>
      <w:r w:rsidRPr="008B2A01">
        <w:rPr>
          <w:rFonts w:cs="Times New Roman"/>
          <w:i/>
          <w:iCs/>
          <w:szCs w:val="24"/>
          <w:lang w:val="en-US"/>
        </w:rPr>
        <w:t>Human Rights Quarterly</w:t>
      </w:r>
      <w:r w:rsidRPr="008B2A01">
        <w:rPr>
          <w:rFonts w:cs="Times New Roman"/>
          <w:szCs w:val="24"/>
          <w:lang w:val="en-US"/>
        </w:rPr>
        <w:t xml:space="preserve"> 21.2 (1999): 80–107; Miodrag A. Jovanović, </w:t>
      </w:r>
      <w:r w:rsidRPr="008B2A01">
        <w:rPr>
          <w:rFonts w:cs="Times New Roman"/>
          <w:i/>
          <w:iCs/>
          <w:szCs w:val="24"/>
          <w:lang w:val="en-US"/>
        </w:rPr>
        <w:t>Collective Rights: A Legal Theory</w:t>
      </w:r>
      <w:r>
        <w:rPr>
          <w:rFonts w:cs="Times New Roman"/>
          <w:i/>
          <w:iCs/>
          <w:szCs w:val="24"/>
          <w:lang w:val="en-US"/>
        </w:rPr>
        <w:t>,</w:t>
      </w:r>
      <w:r w:rsidRPr="008B2A01">
        <w:rPr>
          <w:rFonts w:cs="Times New Roman"/>
          <w:szCs w:val="24"/>
          <w:lang w:val="en-US"/>
        </w:rPr>
        <w:t xml:space="preserve"> Cambridge ; New York: Cambridge University Press, 2012; Tamir Yeal, ‘Against Collective Rights’, in Christian Joppke and Steven Lukes </w:t>
      </w:r>
      <w:r>
        <w:rPr>
          <w:rFonts w:cs="Times New Roman"/>
          <w:szCs w:val="24"/>
          <w:lang w:val="en-US"/>
        </w:rPr>
        <w:t xml:space="preserve">(eds), </w:t>
      </w:r>
      <w:r w:rsidRPr="008B2A01">
        <w:rPr>
          <w:rFonts w:cs="Times New Roman"/>
          <w:i/>
          <w:iCs/>
          <w:szCs w:val="24"/>
          <w:lang w:val="en-US"/>
        </w:rPr>
        <w:t>Multicultural Questions</w:t>
      </w:r>
      <w:r w:rsidRPr="008B2A01">
        <w:rPr>
          <w:rFonts w:cs="Times New Roman"/>
          <w:szCs w:val="24"/>
          <w:lang w:val="en-US"/>
        </w:rPr>
        <w:t xml:space="preserve">, Oxford: Oxford University Press, 1999, pp. 150–80; David Miller, ‘Group Rights, Human Rights and Citizenship’, </w:t>
      </w:r>
      <w:r w:rsidRPr="008B2A01">
        <w:rPr>
          <w:rFonts w:cs="Times New Roman"/>
          <w:i/>
          <w:iCs/>
          <w:szCs w:val="24"/>
          <w:lang w:val="en-US"/>
        </w:rPr>
        <w:t>European Journal of Philosophy</w:t>
      </w:r>
      <w:r w:rsidRPr="008B2A01">
        <w:rPr>
          <w:rFonts w:cs="Times New Roman"/>
          <w:szCs w:val="24"/>
          <w:lang w:val="en-US"/>
        </w:rPr>
        <w:t xml:space="preserve"> 10.2 (August 2002), </w:t>
      </w:r>
      <w:r>
        <w:rPr>
          <w:rFonts w:cs="Times New Roman"/>
          <w:szCs w:val="24"/>
          <w:lang w:val="en-US"/>
        </w:rPr>
        <w:t>DOI</w:t>
      </w:r>
      <w:r w:rsidRPr="008B2A01">
        <w:rPr>
          <w:rFonts w:cs="Times New Roman"/>
          <w:szCs w:val="24"/>
          <w:lang w:val="en-US"/>
        </w:rPr>
        <w:t xml:space="preserve">: 10.1111/1468-0378.00155; Neus Torbisco Casals (ed.), </w:t>
      </w:r>
      <w:r w:rsidRPr="008B2A01">
        <w:rPr>
          <w:rFonts w:cs="Times New Roman"/>
          <w:i/>
          <w:iCs/>
          <w:szCs w:val="24"/>
          <w:lang w:val="en-US"/>
        </w:rPr>
        <w:t>Group Rights as Human Rights: A Liberal Approach to Multiculturalism</w:t>
      </w:r>
      <w:r>
        <w:rPr>
          <w:rFonts w:cs="Times New Roman"/>
          <w:szCs w:val="24"/>
          <w:lang w:val="en-US"/>
        </w:rPr>
        <w:t>,</w:t>
      </w:r>
      <w:r w:rsidRPr="008B2A01">
        <w:rPr>
          <w:rFonts w:cs="Times New Roman"/>
          <w:szCs w:val="24"/>
          <w:lang w:val="en-US"/>
        </w:rPr>
        <w:t xml:space="preserve"> Law and Philosophy Library #75. Dordrecht: Springer, 2006, </w:t>
      </w:r>
      <w:r>
        <w:rPr>
          <w:rFonts w:cs="Times New Roman"/>
          <w:szCs w:val="24"/>
          <w:lang w:val="en-US"/>
        </w:rPr>
        <w:t>DOI</w:t>
      </w:r>
      <w:r w:rsidRPr="008B2A01">
        <w:rPr>
          <w:rFonts w:cs="Times New Roman"/>
          <w:szCs w:val="24"/>
          <w:lang w:val="en-US"/>
        </w:rPr>
        <w:t>: 10.1007/1-4020-4209-4.</w:t>
      </w:r>
    </w:p>
  </w:footnote>
  <w:footnote w:id="42">
    <w:p w14:paraId="72888E2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Taylor, Floridi, and van der Sloot, </w:t>
      </w:r>
      <w:r w:rsidRPr="008B2A01">
        <w:rPr>
          <w:rFonts w:cs="Times New Roman"/>
          <w:i/>
          <w:iCs/>
          <w:szCs w:val="24"/>
          <w:lang w:val="en-US"/>
        </w:rPr>
        <w:t>Group Privacy</w:t>
      </w:r>
      <w:r w:rsidRPr="008B2A01">
        <w:rPr>
          <w:rFonts w:cs="Times New Roman"/>
          <w:szCs w:val="24"/>
          <w:lang w:val="en-US"/>
        </w:rPr>
        <w:t>, p. 233.</w:t>
      </w:r>
    </w:p>
  </w:footnote>
  <w:footnote w:id="43">
    <w:p w14:paraId="7BC2142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Although they already existed in a primordial form in the 1970s, their development really took flight after the mid-1990s. Roger Clarke, ‘Privacy Impact Assessment: Its Origins and Development’, </w:t>
      </w:r>
      <w:r w:rsidRPr="008B2A01">
        <w:rPr>
          <w:rFonts w:cs="Times New Roman"/>
          <w:i/>
          <w:iCs/>
          <w:szCs w:val="24"/>
          <w:lang w:val="en-US"/>
        </w:rPr>
        <w:t>Computer Law &amp; Security Review</w:t>
      </w:r>
      <w:r w:rsidRPr="008B2A01">
        <w:rPr>
          <w:rFonts w:cs="Times New Roman"/>
          <w:szCs w:val="24"/>
          <w:lang w:val="en-US"/>
        </w:rPr>
        <w:t xml:space="preserve"> 25.2 (January 2009), </w:t>
      </w:r>
      <w:r>
        <w:rPr>
          <w:rFonts w:cs="Times New Roman"/>
          <w:szCs w:val="24"/>
          <w:lang w:val="en-US"/>
        </w:rPr>
        <w:t>DOI</w:t>
      </w:r>
      <w:r w:rsidRPr="008B2A01">
        <w:rPr>
          <w:rFonts w:cs="Times New Roman"/>
          <w:szCs w:val="24"/>
          <w:lang w:val="en-US"/>
        </w:rPr>
        <w:t>: 10.1016/j.clsr.2009.02.002.</w:t>
      </w:r>
    </w:p>
  </w:footnote>
  <w:footnote w:id="44">
    <w:p w14:paraId="5F8C1FF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99(2).</w:t>
      </w:r>
    </w:p>
  </w:footnote>
  <w:footnote w:id="45">
    <w:p w14:paraId="1DB3340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European Commission, ‘Joint Statement on the Final Adoption of the New EU Rules for Personal Data Protection’, 14 April 2016, http://europa.eu/rapid/press-release_STATEMENT-16-1403_en.htm.</w:t>
      </w:r>
    </w:p>
  </w:footnote>
  <w:footnote w:id="46">
    <w:p w14:paraId="7EE0B1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(e) of art 5(1).</w:t>
      </w:r>
    </w:p>
  </w:footnote>
  <w:footnote w:id="47">
    <w:p w14:paraId="0CF675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i</w:t>
      </w:r>
      <w:r w:rsidRPr="008B2A01">
        <w:rPr>
          <w:rFonts w:cs="Times New Roman"/>
          <w:lang w:val="en-US"/>
        </w:rPr>
        <w:t>bid, art 40.</w:t>
      </w:r>
    </w:p>
  </w:footnote>
  <w:footnote w:id="48">
    <w:p w14:paraId="65F6633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i</w:t>
      </w:r>
      <w:r w:rsidRPr="008B2A01">
        <w:rPr>
          <w:rFonts w:cs="Times New Roman"/>
          <w:lang w:val="en-US"/>
        </w:rPr>
        <w:t>bid, art 42.</w:t>
      </w:r>
    </w:p>
  </w:footnote>
  <w:footnote w:id="49">
    <w:p w14:paraId="384A3FB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25.</w:t>
      </w:r>
    </w:p>
  </w:footnote>
  <w:footnote w:id="50">
    <w:p w14:paraId="137AB1B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32.</w:t>
      </w:r>
    </w:p>
  </w:footnote>
  <w:footnote w:id="51">
    <w:p w14:paraId="65014ED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Arvind Narayanan, Joanna Huey and Edward W. Felten, ‘A Precautionary Approach to Big Data Privacy’, in Serge Gutwirth, Ronald Leenes,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Data Protection on the Move: Current Developments in ICT and Privacy/Data Protection</w:t>
      </w:r>
      <w:r>
        <w:rPr>
          <w:rFonts w:cs="Times New Roman"/>
          <w:iCs/>
          <w:szCs w:val="24"/>
          <w:lang w:val="en-US"/>
        </w:rPr>
        <w:t>,</w:t>
      </w:r>
      <w:r w:rsidRPr="008B2A01">
        <w:rPr>
          <w:rFonts w:cs="Times New Roman"/>
          <w:szCs w:val="24"/>
          <w:lang w:val="en-US"/>
        </w:rPr>
        <w:t xml:space="preserve"> Issues in Privacy and Data Protection #24. Dordrecht: Springer Netherlands, 2016, p. 358, </w:t>
      </w:r>
      <w:r>
        <w:rPr>
          <w:rFonts w:cs="Times New Roman"/>
          <w:szCs w:val="24"/>
          <w:lang w:val="en-US"/>
        </w:rPr>
        <w:t>DOI</w:t>
      </w:r>
      <w:r w:rsidRPr="008B2A01">
        <w:rPr>
          <w:rFonts w:cs="Times New Roman"/>
          <w:szCs w:val="24"/>
          <w:lang w:val="en-US"/>
        </w:rPr>
        <w:t>: 10.1007/978-94-017-7376-8_13.</w:t>
      </w:r>
    </w:p>
  </w:footnote>
  <w:footnote w:id="52">
    <w:p w14:paraId="7E3B5EC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35(1).</w:t>
      </w:r>
    </w:p>
  </w:footnote>
  <w:footnote w:id="53">
    <w:p w14:paraId="46AF169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Data Protection Impact Assessment (DPIA) and Determining Whether Processing Is “Likely to Result in a High Risk” for the Purposes of Regulation 2016/679 (WP 248 Rev.01)’, 4 October 2017, 8, ec.europa.eu/newsroom/document.cfm?doc_id=47711.</w:t>
      </w:r>
    </w:p>
  </w:footnote>
  <w:footnote w:id="54">
    <w:p w14:paraId="460257B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ibid., 31. Note that the Article 29 Working Party has been renamed the European Data Protection Board (EDPB) when the GDPR came into force. GDPR, art 68–76.</w:t>
      </w:r>
    </w:p>
  </w:footnote>
  <w:footnote w:id="55">
    <w:p w14:paraId="62EC4F3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annex 1.</w:t>
      </w:r>
    </w:p>
  </w:footnote>
  <w:footnote w:id="56">
    <w:p w14:paraId="1EA8BAB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annex 2.</w:t>
      </w:r>
    </w:p>
  </w:footnote>
  <w:footnote w:id="57">
    <w:p w14:paraId="4A10CDD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Although not completely impossible if one for instance invites a crowd of people to their private castle or estate.</w:t>
      </w:r>
    </w:p>
  </w:footnote>
  <w:footnote w:id="58">
    <w:p w14:paraId="01B64BA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(c) of art 35(3).</w:t>
      </w:r>
    </w:p>
  </w:footnote>
  <w:footnote w:id="59">
    <w:p w14:paraId="49816AF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9.</w:t>
      </w:r>
    </w:p>
  </w:footnote>
  <w:footnote w:id="60">
    <w:p w14:paraId="04F12DA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See, among many others, e.g. the interactive software released by the French Data Protection Authority, the Commission Nationale de l’Informatique et des Libertés, ‘The Open Source PIA Software Helps to Carry out Data Protection Impact Assessment’, CNIL, 31 May 2018, https://www.cnil.fr/en/open-source-pia-software-helps-carry-out-data-protection-impact-assesment; Commission Nationale de l’Informatique et des Libertés, ‘Privacy Impact Assessment (PIA) Templates’, 2018, https://www.cnil.fr/sites/default/files/atoms/files/cnil-pia-2-en-templates.pdf; Information Commissioner’s office, ‘Sample DPIA Template’, 2018, https://ico.org.uk/media/for-organisations/documents/2258857/dpia-template-v1.docx; The ‘Guidelines on DPIA’ by the Article 29 Working Party could be read in this light; Mantelero, ‘AI and Big Data’; See also various contributions to the edited volume by David Wright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Privacy Impact Assessment</w:t>
      </w:r>
      <w:r>
        <w:rPr>
          <w:rFonts w:cs="Times New Roman"/>
          <w:szCs w:val="24"/>
          <w:lang w:val="en-US"/>
        </w:rPr>
        <w:t>,</w:t>
      </w:r>
      <w:r w:rsidRPr="008B2A01">
        <w:rPr>
          <w:rFonts w:cs="Times New Roman"/>
          <w:szCs w:val="24"/>
          <w:lang w:val="en-US"/>
        </w:rPr>
        <w:t xml:space="preserve"> Law, Governance and Technology Series #6. Dordrecht: Springer, 2012.</w:t>
      </w:r>
    </w:p>
  </w:footnote>
  <w:footnote w:id="61">
    <w:p w14:paraId="3371E2D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 xml:space="preserve">See </w:t>
      </w:r>
      <w:r>
        <w:rPr>
          <w:rFonts w:cs="Times New Roman"/>
          <w:szCs w:val="24"/>
          <w:lang w:val="en-US"/>
        </w:rPr>
        <w:t>e</w:t>
      </w:r>
      <w:r w:rsidRPr="008B2A01">
        <w:rPr>
          <w:rFonts w:cs="Times New Roman"/>
          <w:szCs w:val="24"/>
          <w:lang w:val="en-US"/>
        </w:rPr>
        <w:t xml:space="preserve">.g. Nora Götzmann et al, ‘Human Rights Impact Assessment Guidance and Toolbox (Road-Testing Version)’ The Danish Institute for Human Rights, 2016, https://www.humanrights.dk/sites/humanrights.dk/files/media/dokumenter/business/hria_toolbox/hria_guidance_and_toolbox_final_may22016.pdf_223795_1_1.pdf; David Wright and Michael Friedewald, ‘Integrating Privacy and Ethical Impact Assessments’, </w:t>
      </w:r>
      <w:r w:rsidRPr="008B2A01">
        <w:rPr>
          <w:rFonts w:cs="Times New Roman"/>
          <w:i/>
          <w:iCs/>
          <w:szCs w:val="24"/>
          <w:lang w:val="en-US"/>
        </w:rPr>
        <w:t>Science and Public Policy</w:t>
      </w:r>
      <w:r w:rsidRPr="008B2A01">
        <w:rPr>
          <w:rFonts w:cs="Times New Roman"/>
          <w:szCs w:val="24"/>
          <w:lang w:val="en-US"/>
        </w:rPr>
        <w:t xml:space="preserve"> 40.6 (1 December 2013), </w:t>
      </w:r>
      <w:r>
        <w:rPr>
          <w:rFonts w:cs="Times New Roman"/>
          <w:szCs w:val="24"/>
          <w:lang w:val="en-US"/>
        </w:rPr>
        <w:t>DOI</w:t>
      </w:r>
      <w:r w:rsidRPr="008B2A01">
        <w:rPr>
          <w:rFonts w:cs="Times New Roman"/>
          <w:szCs w:val="24"/>
          <w:lang w:val="en-US"/>
        </w:rPr>
        <w:t>: 10.1093/scipol/sct083; David Wright and Emilio Mordini, ‘Privacy and Ethical Impact Assessment’, in David Wright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 xml:space="preserve">Privacy Impact Assessment, </w:t>
      </w:r>
      <w:r w:rsidRPr="008B2A01">
        <w:rPr>
          <w:rFonts w:cs="Times New Roman"/>
          <w:szCs w:val="24"/>
          <w:lang w:val="en-US"/>
        </w:rPr>
        <w:t xml:space="preserve">Dordrecht: Springer Netherlands, 2012, pp. 397–418, </w:t>
      </w:r>
      <w:r>
        <w:rPr>
          <w:rFonts w:cs="Times New Roman"/>
          <w:szCs w:val="24"/>
          <w:lang w:val="en-US"/>
        </w:rPr>
        <w:t>DOI</w:t>
      </w:r>
      <w:r w:rsidRPr="008B2A01">
        <w:rPr>
          <w:rFonts w:cs="Times New Roman"/>
          <w:szCs w:val="24"/>
          <w:lang w:val="en-US"/>
        </w:rPr>
        <w:t xml:space="preserve">: 10.1007/978-94-007-2543-0_19; Barbara Skorupinski and Konrad Ott, ‘Technology Assessment and Ethics: Determining a Relationship in Theory and Practice’, </w:t>
      </w:r>
      <w:r w:rsidRPr="008B2A01">
        <w:rPr>
          <w:rFonts w:cs="Times New Roman"/>
          <w:i/>
          <w:iCs/>
          <w:szCs w:val="24"/>
          <w:lang w:val="en-US"/>
        </w:rPr>
        <w:t>Poiesis &amp; Praxis</w:t>
      </w:r>
      <w:r w:rsidRPr="008B2A01">
        <w:rPr>
          <w:rFonts w:cs="Times New Roman"/>
          <w:szCs w:val="24"/>
          <w:lang w:val="en-US"/>
        </w:rPr>
        <w:t xml:space="preserve"> 1.2 (1 August 2002), </w:t>
      </w:r>
      <w:r>
        <w:rPr>
          <w:rFonts w:cs="Times New Roman"/>
          <w:szCs w:val="24"/>
          <w:lang w:val="en-US"/>
        </w:rPr>
        <w:t>DOI</w:t>
      </w:r>
      <w:r w:rsidRPr="008B2A01">
        <w:rPr>
          <w:rFonts w:cs="Times New Roman"/>
          <w:szCs w:val="24"/>
          <w:lang w:val="en-US"/>
        </w:rPr>
        <w:t>: 10.1007/s102020100010.</w:t>
      </w:r>
    </w:p>
  </w:footnote>
  <w:footnote w:id="62">
    <w:p w14:paraId="33185DA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4.</w:t>
      </w:r>
    </w:p>
  </w:footnote>
  <w:footnote w:id="63">
    <w:p w14:paraId="48CC7ED8"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14.</w:t>
      </w:r>
    </w:p>
  </w:footnote>
  <w:footnote w:id="64">
    <w:p w14:paraId="682AF56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Mittelstadt, ‘From Individual to Group Privacy in Big Data Analytics’, 489.</w:t>
      </w:r>
    </w:p>
  </w:footnote>
  <w:footnote w:id="65">
    <w:p w14:paraId="5314DDC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Goodman, ‘Discrimination, Data Sanitisation and Auditing in the GDPR’, 503.</w:t>
      </w:r>
    </w:p>
  </w:footnote>
  <w:footnote w:id="66">
    <w:p w14:paraId="628C52E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35(9).</w:t>
      </w:r>
    </w:p>
  </w:footnote>
  <w:footnote w:id="67">
    <w:p w14:paraId="3C55A30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Henri Lefebvre, ‘Right to the City’, in Eleonore Kofman and Elizabeth Lebas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Writings on Cities</w:t>
      </w:r>
      <w:r w:rsidRPr="008B2A01">
        <w:rPr>
          <w:rFonts w:cs="Times New Roman"/>
          <w:szCs w:val="24"/>
          <w:lang w:val="en-US"/>
        </w:rPr>
        <w:t>, Cambridge</w:t>
      </w:r>
      <w:r>
        <w:rPr>
          <w:rFonts w:cs="Times New Roman"/>
          <w:szCs w:val="24"/>
          <w:lang w:val="en-US"/>
        </w:rPr>
        <w:t xml:space="preserve"> MA</w:t>
      </w:r>
      <w:r w:rsidRPr="008B2A01">
        <w:rPr>
          <w:rFonts w:cs="Times New Roman"/>
          <w:szCs w:val="24"/>
          <w:lang w:val="en-US"/>
        </w:rPr>
        <w:t>: Blackwell, 1996, p. 79.</w:t>
      </w:r>
    </w:p>
  </w:footnote>
  <w:footnote w:id="68">
    <w:p w14:paraId="3C5B994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To be understood in the manner that e.g. Michiel de Lange and Martijn de Waal use </w:t>
      </w:r>
      <w:r>
        <w:rPr>
          <w:rFonts w:cs="Times New Roman"/>
          <w:szCs w:val="24"/>
          <w:lang w:val="en-US"/>
        </w:rPr>
        <w:t>for</w:t>
      </w:r>
      <w:r w:rsidRPr="008B2A01">
        <w:rPr>
          <w:rFonts w:cs="Times New Roman"/>
          <w:szCs w:val="24"/>
          <w:lang w:val="en-US"/>
        </w:rPr>
        <w:t xml:space="preserve"> the term; ‘Owning the City: New Media and Citizen Engagement in Urban Design’, </w:t>
      </w:r>
      <w:r w:rsidRPr="008B2A01">
        <w:rPr>
          <w:rFonts w:cs="Times New Roman"/>
          <w:i/>
          <w:iCs/>
          <w:szCs w:val="24"/>
          <w:lang w:val="en-US"/>
        </w:rPr>
        <w:t>First Monday</w:t>
      </w:r>
      <w:r w:rsidRPr="008B2A01">
        <w:rPr>
          <w:rFonts w:cs="Times New Roman"/>
          <w:szCs w:val="24"/>
          <w:lang w:val="en-US"/>
        </w:rPr>
        <w:t xml:space="preserve"> 18.11 (27 November 2013), </w:t>
      </w:r>
      <w:r>
        <w:rPr>
          <w:rFonts w:cs="Times New Roman"/>
          <w:szCs w:val="24"/>
          <w:lang w:val="en-US"/>
        </w:rPr>
        <w:t>DOI</w:t>
      </w:r>
      <w:r w:rsidRPr="008B2A01">
        <w:rPr>
          <w:rFonts w:cs="Times New Roman"/>
          <w:szCs w:val="24"/>
          <w:lang w:val="en-US"/>
        </w:rPr>
        <w:t>: 10.5210/fm.v18i11.4954.</w:t>
      </w:r>
    </w:p>
  </w:footnote>
  <w:footnote w:id="69">
    <w:p w14:paraId="21144E4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Adam Greenfield and Mark Shepard, </w:t>
      </w:r>
      <w:r w:rsidRPr="008B2A01">
        <w:rPr>
          <w:rFonts w:cs="Times New Roman"/>
          <w:i/>
          <w:iCs/>
          <w:szCs w:val="24"/>
          <w:lang w:val="en-US"/>
        </w:rPr>
        <w:t>Urban Computing and Its Discontents</w:t>
      </w:r>
      <w:r>
        <w:rPr>
          <w:rFonts w:cs="Times New Roman"/>
          <w:szCs w:val="24"/>
          <w:lang w:val="en-US"/>
        </w:rPr>
        <w:t>,</w:t>
      </w:r>
      <w:r w:rsidRPr="008B2A01">
        <w:rPr>
          <w:rFonts w:cs="Times New Roman"/>
          <w:szCs w:val="24"/>
          <w:lang w:val="en-US"/>
        </w:rPr>
        <w:t xml:space="preserve"> Architecture and Situated Technologies Pamphlets #1. New York: The Architectural League of New York, 2007, p. 44.</w:t>
      </w:r>
    </w:p>
  </w:footnote>
  <w:footnote w:id="70">
    <w:p w14:paraId="230BBB95" w14:textId="77777777" w:rsidR="00F665E2" w:rsidRPr="00CC0697" w:rsidRDefault="00F665E2" w:rsidP="00F665E2">
      <w:pPr>
        <w:pStyle w:val="FootnoteText"/>
        <w:rPr>
          <w:rFonts w:cs="Times New Roman"/>
          <w:lang w:val="nl-NL"/>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a parallel argument, see Simon Walker, </w:t>
      </w:r>
      <w:r w:rsidRPr="008B2A01">
        <w:rPr>
          <w:rFonts w:cs="Times New Roman"/>
          <w:i/>
          <w:iCs/>
          <w:szCs w:val="24"/>
          <w:lang w:val="en-US"/>
        </w:rPr>
        <w:t>The Future of Human Rights Impact Assessments of Trade Agreements</w:t>
      </w:r>
      <w:r>
        <w:rPr>
          <w:rFonts w:cs="Times New Roman"/>
          <w:szCs w:val="24"/>
          <w:lang w:val="en-US"/>
        </w:rPr>
        <w:t>,</w:t>
      </w:r>
      <w:r w:rsidRPr="008B2A01">
        <w:rPr>
          <w:rFonts w:cs="Times New Roman"/>
          <w:szCs w:val="24"/>
          <w:lang w:val="en-US"/>
        </w:rPr>
        <w:t xml:space="preserve"> School of Human Rights Research Series #35. </w:t>
      </w:r>
      <w:r w:rsidRPr="00CC0697">
        <w:rPr>
          <w:rFonts w:cs="Times New Roman"/>
          <w:szCs w:val="24"/>
          <w:lang w:val="nl-NL"/>
        </w:rPr>
        <w:t>Antwerp: Intersentia, 2009, p. 41, https://dspace.library.uu.nl/bitstream/handle/1874/36620/walker.pdf.</w:t>
      </w:r>
    </w:p>
  </w:footnote>
  <w:footnote w:id="71">
    <w:p w14:paraId="1428090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Lefebvre, ‘Right to the City’, p. 79; For a similar argument from the disciplines of human geography and urban studies, see Paolo Cardullo and Rob Kitchin, ‘Being a “Citizen” in the Smart City: Up and down the Scaffold of Smart Citizen Participation in Dublin, Ireland’, </w:t>
      </w:r>
      <w:r w:rsidRPr="008B2A01">
        <w:rPr>
          <w:rFonts w:cs="Times New Roman"/>
          <w:i/>
          <w:iCs/>
          <w:szCs w:val="24"/>
          <w:lang w:val="en-US"/>
        </w:rPr>
        <w:t>GeoJournal</w:t>
      </w:r>
      <w:r>
        <w:rPr>
          <w:rFonts w:cs="Times New Roman"/>
          <w:szCs w:val="24"/>
          <w:lang w:val="en-US"/>
        </w:rPr>
        <w:t xml:space="preserve"> (</w:t>
      </w:r>
      <w:r w:rsidRPr="008B2A01">
        <w:rPr>
          <w:rFonts w:cs="Times New Roman"/>
          <w:szCs w:val="24"/>
          <w:lang w:val="en-US"/>
        </w:rPr>
        <w:t>12 January 2018</w:t>
      </w:r>
      <w:r>
        <w:rPr>
          <w:rFonts w:cs="Times New Roman"/>
          <w:szCs w:val="24"/>
          <w:lang w:val="en-US"/>
        </w:rPr>
        <w:t>)</w:t>
      </w:r>
      <w:r w:rsidRPr="008B2A01">
        <w:rPr>
          <w:rFonts w:cs="Times New Roman"/>
          <w:szCs w:val="24"/>
          <w:lang w:val="en-US"/>
        </w:rPr>
        <w:t xml:space="preserve">, </w:t>
      </w:r>
      <w:r>
        <w:rPr>
          <w:rFonts w:cs="Times New Roman"/>
          <w:szCs w:val="24"/>
          <w:lang w:val="en-US"/>
        </w:rPr>
        <w:t>DOI</w:t>
      </w:r>
      <w:r w:rsidRPr="008B2A01">
        <w:rPr>
          <w:rFonts w:cs="Times New Roman"/>
          <w:szCs w:val="24"/>
          <w:lang w:val="en-US"/>
        </w:rPr>
        <w:t xml:space="preserve">: 10.1007/s10708-018-9845-8; and the seminal work by Sherry R. Arnstein, ‘A Ladder Of Citizen Participation’, </w:t>
      </w:r>
      <w:r w:rsidRPr="008B2A01">
        <w:rPr>
          <w:rFonts w:cs="Times New Roman"/>
          <w:i/>
          <w:iCs/>
          <w:szCs w:val="24"/>
          <w:lang w:val="en-US"/>
        </w:rPr>
        <w:t>Journal of the American Institute of Planners</w:t>
      </w:r>
      <w:r w:rsidRPr="008B2A01">
        <w:rPr>
          <w:rFonts w:cs="Times New Roman"/>
          <w:szCs w:val="24"/>
          <w:lang w:val="en-US"/>
        </w:rPr>
        <w:t xml:space="preserve"> 35.4 (July 1969), </w:t>
      </w:r>
      <w:r>
        <w:rPr>
          <w:rFonts w:cs="Times New Roman"/>
          <w:szCs w:val="24"/>
          <w:lang w:val="en-US"/>
        </w:rPr>
        <w:t>DOI</w:t>
      </w:r>
      <w:r w:rsidRPr="008B2A01">
        <w:rPr>
          <w:rFonts w:cs="Times New Roman"/>
          <w:szCs w:val="24"/>
          <w:lang w:val="en-US"/>
        </w:rPr>
        <w:t>: 10.1080/01944366908977225.</w:t>
      </w:r>
      <w:r w:rsidRPr="008B2A01">
        <w:rPr>
          <w:rFonts w:cs="Times New Roman"/>
          <w:lang w:val="en-US"/>
        </w:rPr>
        <w:t xml:space="preserve"> </w:t>
      </w:r>
    </w:p>
  </w:footnote>
  <w:footnote w:id="72">
    <w:p w14:paraId="5EEF8A2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Although consent can also be withdrawn at any time (GDPR, art 7(3)); this can be difficult in this context as will be discussed below.</w:t>
      </w:r>
    </w:p>
  </w:footnote>
  <w:footnote w:id="73">
    <w:p w14:paraId="26945CA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Consent under Regulation 2016/679’, 29 November 2017, pp. 11–15, http://ec.europa.eu/newsroom/document.cfm?doc_id=48849.</w:t>
      </w:r>
    </w:p>
  </w:footnote>
  <w:footnote w:id="74">
    <w:p w14:paraId="24B4368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14.</w:t>
      </w:r>
    </w:p>
  </w:footnote>
  <w:footnote w:id="75">
    <w:p w14:paraId="309BF50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The exact scale of </w:t>
      </w:r>
      <w:r>
        <w:rPr>
          <w:rFonts w:cs="Times New Roman"/>
          <w:lang w:val="en-US"/>
        </w:rPr>
        <w:t>‘</w:t>
      </w:r>
      <w:r w:rsidRPr="008B2A01">
        <w:rPr>
          <w:rFonts w:cs="Times New Roman"/>
          <w:lang w:val="en-US"/>
        </w:rPr>
        <w:t>local</w:t>
      </w:r>
      <w:r>
        <w:rPr>
          <w:rFonts w:cs="Times New Roman"/>
          <w:lang w:val="en-US"/>
        </w:rPr>
        <w:t>’</w:t>
      </w:r>
      <w:r w:rsidRPr="008B2A01">
        <w:rPr>
          <w:rFonts w:cs="Times New Roman"/>
          <w:lang w:val="en-US"/>
        </w:rPr>
        <w:t xml:space="preserve"> is not defined here, as it will depend on the mapmaking effort in question. When making a global map, </w:t>
      </w:r>
      <w:r>
        <w:rPr>
          <w:rFonts w:cs="Times New Roman"/>
          <w:lang w:val="en-US"/>
        </w:rPr>
        <w:t>‘</w:t>
      </w:r>
      <w:r w:rsidRPr="008B2A01">
        <w:rPr>
          <w:rFonts w:cs="Times New Roman"/>
          <w:lang w:val="en-US"/>
        </w:rPr>
        <w:t>local</w:t>
      </w:r>
      <w:r>
        <w:rPr>
          <w:rFonts w:cs="Times New Roman"/>
          <w:lang w:val="en-US"/>
        </w:rPr>
        <w:t>’</w:t>
      </w:r>
      <w:r w:rsidRPr="008B2A01">
        <w:rPr>
          <w:rFonts w:cs="Times New Roman"/>
          <w:lang w:val="en-US"/>
        </w:rPr>
        <w:t xml:space="preserve"> might thus very well include the world population.</w:t>
      </w:r>
    </w:p>
  </w:footnote>
  <w:footnote w:id="76">
    <w:p w14:paraId="6A13617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Pak, Chua and Moere, ‘FixMyStreet Brussels’.</w:t>
      </w:r>
    </w:p>
  </w:footnote>
  <w:footnote w:id="77">
    <w:p w14:paraId="048FB36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Brannon, ‘Datafied and Divided’.</w:t>
      </w:r>
    </w:p>
  </w:footnote>
  <w:footnote w:id="78">
    <w:p w14:paraId="17E1683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Wright and Mordini, ‘Privacy and Ethical Impact Assessment’, p. 402.</w:t>
      </w:r>
    </w:p>
  </w:footnote>
  <w:footnote w:id="79">
    <w:p w14:paraId="3D67762C" w14:textId="77777777" w:rsidR="00F665E2" w:rsidRPr="008B2A01" w:rsidRDefault="00F665E2" w:rsidP="00F665E2">
      <w:pPr>
        <w:pStyle w:val="FootnoteText"/>
        <w:rPr>
          <w:rFonts w:cs="Times New Roman"/>
          <w:szCs w:val="24"/>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Mantelero, ‘Personal Data for Decisional Purposes in the Age of Analytics’, 252; Alessandro Mantelero, ‘From Group Privacy to Collective Privacy: Towards a New Dimension of Privacy and Data Protection in the Big Data Era’, in Linnet Taylor, Luciano Floridi, and Bart van der Sloot (eds) </w:t>
      </w:r>
      <w:r w:rsidRPr="008B2A01">
        <w:rPr>
          <w:rFonts w:cs="Times New Roman"/>
          <w:i/>
          <w:szCs w:val="24"/>
          <w:lang w:val="en-US"/>
        </w:rPr>
        <w:t>Group Privacy: New Challenges of Data Technologies</w:t>
      </w:r>
      <w:r>
        <w:rPr>
          <w:rFonts w:cs="Times New Roman"/>
          <w:szCs w:val="24"/>
          <w:lang w:val="en-US"/>
        </w:rPr>
        <w:t>,</w:t>
      </w:r>
      <w:r w:rsidRPr="008B2A01">
        <w:rPr>
          <w:rFonts w:cs="Times New Roman"/>
          <w:szCs w:val="24"/>
          <w:lang w:val="en-US"/>
        </w:rPr>
        <w:t xml:space="preserve"> Philosophical Studies Series 126. Berlin: Springer, 2017, p. 153, </w:t>
      </w:r>
      <w:r>
        <w:rPr>
          <w:rFonts w:cs="Times New Roman"/>
          <w:szCs w:val="24"/>
          <w:lang w:val="en-US"/>
        </w:rPr>
        <w:t>DOI</w:t>
      </w:r>
      <w:r w:rsidRPr="008B2A01">
        <w:rPr>
          <w:rFonts w:cs="Times New Roman"/>
          <w:szCs w:val="24"/>
          <w:lang w:val="en-US"/>
        </w:rPr>
        <w:t>: 10.1007/978-3-319-46608-8_8.</w:t>
      </w:r>
    </w:p>
  </w:footnote>
  <w:footnote w:id="80">
    <w:p w14:paraId="452D434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See also the next sub-section.</w:t>
      </w:r>
    </w:p>
  </w:footnote>
  <w:footnote w:id="81">
    <w:p w14:paraId="747C18E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80(1).</w:t>
      </w:r>
    </w:p>
  </w:footnote>
  <w:footnote w:id="82">
    <w:p w14:paraId="57D4ECC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77.</w:t>
      </w:r>
    </w:p>
  </w:footnote>
  <w:footnote w:id="83">
    <w:p w14:paraId="1E8D510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78 and 79.</w:t>
      </w:r>
    </w:p>
  </w:footnote>
  <w:footnote w:id="84">
    <w:p w14:paraId="2E69A01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‘AI and Big Data’, 756; GDPR, recital 75.</w:t>
      </w:r>
      <w:r w:rsidRPr="008B2A01">
        <w:rPr>
          <w:rFonts w:cs="Times New Roman"/>
          <w:lang w:val="en-US"/>
        </w:rPr>
        <w:t xml:space="preserve"> See also footnote </w:t>
      </w:r>
      <w:r w:rsidRPr="008B2A01">
        <w:rPr>
          <w:rFonts w:cs="Times New Roman"/>
          <w:lang w:val="en-US"/>
        </w:rPr>
        <w:fldChar w:fldCharType="begin"/>
      </w:r>
      <w:r w:rsidRPr="008B2A01">
        <w:rPr>
          <w:rFonts w:cs="Times New Roman"/>
          <w:lang w:val="en-US"/>
        </w:rPr>
        <w:instrText xml:space="preserve"> NOTEREF _Ref523404044 \h  \* MERGEFORMAT </w:instrText>
      </w:r>
      <w:r w:rsidRPr="008B2A01">
        <w:rPr>
          <w:rFonts w:cs="Times New Roman"/>
          <w:lang w:val="en-US"/>
        </w:rPr>
      </w:r>
      <w:r w:rsidRPr="008B2A01">
        <w:rPr>
          <w:rFonts w:cs="Times New Roman"/>
          <w:lang w:val="en-US"/>
        </w:rPr>
        <w:fldChar w:fldCharType="separate"/>
      </w:r>
      <w:r w:rsidRPr="008B2A01">
        <w:rPr>
          <w:rFonts w:cs="Times New Roman"/>
          <w:lang w:val="en-US"/>
        </w:rPr>
        <w:t>61</w:t>
      </w:r>
      <w:r w:rsidRPr="008B2A01">
        <w:rPr>
          <w:rFonts w:cs="Times New Roman"/>
          <w:lang w:val="en-US"/>
        </w:rPr>
        <w:fldChar w:fldCharType="end"/>
      </w:r>
      <w:r w:rsidRPr="008B2A01">
        <w:rPr>
          <w:rFonts w:cs="Times New Roman"/>
          <w:lang w:val="en-US"/>
        </w:rPr>
        <w:t>.</w:t>
      </w:r>
    </w:p>
  </w:footnote>
  <w:footnote w:id="85">
    <w:p w14:paraId="252EFDC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Raphaël Gellert, ‘The Article 29 Working Party’s Provisional Guidelines on Data Protection Impact Assessment’, </w:t>
      </w:r>
      <w:r w:rsidRPr="008B2A01">
        <w:rPr>
          <w:rFonts w:cs="Times New Roman"/>
          <w:i/>
          <w:iCs/>
          <w:szCs w:val="24"/>
          <w:lang w:val="en-US"/>
        </w:rPr>
        <w:t>European Data Protection Law Review</w:t>
      </w:r>
      <w:r w:rsidRPr="008B2A01">
        <w:rPr>
          <w:rFonts w:cs="Times New Roman"/>
          <w:szCs w:val="24"/>
          <w:lang w:val="en-US"/>
        </w:rPr>
        <w:t xml:space="preserve"> 3.2 (2017): 215, </w:t>
      </w:r>
      <w:r>
        <w:rPr>
          <w:rFonts w:cs="Times New Roman"/>
          <w:szCs w:val="24"/>
          <w:lang w:val="en-US"/>
        </w:rPr>
        <w:t>DOI</w:t>
      </w:r>
      <w:r w:rsidRPr="008B2A01">
        <w:rPr>
          <w:rFonts w:cs="Times New Roman"/>
          <w:szCs w:val="24"/>
          <w:lang w:val="en-US"/>
        </w:rPr>
        <w:t xml:space="preserve">: 10.21552/edpl/2017/2/11; Atanas Yordanov, ‘Nature and Ideal Steps of the Data Protection Impact Assessment Under the General Data Protection Regulation’, </w:t>
      </w:r>
      <w:r w:rsidRPr="008B2A01">
        <w:rPr>
          <w:rFonts w:cs="Times New Roman"/>
          <w:i/>
          <w:iCs/>
          <w:szCs w:val="24"/>
          <w:lang w:val="en-US"/>
        </w:rPr>
        <w:t>European Data Protection Law Review</w:t>
      </w:r>
      <w:r w:rsidRPr="008B2A01">
        <w:rPr>
          <w:rFonts w:cs="Times New Roman"/>
          <w:szCs w:val="24"/>
          <w:lang w:val="en-US"/>
        </w:rPr>
        <w:t xml:space="preserve"> 3.4 (2017): 493, doi: 10.21552/edpl/2017/4/10; Darius</w:t>
      </w:r>
      <w:r>
        <w:rPr>
          <w:rFonts w:cs="Times New Roman"/>
          <w:szCs w:val="24"/>
          <w:lang w:val="en-US"/>
        </w:rPr>
        <w:t>z</w:t>
      </w:r>
      <w:r w:rsidRPr="008B2A01">
        <w:rPr>
          <w:rFonts w:cs="Times New Roman"/>
          <w:szCs w:val="24"/>
          <w:lang w:val="en-US"/>
        </w:rPr>
        <w:t xml:space="preserve"> Kloza et al, ‘Data Protection Impact Assessments in the European Union: Complementing the New Legal Framework towards a More Robust Protection of Individuals’ d.pia.lab, 2017, 3, https://cris.vub.be/files/32009890/dpialab_pb2017_1_final.pdf.</w:t>
      </w:r>
    </w:p>
  </w:footnote>
  <w:footnote w:id="86">
    <w:p w14:paraId="16C98A7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‘AI and Big Data’, 755.</w:t>
      </w:r>
    </w:p>
  </w:footnote>
  <w:footnote w:id="87">
    <w:p w14:paraId="4CD1B74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See GDPR, art 5 for a more comprehensive set of data processing principles.</w:t>
      </w:r>
    </w:p>
  </w:footnote>
  <w:footnote w:id="88">
    <w:p w14:paraId="24719DB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Alan Harding and Talja Blokland-Potters, </w:t>
      </w:r>
      <w:r w:rsidRPr="008B2A01">
        <w:rPr>
          <w:rFonts w:cs="Times New Roman"/>
          <w:i/>
          <w:iCs/>
          <w:szCs w:val="24"/>
          <w:lang w:val="en-US"/>
        </w:rPr>
        <w:t>Urban Theory: A Critical Introduction to Power, Cities and Urbanism in the 21st Century</w:t>
      </w:r>
      <w:r w:rsidRPr="008B2A01">
        <w:rPr>
          <w:rFonts w:cs="Times New Roman"/>
          <w:szCs w:val="24"/>
          <w:lang w:val="en-US"/>
        </w:rPr>
        <w:t xml:space="preserve"> Los Angeles: S</w:t>
      </w:r>
      <w:r>
        <w:rPr>
          <w:rFonts w:cs="Times New Roman"/>
          <w:szCs w:val="24"/>
          <w:lang w:val="en-US"/>
        </w:rPr>
        <w:t>AGE</w:t>
      </w:r>
      <w:r w:rsidRPr="008B2A01">
        <w:rPr>
          <w:rFonts w:cs="Times New Roman"/>
          <w:szCs w:val="24"/>
          <w:lang w:val="en-US"/>
        </w:rPr>
        <w:t>, 2014, p. 179.</w:t>
      </w:r>
    </w:p>
  </w:footnote>
  <w:footnote w:id="89">
    <w:p w14:paraId="35BBB39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‘Personal Data for Decisional Purposes in the Age of Analytics’, 254; Mantelero, ‘From Group Privacy to Collective Privacy’, p. 150.</w:t>
      </w:r>
    </w:p>
  </w:footnote>
  <w:footnote w:id="90">
    <w:p w14:paraId="7CE69B3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The permanent ad-hoc committees proposed by Mantelero might provide some solace for specific data controllers, although it remains unclear who would be responsible for solving the underlying problem: ‘AI and Big Data’, 771.</w:t>
      </w:r>
    </w:p>
  </w:footnote>
  <w:footnote w:id="91">
    <w:p w14:paraId="35DCD57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Paul de Hert and Vagelis Papakonstantinou, ‘The New General Data Protection Regulation: Still a Sound System for the Protection of Individuals?’, </w:t>
      </w:r>
      <w:r w:rsidRPr="008B2A01">
        <w:rPr>
          <w:rFonts w:cs="Times New Roman"/>
          <w:i/>
          <w:iCs/>
          <w:szCs w:val="24"/>
          <w:lang w:val="en-US"/>
        </w:rPr>
        <w:t>Computer Law &amp; Security Review</w:t>
      </w:r>
      <w:r w:rsidRPr="008B2A01">
        <w:rPr>
          <w:rFonts w:cs="Times New Roman"/>
          <w:szCs w:val="24"/>
          <w:lang w:val="en-US"/>
        </w:rPr>
        <w:t xml:space="preserve"> 32.2 (April 2016): 193, </w:t>
      </w:r>
      <w:r>
        <w:rPr>
          <w:rFonts w:cs="Times New Roman"/>
          <w:szCs w:val="24"/>
          <w:lang w:val="en-US"/>
        </w:rPr>
        <w:t>DOI</w:t>
      </w:r>
      <w:r w:rsidRPr="008B2A01">
        <w:rPr>
          <w:rFonts w:cs="Times New Roman"/>
          <w:szCs w:val="24"/>
          <w:lang w:val="en-US"/>
        </w:rPr>
        <w:t>: 10.1016/j.clsr.2016.02.006.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E2"/>
    <w:rsid w:val="00165C0D"/>
    <w:rsid w:val="002963AD"/>
    <w:rsid w:val="00762B4E"/>
    <w:rsid w:val="00822E25"/>
    <w:rsid w:val="00C45E05"/>
    <w:rsid w:val="00CC1905"/>
    <w:rsid w:val="00F665E2"/>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2C6B8"/>
  <w14:defaultImageDpi w14:val="32767"/>
  <w15:chartTrackingRefBased/>
  <w15:docId w15:val="{146B96A2-1A75-EA4D-BC74-241C864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65E2"/>
    <w:pPr>
      <w:spacing w:after="160" w:line="259" w:lineRule="auto"/>
    </w:pPr>
    <w:rPr>
      <w:sz w:val="22"/>
      <w:szCs w:val="22"/>
      <w:lang w:val="en-AU"/>
    </w:rPr>
  </w:style>
  <w:style w:type="paragraph" w:styleId="Heading1">
    <w:name w:val="heading 1"/>
    <w:basedOn w:val="Normal"/>
    <w:next w:val="Normal"/>
    <w:link w:val="Heading1Char"/>
    <w:uiPriority w:val="9"/>
    <w:qFormat/>
    <w:rsid w:val="00F665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F665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F66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F665E2"/>
    <w:rPr>
      <w:rFonts w:ascii="Times New Roman" w:eastAsia="Calibri" w:hAnsi="Times New Roman" w:cs="Times New Roman"/>
      <w:b/>
      <w:color w:val="000000"/>
      <w:sz w:val="28"/>
      <w:szCs w:val="28"/>
      <w:lang w:val="en-US" w:eastAsia="en-AU"/>
    </w:rPr>
  </w:style>
  <w:style w:type="character" w:styleId="CommentReference">
    <w:name w:val="annotation reference"/>
    <w:basedOn w:val="DefaultParagraphFont"/>
    <w:uiPriority w:val="99"/>
    <w:semiHidden/>
    <w:unhideWhenUsed/>
    <w:qFormat/>
    <w:rsid w:val="00F665E2"/>
    <w:rPr>
      <w:sz w:val="16"/>
      <w:szCs w:val="16"/>
    </w:rPr>
  </w:style>
  <w:style w:type="paragraph" w:styleId="FootnoteText">
    <w:name w:val="footnote text"/>
    <w:basedOn w:val="Normal"/>
    <w:link w:val="FootnoteTextChar"/>
    <w:uiPriority w:val="99"/>
    <w:unhideWhenUsed/>
    <w:qFormat/>
    <w:rsid w:val="00F665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F665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F665E2"/>
    <w:rPr>
      <w:vertAlign w:val="superscript"/>
    </w:rPr>
  </w:style>
  <w:style w:type="paragraph" w:styleId="Bibliography">
    <w:name w:val="Bibliography"/>
    <w:basedOn w:val="Normal"/>
    <w:next w:val="Normal"/>
    <w:uiPriority w:val="37"/>
    <w:unhideWhenUsed/>
    <w:rsid w:val="00F665E2"/>
    <w:pPr>
      <w:spacing w:after="0" w:line="240" w:lineRule="auto"/>
      <w:ind w:left="720" w:hanging="720"/>
    </w:pPr>
    <w:rPr>
      <w:rFonts w:ascii="Times New Roman" w:hAnsi="Times New Roman"/>
      <w:sz w:val="24"/>
      <w:lang w:val="es-ES"/>
    </w:rPr>
  </w:style>
  <w:style w:type="character" w:customStyle="1" w:styleId="Heading3Char">
    <w:name w:val="Heading 3 Char"/>
    <w:basedOn w:val="DefaultParagraphFont"/>
    <w:link w:val="Heading3"/>
    <w:uiPriority w:val="9"/>
    <w:rsid w:val="00F665E2"/>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822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25"/>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6499</Words>
  <Characters>37045</Characters>
  <Application>Microsoft Office Word</Application>
  <DocSecurity>0</DocSecurity>
  <Lines>308</Lines>
  <Paragraphs>86</Paragraphs>
  <ScaleCrop>false</ScaleCrop>
  <Company/>
  <LinksUpToDate>false</LinksUpToDate>
  <CharactersWithSpaces>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2018-12-10T11:08:00Z</dcterms:created>
  <dcterms:modified xsi:type="dcterms:W3CDTF">2018-12-10T13:33:00Z</dcterms:modified>
</cp:coreProperties>
</file>