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2484C2" w:rsidR="00A25939" w:rsidRPr="002B5E80" w:rsidRDefault="00165FDF" w:rsidP="007D569A">
      <w:pPr>
        <w:pStyle w:val="Heading1"/>
        <w:rPr>
          <w:lang w:val="en-US"/>
        </w:rPr>
      </w:pPr>
      <w:r w:rsidRPr="002B5E80">
        <w:rPr>
          <w:lang w:val="en-US"/>
        </w:rPr>
        <w:t>Failure is a Project</w:t>
      </w:r>
      <w:r w:rsidR="00A25939">
        <w:rPr>
          <w:vertAlign w:val="superscript"/>
        </w:rPr>
        <w:footnoteReference w:id="1"/>
      </w:r>
    </w:p>
    <w:p w14:paraId="00000003" w14:textId="2E77EE44" w:rsidR="00A25939" w:rsidRPr="006C0C36" w:rsidRDefault="00A25939" w:rsidP="006C0C36">
      <w:pPr>
        <w:pStyle w:val="Heading3"/>
        <w:rPr>
          <w:lang w:val="nl-NL"/>
        </w:rPr>
      </w:pPr>
      <w:proofErr w:type="spellStart"/>
      <w:r w:rsidRPr="006C0C36">
        <w:rPr>
          <w:lang w:val="nl-NL"/>
        </w:rPr>
        <w:t>Nanna</w:t>
      </w:r>
      <w:proofErr w:type="spellEnd"/>
      <w:r w:rsidRPr="006C0C36">
        <w:rPr>
          <w:lang w:val="nl-NL"/>
        </w:rPr>
        <w:t xml:space="preserve"> </w:t>
      </w:r>
      <w:proofErr w:type="spellStart"/>
      <w:r w:rsidRPr="006C0C36">
        <w:rPr>
          <w:lang w:val="nl-NL"/>
        </w:rPr>
        <w:t>Verhoeff</w:t>
      </w:r>
      <w:proofErr w:type="spellEnd"/>
      <w:r w:rsidRPr="006C0C36">
        <w:rPr>
          <w:lang w:val="nl-NL"/>
        </w:rPr>
        <w:t xml:space="preserve"> </w:t>
      </w:r>
      <w:proofErr w:type="spellStart"/>
      <w:r w:rsidRPr="006C0C36">
        <w:rPr>
          <w:lang w:val="nl-NL"/>
        </w:rPr>
        <w:t>and</w:t>
      </w:r>
      <w:proofErr w:type="spellEnd"/>
      <w:r w:rsidRPr="006C0C36">
        <w:rPr>
          <w:lang w:val="nl-NL"/>
        </w:rPr>
        <w:t xml:space="preserve"> Iris van der Tuin</w:t>
      </w:r>
    </w:p>
    <w:p w14:paraId="5CA0E10A" w14:textId="24BEBF83" w:rsidR="00A25939" w:rsidRDefault="00A25939" w:rsidP="007D569A">
      <w:pPr>
        <w:pStyle w:val="Quote"/>
        <w:rPr>
          <w:lang w:val="en-US"/>
        </w:rPr>
      </w:pPr>
      <w:r w:rsidRPr="002B5E80">
        <w:rPr>
          <w:lang w:val="en-US"/>
        </w:rPr>
        <w:t>An independent, diamond open-access journal redefining failure.</w:t>
      </w:r>
      <w:r>
        <w:rPr>
          <w:vertAlign w:val="superscript"/>
        </w:rPr>
        <w:footnoteReference w:id="2"/>
      </w:r>
      <w:r w:rsidRPr="002B5E80">
        <w:rPr>
          <w:lang w:val="en-US"/>
        </w:rPr>
        <w:t xml:space="preserve"> </w:t>
      </w:r>
    </w:p>
    <w:p w14:paraId="73114199" w14:textId="11EC8A8E" w:rsidR="00A25939" w:rsidRDefault="00A25939" w:rsidP="000A6FA6">
      <w:pPr>
        <w:rPr>
          <w:lang w:val="en-US"/>
        </w:rPr>
      </w:pPr>
      <w:r w:rsidRPr="002B5E80">
        <w:rPr>
          <w:lang w:val="en-US"/>
        </w:rPr>
        <w:t xml:space="preserve">This is the tagline of the </w:t>
      </w:r>
      <w:r w:rsidRPr="002B5E80">
        <w:rPr>
          <w:i/>
          <w:lang w:val="en-US"/>
        </w:rPr>
        <w:t>Journal of Trial &amp; Error</w:t>
      </w:r>
      <w:r>
        <w:rPr>
          <w:i/>
          <w:lang w:val="en-US"/>
        </w:rPr>
        <w:t xml:space="preserve"> (JOTE)</w:t>
      </w:r>
      <w:r w:rsidRPr="002B5E80">
        <w:rPr>
          <w:lang w:val="en-US"/>
        </w:rPr>
        <w:t xml:space="preserve">, a journal set up and run by graduate students in the two-year master’s program History and Philosophy of Science at Utrecht University, The Netherlands. </w:t>
      </w:r>
      <w:r w:rsidRPr="002B5E80">
        <w:rPr>
          <w:i/>
          <w:lang w:val="en-US"/>
        </w:rPr>
        <w:t>JOTE</w:t>
      </w:r>
      <w:r>
        <w:rPr>
          <w:i/>
          <w:lang w:val="en-US"/>
        </w:rPr>
        <w:t xml:space="preserve"> </w:t>
      </w:r>
      <w:r w:rsidRPr="002B5E80">
        <w:rPr>
          <w:lang w:val="en-US"/>
        </w:rPr>
        <w:t xml:space="preserve">publishes short empirical articles that zoom in on the question </w:t>
      </w:r>
      <w:r>
        <w:rPr>
          <w:lang w:val="en-US"/>
        </w:rPr>
        <w:t>‘</w:t>
      </w:r>
      <w:r w:rsidRPr="002B5E80">
        <w:rPr>
          <w:lang w:val="en-US"/>
        </w:rPr>
        <w:t>what went wrong?</w:t>
      </w:r>
      <w:r>
        <w:rPr>
          <w:lang w:val="en-US"/>
        </w:rPr>
        <w:t>’</w:t>
      </w:r>
      <w:r w:rsidRPr="002B5E80">
        <w:rPr>
          <w:lang w:val="en-US"/>
        </w:rPr>
        <w:t xml:space="preserve"> in research projects across the natural sciences, the social sciences, and the humanities and in interdisciplinary settings. </w:t>
      </w:r>
      <w:r>
        <w:rPr>
          <w:lang w:val="en-US"/>
        </w:rPr>
        <w:t>‘</w:t>
      </w:r>
      <w:r w:rsidRPr="002B5E80">
        <w:rPr>
          <w:lang w:val="en-US"/>
        </w:rPr>
        <w:t>Empirical</w:t>
      </w:r>
      <w:r>
        <w:rPr>
          <w:lang w:val="en-US"/>
        </w:rPr>
        <w:t>’</w:t>
      </w:r>
      <w:r w:rsidRPr="002B5E80">
        <w:rPr>
          <w:lang w:val="en-US"/>
        </w:rPr>
        <w:t xml:space="preserve"> here is broadly conceived as the articles are meant to conceptualize </w:t>
      </w:r>
      <w:r>
        <w:rPr>
          <w:lang w:val="en-US"/>
        </w:rPr>
        <w:t>‘</w:t>
      </w:r>
      <w:r w:rsidRPr="002B5E80">
        <w:rPr>
          <w:lang w:val="en-US"/>
        </w:rPr>
        <w:t>empirical and experimental studies which have produced null, unexpected, negative, or mixed results</w:t>
      </w:r>
      <w:r>
        <w:rPr>
          <w:lang w:val="en-US"/>
        </w:rPr>
        <w:t>’</w:t>
      </w:r>
      <w:r w:rsidRPr="002B5E80">
        <w:rPr>
          <w:lang w:val="en-US"/>
        </w:rPr>
        <w:t xml:space="preserve">, </w:t>
      </w:r>
      <w:r>
        <w:rPr>
          <w:lang w:val="en-US"/>
        </w:rPr>
        <w:t>‘</w:t>
      </w:r>
      <w:r w:rsidRPr="002B5E80">
        <w:rPr>
          <w:lang w:val="en-US"/>
        </w:rPr>
        <w:t>incomplete findings</w:t>
      </w:r>
      <w:r>
        <w:rPr>
          <w:lang w:val="en-US"/>
        </w:rPr>
        <w:t>’</w:t>
      </w:r>
      <w:r w:rsidRPr="002B5E80">
        <w:rPr>
          <w:lang w:val="en-US"/>
        </w:rPr>
        <w:t xml:space="preserve">, or findings that cannot be brought to </w:t>
      </w:r>
      <w:r>
        <w:rPr>
          <w:lang w:val="en-US"/>
        </w:rPr>
        <w:t>‘</w:t>
      </w:r>
      <w:r w:rsidRPr="002B5E80">
        <w:rPr>
          <w:lang w:val="en-US"/>
        </w:rPr>
        <w:t>a closed, cohesive narrative</w:t>
      </w:r>
      <w:r>
        <w:rPr>
          <w:lang w:val="en-US"/>
        </w:rPr>
        <w:t>’</w:t>
      </w:r>
      <w:r w:rsidRPr="002B5E80">
        <w:rPr>
          <w:lang w:val="en-US"/>
        </w:rPr>
        <w:t>.</w:t>
      </w:r>
      <w:r>
        <w:rPr>
          <w:vertAlign w:val="superscript"/>
        </w:rPr>
        <w:footnoteReference w:id="3"/>
      </w:r>
      <w:r w:rsidRPr="002B5E80">
        <w:rPr>
          <w:lang w:val="en-US"/>
        </w:rPr>
        <w:t xml:space="preserve"> </w:t>
      </w:r>
    </w:p>
    <w:p w14:paraId="4CD8F8BA" w14:textId="32F2A12C" w:rsidR="00A25939" w:rsidRDefault="00A25939" w:rsidP="000A6FA6">
      <w:pPr>
        <w:rPr>
          <w:lang w:val="en-US"/>
        </w:rPr>
      </w:pPr>
      <w:r w:rsidRPr="002B5E80">
        <w:rPr>
          <w:lang w:val="en-US"/>
        </w:rPr>
        <w:t xml:space="preserve">The journal then invites senior researchers to comment on the disciplinary aspects of the research that is reported on as well as inviting scholars from </w:t>
      </w:r>
      <w:r>
        <w:rPr>
          <w:lang w:val="en-US"/>
        </w:rPr>
        <w:t>s</w:t>
      </w:r>
      <w:r w:rsidRPr="002B5E80">
        <w:rPr>
          <w:lang w:val="en-US"/>
        </w:rPr>
        <w:t xml:space="preserve">cience and </w:t>
      </w:r>
      <w:r>
        <w:rPr>
          <w:lang w:val="en-US"/>
        </w:rPr>
        <w:t>t</w:t>
      </w:r>
      <w:r w:rsidRPr="002B5E80">
        <w:rPr>
          <w:lang w:val="en-US"/>
        </w:rPr>
        <w:t xml:space="preserve">echnology </w:t>
      </w:r>
      <w:r>
        <w:rPr>
          <w:lang w:val="en-US"/>
        </w:rPr>
        <w:t>s</w:t>
      </w:r>
      <w:r w:rsidRPr="002B5E80">
        <w:rPr>
          <w:lang w:val="en-US"/>
        </w:rPr>
        <w:t xml:space="preserve">tudies (STS), </w:t>
      </w:r>
      <w:r>
        <w:rPr>
          <w:lang w:val="en-US"/>
        </w:rPr>
        <w:t>s</w:t>
      </w:r>
      <w:r w:rsidRPr="002B5E80">
        <w:rPr>
          <w:lang w:val="en-US"/>
        </w:rPr>
        <w:t xml:space="preserve">ociology of </w:t>
      </w:r>
      <w:r>
        <w:rPr>
          <w:lang w:val="en-US"/>
        </w:rPr>
        <w:t>s</w:t>
      </w:r>
      <w:r w:rsidRPr="002B5E80">
        <w:rPr>
          <w:lang w:val="en-US"/>
        </w:rPr>
        <w:t xml:space="preserve">cientific </w:t>
      </w:r>
      <w:r>
        <w:rPr>
          <w:lang w:val="en-US"/>
        </w:rPr>
        <w:t>k</w:t>
      </w:r>
      <w:r w:rsidRPr="002B5E80">
        <w:rPr>
          <w:lang w:val="en-US"/>
        </w:rPr>
        <w:t xml:space="preserve">nowledge (SSK), and </w:t>
      </w:r>
      <w:r>
        <w:rPr>
          <w:lang w:val="en-US"/>
        </w:rPr>
        <w:t>h</w:t>
      </w:r>
      <w:r w:rsidRPr="002B5E80">
        <w:rPr>
          <w:lang w:val="en-US"/>
        </w:rPr>
        <w:t xml:space="preserve">istory and </w:t>
      </w:r>
      <w:r>
        <w:rPr>
          <w:lang w:val="en-US"/>
        </w:rPr>
        <w:t>p</w:t>
      </w:r>
      <w:r w:rsidRPr="002B5E80">
        <w:rPr>
          <w:lang w:val="en-US"/>
        </w:rPr>
        <w:t xml:space="preserve">hilosophy of </w:t>
      </w:r>
      <w:r>
        <w:rPr>
          <w:lang w:val="en-US"/>
        </w:rPr>
        <w:t>s</w:t>
      </w:r>
      <w:r w:rsidRPr="002B5E80">
        <w:rPr>
          <w:lang w:val="en-US"/>
        </w:rPr>
        <w:t xml:space="preserve">cience (HPS) to reflect practically and/or fundamentally on the structure of situated experimentation and on the sources of concrete cases of </w:t>
      </w:r>
      <w:r>
        <w:rPr>
          <w:lang w:val="en-US"/>
        </w:rPr>
        <w:t>‘</w:t>
      </w:r>
      <w:r w:rsidRPr="002B5E80">
        <w:rPr>
          <w:lang w:val="en-US"/>
        </w:rPr>
        <w:t>error.</w:t>
      </w:r>
      <w:r>
        <w:rPr>
          <w:lang w:val="en-US"/>
        </w:rPr>
        <w:t>’</w:t>
      </w:r>
      <w:r w:rsidRPr="002B5E80">
        <w:rPr>
          <w:lang w:val="en-US"/>
        </w:rPr>
        <w:t xml:space="preserve"> </w:t>
      </w:r>
      <w:r w:rsidRPr="002B5E80">
        <w:rPr>
          <w:i/>
          <w:lang w:val="en-US"/>
        </w:rPr>
        <w:t>JOTE</w:t>
      </w:r>
      <w:r w:rsidRPr="002B5E80">
        <w:rPr>
          <w:lang w:val="en-US"/>
        </w:rPr>
        <w:t xml:space="preserve"> itself is an example of the third type of articles that the journal publishes: meta-research articles that reflect the tradition of the research of academic research. Here, one may think of the </w:t>
      </w:r>
      <w:r>
        <w:rPr>
          <w:lang w:val="en-US"/>
        </w:rPr>
        <w:t>s</w:t>
      </w:r>
      <w:r w:rsidRPr="002B5E80">
        <w:rPr>
          <w:lang w:val="en-US"/>
        </w:rPr>
        <w:t xml:space="preserve">cience of </w:t>
      </w:r>
      <w:r>
        <w:rPr>
          <w:lang w:val="en-US"/>
        </w:rPr>
        <w:t>t</w:t>
      </w:r>
      <w:r w:rsidRPr="002B5E80">
        <w:rPr>
          <w:lang w:val="en-US"/>
        </w:rPr>
        <w:t xml:space="preserve">eam </w:t>
      </w:r>
      <w:r>
        <w:rPr>
          <w:lang w:val="en-US"/>
        </w:rPr>
        <w:t>s</w:t>
      </w:r>
      <w:r w:rsidRPr="002B5E80">
        <w:rPr>
          <w:lang w:val="en-US"/>
        </w:rPr>
        <w:t>cience (</w:t>
      </w:r>
      <w:proofErr w:type="spellStart"/>
      <w:r w:rsidRPr="002B5E80">
        <w:rPr>
          <w:lang w:val="en-US"/>
        </w:rPr>
        <w:t>SciTS</w:t>
      </w:r>
      <w:proofErr w:type="spellEnd"/>
      <w:r w:rsidRPr="002B5E80">
        <w:rPr>
          <w:lang w:val="en-US"/>
        </w:rPr>
        <w:t xml:space="preserve">). Additionally, the journal publishes rejected grant applications and peer-reviews </w:t>
      </w:r>
      <w:proofErr w:type="gramStart"/>
      <w:r w:rsidRPr="002B5E80">
        <w:rPr>
          <w:lang w:val="en-US"/>
        </w:rPr>
        <w:t>so as to</w:t>
      </w:r>
      <w:proofErr w:type="gramEnd"/>
      <w:r>
        <w:rPr>
          <w:lang w:val="en-US"/>
        </w:rPr>
        <w:t xml:space="preserve"> </w:t>
      </w:r>
      <w:r w:rsidR="00FE3759">
        <w:rPr>
          <w:lang w:val="en-US"/>
        </w:rPr>
        <w:t>—</w:t>
      </w:r>
      <w:r>
        <w:rPr>
          <w:lang w:val="en-US"/>
        </w:rPr>
        <w:t xml:space="preserve"> i</w:t>
      </w:r>
      <w:r w:rsidRPr="002B5E80">
        <w:rPr>
          <w:lang w:val="en-US"/>
        </w:rPr>
        <w:t>n the tradition of STS</w:t>
      </w:r>
      <w:r>
        <w:rPr>
          <w:lang w:val="en-US"/>
        </w:rPr>
        <w:t xml:space="preserve"> </w:t>
      </w:r>
      <w:r w:rsidR="00FE3759">
        <w:rPr>
          <w:lang w:val="en-US"/>
        </w:rPr>
        <w:t>—</w:t>
      </w:r>
      <w:r>
        <w:rPr>
          <w:lang w:val="en-US"/>
        </w:rPr>
        <w:t xml:space="preserve"> </w:t>
      </w:r>
      <w:r w:rsidRPr="002B5E80">
        <w:rPr>
          <w:lang w:val="en-US"/>
        </w:rPr>
        <w:t xml:space="preserve">open the black box of scholarly work and academic functioning even further. Grant applications are published for three reasons: </w:t>
      </w:r>
    </w:p>
    <w:p w14:paraId="00000005" w14:textId="1C922F86" w:rsidR="00A25939" w:rsidRPr="002B5E80" w:rsidRDefault="00A25939" w:rsidP="007D569A">
      <w:pPr>
        <w:pStyle w:val="Quote"/>
        <w:rPr>
          <w:lang w:val="en-US"/>
        </w:rPr>
      </w:pPr>
      <w:r w:rsidRPr="002B5E80">
        <w:rPr>
          <w:lang w:val="en-US"/>
        </w:rPr>
        <w:t>First, they are valuable in and of themselves as pieces of preliminary research. Second, they contain metadata that catalogue the ideas, hypotheses, and theoretical perspectives within an academic field. Third, they offer historians insight into the non-linear development of scientific ideas and can therefore be used as metadata on the trends and biases in the process of awarding grants.</w:t>
      </w:r>
      <w:r>
        <w:rPr>
          <w:vertAlign w:val="superscript"/>
        </w:rPr>
        <w:footnoteReference w:id="4"/>
      </w:r>
    </w:p>
    <w:p w14:paraId="00000006" w14:textId="75865A08" w:rsidR="00A25939" w:rsidRPr="002B5E80" w:rsidRDefault="00A25939" w:rsidP="000A6FA6">
      <w:pPr>
        <w:rPr>
          <w:lang w:val="en-US"/>
        </w:rPr>
      </w:pPr>
      <w:r w:rsidRPr="002B5E80">
        <w:rPr>
          <w:lang w:val="en-US"/>
        </w:rPr>
        <w:t xml:space="preserve">What is interesting about the last-mentioned category specifically and about </w:t>
      </w:r>
      <w:r w:rsidRPr="002B5E80">
        <w:rPr>
          <w:i/>
          <w:lang w:val="en-US"/>
        </w:rPr>
        <w:t>JOTE</w:t>
      </w:r>
      <w:r w:rsidRPr="002B5E80">
        <w:rPr>
          <w:lang w:val="en-US"/>
        </w:rPr>
        <w:t xml:space="preserve"> in general is the attitude as it comes across. The online journal breathes youthfulness or </w:t>
      </w:r>
      <w:r>
        <w:rPr>
          <w:lang w:val="en-US"/>
        </w:rPr>
        <w:t>‘</w:t>
      </w:r>
      <w:r w:rsidRPr="002B5E80">
        <w:rPr>
          <w:lang w:val="en-US"/>
        </w:rPr>
        <w:t>science in the making</w:t>
      </w:r>
      <w:r>
        <w:rPr>
          <w:lang w:val="en-US"/>
        </w:rPr>
        <w:t>’,</w:t>
      </w:r>
      <w:r>
        <w:rPr>
          <w:rStyle w:val="FootnoteReference"/>
          <w:rFonts w:ascii="Calibri" w:eastAsia="Calibri" w:hAnsi="Calibri" w:cs="Calibri"/>
          <w:lang w:val="en-US"/>
        </w:rPr>
        <w:footnoteReference w:id="5"/>
      </w:r>
      <w:r w:rsidRPr="002B5E80">
        <w:rPr>
          <w:lang w:val="en-US"/>
        </w:rPr>
        <w:t xml:space="preserve"> which is to say that things like the </w:t>
      </w:r>
      <w:r>
        <w:rPr>
          <w:lang w:val="en-US"/>
        </w:rPr>
        <w:t>‘</w:t>
      </w:r>
      <w:r w:rsidRPr="002B5E80">
        <w:rPr>
          <w:lang w:val="en-US"/>
        </w:rPr>
        <w:t>replication crisis</w:t>
      </w:r>
      <w:r>
        <w:rPr>
          <w:lang w:val="en-US"/>
        </w:rPr>
        <w:t>’</w:t>
      </w:r>
      <w:r w:rsidRPr="002B5E80">
        <w:rPr>
          <w:lang w:val="en-US"/>
        </w:rPr>
        <w:t xml:space="preserve"> in science, the demands of the Open Science movement, or the folding of preliminary research (past) into industrial and tech applications (present) and/or the funding of future research are taken up confidently as defining features of 21</w:t>
      </w:r>
      <w:r w:rsidRPr="002B5E80">
        <w:rPr>
          <w:vertAlign w:val="superscript"/>
          <w:lang w:val="en-US"/>
        </w:rPr>
        <w:t>st</w:t>
      </w:r>
      <w:r w:rsidRPr="002B5E80">
        <w:rPr>
          <w:lang w:val="en-US"/>
        </w:rPr>
        <w:t xml:space="preserve">-century scholarship and academic life. By affirming that the metadata of research must be captured for historians and brought into circulation today as well as that science develops non-linearly, </w:t>
      </w:r>
      <w:r w:rsidRPr="002B5E80">
        <w:rPr>
          <w:i/>
          <w:lang w:val="en-US"/>
        </w:rPr>
        <w:t>JOTE</w:t>
      </w:r>
      <w:r w:rsidRPr="002B5E80">
        <w:rPr>
          <w:lang w:val="en-US"/>
        </w:rPr>
        <w:t xml:space="preserve"> consciously situates itself in the </w:t>
      </w:r>
      <w:r>
        <w:rPr>
          <w:lang w:val="en-US"/>
        </w:rPr>
        <w:lastRenderedPageBreak/>
        <w:t>‘</w:t>
      </w:r>
      <w:r w:rsidRPr="002B5E80">
        <w:rPr>
          <w:lang w:val="en-US"/>
        </w:rPr>
        <w:t>algorithmic condition</w:t>
      </w:r>
      <w:r>
        <w:rPr>
          <w:lang w:val="en-US"/>
        </w:rPr>
        <w:t>’.</w:t>
      </w:r>
      <w:r>
        <w:rPr>
          <w:rStyle w:val="FootnoteReference"/>
          <w:rFonts w:ascii="Calibri" w:eastAsia="Calibri" w:hAnsi="Calibri" w:cs="Calibri"/>
          <w:lang w:val="en-US"/>
        </w:rPr>
        <w:footnoteReference w:id="6"/>
      </w:r>
      <w:r w:rsidRPr="002B5E80">
        <w:rPr>
          <w:lang w:val="en-US"/>
        </w:rPr>
        <w:t xml:space="preserve"> After all, today’s science is being conditioned by and adds to the computational procedures that drive the workings of the </w:t>
      </w:r>
      <w:r>
        <w:rPr>
          <w:lang w:val="en-US"/>
        </w:rPr>
        <w:t>i</w:t>
      </w:r>
      <w:r w:rsidRPr="002B5E80">
        <w:rPr>
          <w:lang w:val="en-US"/>
        </w:rPr>
        <w:t>nternet as the global and dynamic externalized collective brain that stores, makes accessible, and transmits knowledge, information, data, and, indeed, affects.</w:t>
      </w:r>
    </w:p>
    <w:p w14:paraId="00000009" w14:textId="5FEF089F" w:rsidR="00A25939" w:rsidRPr="002B5E80" w:rsidRDefault="00A25939" w:rsidP="000A6FA6">
      <w:pPr>
        <w:rPr>
          <w:lang w:val="en-US"/>
        </w:rPr>
      </w:pPr>
      <w:r w:rsidRPr="002B5E80">
        <w:rPr>
          <w:lang w:val="en-US"/>
        </w:rPr>
        <w:t xml:space="preserve">In the contemporary world in which both </w:t>
      </w:r>
      <w:r w:rsidRPr="002B5E80">
        <w:rPr>
          <w:i/>
          <w:lang w:val="en-US"/>
        </w:rPr>
        <w:t>JOTE</w:t>
      </w:r>
      <w:r w:rsidRPr="002B5E80">
        <w:rPr>
          <w:lang w:val="en-US"/>
        </w:rPr>
        <w:t xml:space="preserve"> and scholarly research in general are situated, and within which we, as scholars, peer-reviewers, and, quite simply, individuals live our professional and private lives, change is the new stability. This characteristic aspect of the algorithmic condition renews the academic, artistic, and a</w:t>
      </w:r>
      <w:r>
        <w:rPr>
          <w:lang w:val="en-US"/>
        </w:rPr>
        <w:t>c</w:t>
      </w:r>
      <w:r w:rsidRPr="002B5E80">
        <w:rPr>
          <w:lang w:val="en-US"/>
        </w:rPr>
        <w:t>tivist interest in failure as paradox. Failures are both obstacles and sites of movement. They are blockages as well as a generative force. This being the case, the negative connotation of failure itself (failure vs. success) needs adjusting.</w:t>
      </w:r>
      <w:r>
        <w:rPr>
          <w:rStyle w:val="FootnoteReference"/>
          <w:rFonts w:ascii="Calibri" w:eastAsia="Calibri" w:hAnsi="Calibri" w:cs="Calibri"/>
          <w:lang w:val="en-US"/>
        </w:rPr>
        <w:footnoteReference w:id="7"/>
      </w:r>
      <w:r w:rsidRPr="002B5E80">
        <w:rPr>
          <w:lang w:val="en-US"/>
        </w:rPr>
        <w:t xml:space="preserve"> This is precisely what the students behind </w:t>
      </w:r>
      <w:r>
        <w:rPr>
          <w:i/>
          <w:lang w:val="en-US"/>
        </w:rPr>
        <w:t>JOTE</w:t>
      </w:r>
      <w:r w:rsidRPr="002B5E80">
        <w:rPr>
          <w:i/>
          <w:lang w:val="en-US"/>
        </w:rPr>
        <w:t xml:space="preserve"> </w:t>
      </w:r>
      <w:r w:rsidRPr="002B5E80">
        <w:rPr>
          <w:lang w:val="en-US"/>
        </w:rPr>
        <w:t xml:space="preserve">are teaching us when they write that they are concerned about </w:t>
      </w:r>
      <w:r>
        <w:rPr>
          <w:lang w:val="en-US"/>
        </w:rPr>
        <w:t>‘</w:t>
      </w:r>
      <w:r w:rsidRPr="002B5E80">
        <w:rPr>
          <w:lang w:val="en-US"/>
        </w:rPr>
        <w:t>the publication pressures that researchers face</w:t>
      </w:r>
      <w:r>
        <w:rPr>
          <w:lang w:val="en-US"/>
        </w:rPr>
        <w:t xml:space="preserve"> </w:t>
      </w:r>
      <w:r w:rsidR="00FE3759">
        <w:rPr>
          <w:lang w:val="en-US"/>
        </w:rPr>
        <w:t>—</w:t>
      </w:r>
      <w:r>
        <w:rPr>
          <w:lang w:val="en-US"/>
        </w:rPr>
        <w:t xml:space="preserve"> </w:t>
      </w:r>
      <w:r w:rsidRPr="002B5E80">
        <w:rPr>
          <w:lang w:val="en-US"/>
        </w:rPr>
        <w:t>especially junior investigators</w:t>
      </w:r>
      <w:r>
        <w:rPr>
          <w:lang w:val="en-US"/>
        </w:rPr>
        <w:t xml:space="preserve"> </w:t>
      </w:r>
      <w:r w:rsidR="00FE3759">
        <w:rPr>
          <w:lang w:val="en-US"/>
        </w:rPr>
        <w:t>—</w:t>
      </w:r>
      <w:r>
        <w:rPr>
          <w:lang w:val="en-US"/>
        </w:rPr>
        <w:t xml:space="preserve"> </w:t>
      </w:r>
      <w:r w:rsidRPr="002B5E80">
        <w:rPr>
          <w:lang w:val="en-US"/>
        </w:rPr>
        <w:t>in their pursuit of a career in science</w:t>
      </w:r>
      <w:r>
        <w:rPr>
          <w:lang w:val="en-US"/>
        </w:rPr>
        <w:t>’</w:t>
      </w:r>
      <w:r w:rsidRPr="002B5E80">
        <w:rPr>
          <w:lang w:val="en-US"/>
        </w:rPr>
        <w:t>.</w:t>
      </w:r>
      <w:r>
        <w:rPr>
          <w:vertAlign w:val="superscript"/>
        </w:rPr>
        <w:footnoteReference w:id="8"/>
      </w:r>
      <w:r w:rsidRPr="002B5E80">
        <w:rPr>
          <w:lang w:val="en-US"/>
        </w:rPr>
        <w:t xml:space="preserve"> According to their second tagline, </w:t>
      </w:r>
      <w:r>
        <w:rPr>
          <w:lang w:val="en-US"/>
        </w:rPr>
        <w:t>‘</w:t>
      </w:r>
      <w:r w:rsidRPr="002B5E80">
        <w:rPr>
          <w:lang w:val="en-US"/>
        </w:rPr>
        <w:t xml:space="preserve">[t]here is a gap between what is researched and what is published. </w:t>
      </w:r>
      <w:r w:rsidRPr="00435460">
        <w:rPr>
          <w:i/>
          <w:iCs/>
          <w:lang w:val="en-US"/>
        </w:rPr>
        <w:t>JOTE</w:t>
      </w:r>
      <w:r w:rsidRPr="002B5E80">
        <w:rPr>
          <w:lang w:val="en-US"/>
        </w:rPr>
        <w:t xml:space="preserve"> aims to close that gap</w:t>
      </w:r>
      <w:r>
        <w:rPr>
          <w:lang w:val="en-US"/>
        </w:rPr>
        <w:t>’</w:t>
      </w:r>
      <w:r w:rsidRPr="002B5E80">
        <w:rPr>
          <w:lang w:val="en-US"/>
        </w:rPr>
        <w:t>.</w:t>
      </w:r>
      <w:r>
        <w:rPr>
          <w:vertAlign w:val="superscript"/>
        </w:rPr>
        <w:footnoteReference w:id="9"/>
      </w:r>
      <w:r w:rsidRPr="002B5E80">
        <w:rPr>
          <w:lang w:val="en-US"/>
        </w:rPr>
        <w:t xml:space="preserve"> What gets published usually goes accompanied by an air of linearity, success, and grandeur, whereas the latter features are not the features of science as it is daily done. The students write: </w:t>
      </w:r>
    </w:p>
    <w:p w14:paraId="0000000B" w14:textId="6F135456" w:rsidR="00A25939" w:rsidRPr="002B5E80" w:rsidRDefault="00A25939" w:rsidP="007D569A">
      <w:pPr>
        <w:pStyle w:val="Quote"/>
        <w:rPr>
          <w:lang w:val="en-US"/>
        </w:rPr>
      </w:pPr>
      <w:r w:rsidRPr="002B5E80">
        <w:rPr>
          <w:lang w:val="en-US"/>
        </w:rPr>
        <w:t xml:space="preserve">Publicly, science is thought of as an unambiguous set of operations that gleans truth from chaos. By applying a set of specialized methodologies in a well-delineated process, the </w:t>
      </w:r>
      <w:r>
        <w:rPr>
          <w:lang w:val="en-US"/>
        </w:rPr>
        <w:t>‘</w:t>
      </w:r>
      <w:r w:rsidRPr="002B5E80">
        <w:rPr>
          <w:lang w:val="en-US"/>
        </w:rPr>
        <w:t>blooming, buzzing confusion</w:t>
      </w:r>
      <w:r>
        <w:rPr>
          <w:lang w:val="en-US"/>
        </w:rPr>
        <w:t>’</w:t>
      </w:r>
      <w:r w:rsidRPr="002B5E80">
        <w:rPr>
          <w:lang w:val="en-US"/>
        </w:rPr>
        <w:t xml:space="preserve"> of experience can be quantified, categorized, and systematized. But in practice, science is quite messy. Experiments rarely work on the first try or as expected, results rarely falsify hypotheses directly, and knowledge is gained in small, incremental steps instead of great leaps. This process of fine-tuning is at odds with the public image of science as an enterprise designed for consistent large-scale discovery.</w:t>
      </w:r>
      <w:r>
        <w:rPr>
          <w:rStyle w:val="FootnoteReference"/>
          <w:rFonts w:ascii="Calibri" w:eastAsia="Calibri" w:hAnsi="Calibri" w:cs="Calibri"/>
          <w:lang w:val="en-US"/>
        </w:rPr>
        <w:footnoteReference w:id="10"/>
      </w:r>
      <w:r w:rsidRPr="002B5E80">
        <w:rPr>
          <w:lang w:val="en-US"/>
        </w:rPr>
        <w:t xml:space="preserve"> </w:t>
      </w:r>
    </w:p>
    <w:p w14:paraId="1C62D49F" w14:textId="77777777" w:rsidR="00FE3759" w:rsidRDefault="00FE3759" w:rsidP="000A6FA6">
      <w:pPr>
        <w:rPr>
          <w:lang w:val="en-US"/>
        </w:rPr>
      </w:pPr>
    </w:p>
    <w:p w14:paraId="0000000C" w14:textId="54D221AD" w:rsidR="00A25939" w:rsidRPr="002B5E80" w:rsidRDefault="00A25939" w:rsidP="000A6FA6">
      <w:pPr>
        <w:rPr>
          <w:lang w:val="en-US"/>
        </w:rPr>
      </w:pPr>
      <w:r w:rsidRPr="002B5E80">
        <w:rPr>
          <w:lang w:val="en-US"/>
        </w:rPr>
        <w:t xml:space="preserve">In the reality of science in the making, failure is, quite simply, daily practice. </w:t>
      </w:r>
      <w:r>
        <w:rPr>
          <w:lang w:val="en-US"/>
        </w:rPr>
        <w:t>Only</w:t>
      </w:r>
      <w:r w:rsidRPr="002B5E80">
        <w:rPr>
          <w:lang w:val="en-US"/>
        </w:rPr>
        <w:t xml:space="preserve"> when the public image of science </w:t>
      </w:r>
      <w:r w:rsidR="00FE3759">
        <w:rPr>
          <w:lang w:val="en-US"/>
        </w:rPr>
        <w:t>—</w:t>
      </w:r>
      <w:r w:rsidRPr="002B5E80">
        <w:rPr>
          <w:lang w:val="en-US"/>
        </w:rPr>
        <w:t xml:space="preserve"> an image that also features in university lecture halls and in popular news media </w:t>
      </w:r>
      <w:r w:rsidR="00FE3759">
        <w:rPr>
          <w:lang w:val="en-US"/>
        </w:rPr>
        <w:t>—</w:t>
      </w:r>
      <w:r w:rsidRPr="002B5E80">
        <w:rPr>
          <w:lang w:val="en-US"/>
        </w:rPr>
        <w:t xml:space="preserve"> is projected back onto the everyday reality of lab scientists and desk and archival researchers</w:t>
      </w:r>
      <w:r>
        <w:rPr>
          <w:lang w:val="en-US"/>
        </w:rPr>
        <w:t xml:space="preserve"> do their</w:t>
      </w:r>
      <w:r w:rsidRPr="002B5E80">
        <w:rPr>
          <w:lang w:val="en-US"/>
        </w:rPr>
        <w:t xml:space="preserve"> experiences with </w:t>
      </w:r>
      <w:r>
        <w:rPr>
          <w:lang w:val="en-US"/>
        </w:rPr>
        <w:t>‘</w:t>
      </w:r>
      <w:r w:rsidRPr="002B5E80">
        <w:rPr>
          <w:lang w:val="en-US"/>
        </w:rPr>
        <w:t>chaos,</w:t>
      </w:r>
      <w:r>
        <w:rPr>
          <w:lang w:val="en-US"/>
        </w:rPr>
        <w:t>’</w:t>
      </w:r>
      <w:r w:rsidRPr="002B5E80">
        <w:rPr>
          <w:lang w:val="en-US"/>
        </w:rPr>
        <w:t xml:space="preserve"> </w:t>
      </w:r>
      <w:r>
        <w:rPr>
          <w:lang w:val="en-US"/>
        </w:rPr>
        <w:t>‘</w:t>
      </w:r>
      <w:r w:rsidRPr="002B5E80">
        <w:rPr>
          <w:lang w:val="en-US"/>
        </w:rPr>
        <w:t>confusion,</w:t>
      </w:r>
      <w:r>
        <w:rPr>
          <w:lang w:val="en-US"/>
        </w:rPr>
        <w:t>’</w:t>
      </w:r>
      <w:r w:rsidRPr="002B5E80">
        <w:rPr>
          <w:lang w:val="en-US"/>
        </w:rPr>
        <w:t xml:space="preserve"> </w:t>
      </w:r>
      <w:r>
        <w:rPr>
          <w:lang w:val="en-US"/>
        </w:rPr>
        <w:t>‘</w:t>
      </w:r>
      <w:r w:rsidRPr="002B5E80">
        <w:rPr>
          <w:lang w:val="en-US"/>
        </w:rPr>
        <w:t>mess,</w:t>
      </w:r>
      <w:r>
        <w:rPr>
          <w:lang w:val="en-US"/>
        </w:rPr>
        <w:t>’</w:t>
      </w:r>
      <w:r w:rsidRPr="002B5E80">
        <w:rPr>
          <w:lang w:val="en-US"/>
        </w:rPr>
        <w:t xml:space="preserve"> </w:t>
      </w:r>
      <w:r>
        <w:rPr>
          <w:lang w:val="en-US"/>
        </w:rPr>
        <w:t>‘</w:t>
      </w:r>
      <w:r w:rsidRPr="002B5E80">
        <w:rPr>
          <w:lang w:val="en-US"/>
        </w:rPr>
        <w:t>incrementality,</w:t>
      </w:r>
      <w:r>
        <w:rPr>
          <w:lang w:val="en-US"/>
        </w:rPr>
        <w:t>’</w:t>
      </w:r>
      <w:r w:rsidRPr="002B5E80">
        <w:rPr>
          <w:lang w:val="en-US"/>
        </w:rPr>
        <w:t xml:space="preserve"> and </w:t>
      </w:r>
      <w:r>
        <w:rPr>
          <w:lang w:val="en-US"/>
        </w:rPr>
        <w:t>‘</w:t>
      </w:r>
      <w:r w:rsidRPr="002B5E80">
        <w:rPr>
          <w:lang w:val="en-US"/>
        </w:rPr>
        <w:t>fine-tuning</w:t>
      </w:r>
      <w:r>
        <w:rPr>
          <w:lang w:val="en-US"/>
        </w:rPr>
        <w:t>’</w:t>
      </w:r>
      <w:r w:rsidRPr="002B5E80">
        <w:rPr>
          <w:lang w:val="en-US"/>
        </w:rPr>
        <w:t xml:space="preserve"> </w:t>
      </w:r>
      <w:r>
        <w:rPr>
          <w:lang w:val="en-US"/>
        </w:rPr>
        <w:t>come</w:t>
      </w:r>
      <w:r w:rsidRPr="002B5E80">
        <w:rPr>
          <w:lang w:val="en-US"/>
        </w:rPr>
        <w:t xml:space="preserve"> to carry negative connotations of failure. When the starting point is practice, a symmetrical approach of alternating successes and failures comes within reach. This approach seems to drive </w:t>
      </w:r>
      <w:r w:rsidRPr="002B5E80">
        <w:rPr>
          <w:i/>
          <w:lang w:val="en-US"/>
        </w:rPr>
        <w:t>JOTE</w:t>
      </w:r>
      <w:r>
        <w:rPr>
          <w:i/>
          <w:lang w:val="en-US"/>
        </w:rPr>
        <w:t>,</w:t>
      </w:r>
      <w:r w:rsidRPr="002B5E80">
        <w:rPr>
          <w:lang w:val="en-US"/>
        </w:rPr>
        <w:t xml:space="preserve"> as well as the algorithmic condition per se.</w:t>
      </w:r>
    </w:p>
    <w:p w14:paraId="0000000E" w14:textId="49EC9E43" w:rsidR="00A25939" w:rsidRPr="002B5E80" w:rsidRDefault="00A25939" w:rsidP="007D569A">
      <w:pPr>
        <w:rPr>
          <w:lang w:val="en-US"/>
        </w:rPr>
      </w:pPr>
      <w:r w:rsidRPr="002B5E80">
        <w:rPr>
          <w:lang w:val="en-US"/>
        </w:rPr>
        <w:t>The field of science and technology studies has long been interested in research and development failures. R</w:t>
      </w:r>
      <w:r>
        <w:rPr>
          <w:lang w:val="en-US"/>
        </w:rPr>
        <w:t>esearch</w:t>
      </w:r>
      <w:r w:rsidRPr="002B5E80">
        <w:rPr>
          <w:lang w:val="en-US"/>
        </w:rPr>
        <w:t xml:space="preserve"> and development</w:t>
      </w:r>
      <w:r>
        <w:rPr>
          <w:lang w:val="en-US"/>
        </w:rPr>
        <w:t xml:space="preserve"> </w:t>
      </w:r>
      <w:r w:rsidRPr="002B5E80">
        <w:rPr>
          <w:lang w:val="en-US"/>
        </w:rPr>
        <w:t xml:space="preserve">failures form an excellent entry point for a symmetrical anthropology that does not want to import assumptions about binaries such as old-new, true-false, and good-bad into its analyses, refraining from imposing value on the </w:t>
      </w:r>
      <w:r w:rsidRPr="002B5E80">
        <w:rPr>
          <w:lang w:val="en-US"/>
        </w:rPr>
        <w:lastRenderedPageBreak/>
        <w:t xml:space="preserve">networks studied. In </w:t>
      </w:r>
      <w:r w:rsidRPr="002B5E80">
        <w:rPr>
          <w:i/>
          <w:lang w:val="en-US"/>
        </w:rPr>
        <w:t>Aramis, or the Love of Technology</w:t>
      </w:r>
      <w:r w:rsidRPr="002B5E80">
        <w:rPr>
          <w:lang w:val="en-US"/>
        </w:rPr>
        <w:t xml:space="preserve">, anthropologist of science Bruno Latour discusses the innovative public transport system, Aramis, that was prepared for use in Paris from the late 1960s until it was suddenly abandoned in the early 1980s. Latour assembles as many voices about this </w:t>
      </w:r>
      <w:proofErr w:type="spellStart"/>
      <w:r w:rsidRPr="002B5E80">
        <w:rPr>
          <w:lang w:val="en-US"/>
        </w:rPr>
        <w:t>sociotechnological</w:t>
      </w:r>
      <w:proofErr w:type="spellEnd"/>
      <w:r w:rsidRPr="002B5E80">
        <w:rPr>
          <w:lang w:val="en-US"/>
        </w:rPr>
        <w:t xml:space="preserve"> failure as possible. Failures linger in the space between </w:t>
      </w:r>
      <w:r>
        <w:rPr>
          <w:lang w:val="en-US"/>
        </w:rPr>
        <w:t>‘</w:t>
      </w:r>
      <w:r w:rsidRPr="002B5E80">
        <w:rPr>
          <w:lang w:val="en-US"/>
        </w:rPr>
        <w:t>started</w:t>
      </w:r>
      <w:r>
        <w:rPr>
          <w:lang w:val="en-US"/>
        </w:rPr>
        <w:t>’</w:t>
      </w:r>
      <w:r w:rsidRPr="002B5E80">
        <w:rPr>
          <w:lang w:val="en-US"/>
        </w:rPr>
        <w:t xml:space="preserve"> and </w:t>
      </w:r>
      <w:r>
        <w:rPr>
          <w:lang w:val="en-US"/>
        </w:rPr>
        <w:t>‘</w:t>
      </w:r>
      <w:r w:rsidRPr="002B5E80">
        <w:rPr>
          <w:lang w:val="en-US"/>
        </w:rPr>
        <w:t>finished,</w:t>
      </w:r>
      <w:r>
        <w:rPr>
          <w:lang w:val="en-US"/>
        </w:rPr>
        <w:t>’</w:t>
      </w:r>
      <w:r w:rsidRPr="002B5E80">
        <w:rPr>
          <w:lang w:val="en-US"/>
        </w:rPr>
        <w:t xml:space="preserve"> and as such they remain projects. </w:t>
      </w:r>
      <w:r>
        <w:rPr>
          <w:lang w:val="en-US"/>
        </w:rPr>
        <w:t>‘</w:t>
      </w:r>
      <w:r w:rsidRPr="002B5E80">
        <w:rPr>
          <w:lang w:val="en-US"/>
        </w:rPr>
        <w:t xml:space="preserve">About technological </w:t>
      </w:r>
      <w:r w:rsidRPr="002B5E80">
        <w:rPr>
          <w:i/>
          <w:lang w:val="en-US"/>
        </w:rPr>
        <w:t>projects</w:t>
      </w:r>
      <w:r>
        <w:rPr>
          <w:lang w:val="en-US"/>
        </w:rPr>
        <w:t>’</w:t>
      </w:r>
      <w:r w:rsidRPr="002B5E80">
        <w:rPr>
          <w:lang w:val="en-US"/>
        </w:rPr>
        <w:t xml:space="preserve">, Latour argues, </w:t>
      </w:r>
      <w:r>
        <w:rPr>
          <w:lang w:val="en-US"/>
        </w:rPr>
        <w:t>‘</w:t>
      </w:r>
      <w:r w:rsidRPr="002B5E80">
        <w:rPr>
          <w:lang w:val="en-US"/>
        </w:rPr>
        <w:t>one can only be subjective. Only those projects that turn into objects, institutions, allow for objectivity. [...] Projects drift; that’s why they’re called research projects</w:t>
      </w:r>
      <w:r>
        <w:rPr>
          <w:lang w:val="en-US"/>
        </w:rPr>
        <w:t>’.</w:t>
      </w:r>
      <w:r>
        <w:rPr>
          <w:rStyle w:val="FootnoteReference"/>
          <w:rFonts w:ascii="Calibri" w:eastAsia="Calibri" w:hAnsi="Calibri" w:cs="Calibri"/>
          <w:lang w:val="en-US"/>
        </w:rPr>
        <w:footnoteReference w:id="11"/>
      </w:r>
      <w:r w:rsidRPr="002B5E80">
        <w:rPr>
          <w:lang w:val="en-US"/>
        </w:rPr>
        <w:t xml:space="preserve"> The well-functioning transport innovation died a premature death because of a lacking number of sustained linkages between, and crossings of, social and technical systems. The innovation ended up not being networked enough and it is only possible to retroactively pinpoint why Aramis had to fail by combining as many test reports as possible. For one thing, Latour’s </w:t>
      </w:r>
      <w:proofErr w:type="spellStart"/>
      <w:r w:rsidRPr="002B5E80">
        <w:rPr>
          <w:lang w:val="en-US"/>
        </w:rPr>
        <w:t>multivoiced</w:t>
      </w:r>
      <w:proofErr w:type="spellEnd"/>
      <w:r w:rsidRPr="002B5E80">
        <w:rPr>
          <w:lang w:val="en-US"/>
        </w:rPr>
        <w:t xml:space="preserve"> </w:t>
      </w:r>
      <w:r>
        <w:rPr>
          <w:lang w:val="en-US"/>
        </w:rPr>
        <w:t>systemic functional</w:t>
      </w:r>
      <w:r w:rsidRPr="002B5E80">
        <w:rPr>
          <w:lang w:val="en-US"/>
        </w:rPr>
        <w:t xml:space="preserve"> analysis into who killed Aramis demonstrates that the project has indeed produced a lot of viewpoints.</w:t>
      </w:r>
    </w:p>
    <w:p w14:paraId="60A4D7C1" w14:textId="2BCF8149" w:rsidR="00A25939" w:rsidRDefault="00A25939" w:rsidP="000A6FA6">
      <w:pPr>
        <w:rPr>
          <w:lang w:val="en-US"/>
        </w:rPr>
      </w:pPr>
      <w:r>
        <w:rPr>
          <w:lang w:val="en-US"/>
        </w:rPr>
        <w:t>‘</w:t>
      </w:r>
      <w:r w:rsidRPr="002B5E80">
        <w:rPr>
          <w:lang w:val="en-US"/>
        </w:rPr>
        <w:t>Projects drift; that’s why they’re called research projects</w:t>
      </w:r>
      <w:r>
        <w:rPr>
          <w:lang w:val="en-US"/>
        </w:rPr>
        <w:t>’,</w:t>
      </w:r>
      <w:r w:rsidRPr="002B5E80">
        <w:rPr>
          <w:lang w:val="en-US"/>
        </w:rPr>
        <w:t xml:space="preserve"> wrote Latour. And this is precisely what the students behind </w:t>
      </w:r>
      <w:r w:rsidRPr="002B5E80">
        <w:rPr>
          <w:i/>
          <w:lang w:val="en-US"/>
        </w:rPr>
        <w:t>JOTE</w:t>
      </w:r>
      <w:r w:rsidRPr="002B5E80">
        <w:rPr>
          <w:lang w:val="en-US"/>
        </w:rPr>
        <w:t xml:space="preserve"> want to embrace. They writ</w:t>
      </w:r>
      <w:r>
        <w:rPr>
          <w:lang w:val="en-US"/>
        </w:rPr>
        <w:t>e</w:t>
      </w:r>
      <w:r w:rsidRPr="002B5E80">
        <w:rPr>
          <w:lang w:val="en-US"/>
        </w:rPr>
        <w:t xml:space="preserve"> </w:t>
      </w:r>
      <w:r>
        <w:rPr>
          <w:lang w:val="en-US"/>
        </w:rPr>
        <w:t>‘“t</w:t>
      </w:r>
      <w:r w:rsidRPr="002B5E80">
        <w:rPr>
          <w:lang w:val="en-US"/>
        </w:rPr>
        <w:t>rial and error</w:t>
      </w:r>
      <w:r>
        <w:rPr>
          <w:lang w:val="en-US"/>
        </w:rPr>
        <w:t>”</w:t>
      </w:r>
      <w:r w:rsidRPr="002B5E80">
        <w:rPr>
          <w:lang w:val="en-US"/>
        </w:rPr>
        <w:t xml:space="preserve"> is an inherent and fundamentally collaborative mechanism of the scientific process, whereby scientists share knowledge of both successes and failures to inform future endeavors. To know what is, we must know what is not</w:t>
      </w:r>
      <w:r>
        <w:rPr>
          <w:lang w:val="en-US"/>
        </w:rPr>
        <w:t>’</w:t>
      </w:r>
      <w:r w:rsidRPr="002B5E80">
        <w:rPr>
          <w:lang w:val="en-US"/>
        </w:rPr>
        <w:t>.</w:t>
      </w:r>
      <w:r>
        <w:rPr>
          <w:rStyle w:val="FootnoteReference"/>
          <w:rFonts w:ascii="Calibri" w:eastAsia="Calibri" w:hAnsi="Calibri" w:cs="Calibri"/>
          <w:lang w:val="en-US"/>
        </w:rPr>
        <w:footnoteReference w:id="12"/>
      </w:r>
      <w:r w:rsidRPr="002B5E80">
        <w:rPr>
          <w:lang w:val="en-US"/>
        </w:rPr>
        <w:t xml:space="preserve"> What graduate student Sean Devine and his peers write is, indeed, refreshing, but it is also conceptually precise and, in the algorithmic condition, incredibly up to date. Distinct from failure as lack (a deficiency) that is at risk of getting essentialized and taken for granted as a trait, failure as a verb (an act of failing) refers to unexpected moves, glitches, or hiccups in bodies, interactions, or relations with often productive consequences for those humans and nonhumans involved. Owing to such unforeseen happenings and unlooked for results, </w:t>
      </w:r>
      <w:r>
        <w:rPr>
          <w:lang w:val="en-US"/>
        </w:rPr>
        <w:t>‘</w:t>
      </w:r>
      <w:r w:rsidRPr="002B5E80">
        <w:rPr>
          <w:lang w:val="en-US"/>
        </w:rPr>
        <w:t>failures</w:t>
      </w:r>
      <w:r>
        <w:rPr>
          <w:lang w:val="en-US"/>
        </w:rPr>
        <w:t>’</w:t>
      </w:r>
      <w:r w:rsidRPr="002B5E80">
        <w:rPr>
          <w:lang w:val="en-US"/>
        </w:rPr>
        <w:t xml:space="preserve"> are characterized by change and transition rather than stability. </w:t>
      </w:r>
    </w:p>
    <w:p w14:paraId="00000010" w14:textId="50B29A18" w:rsidR="00A25939" w:rsidRPr="002B5E80" w:rsidRDefault="00A25939" w:rsidP="007D569A">
      <w:pPr>
        <w:rPr>
          <w:lang w:val="en-US"/>
        </w:rPr>
      </w:pPr>
      <w:r w:rsidRPr="002B5E80">
        <w:rPr>
          <w:lang w:val="en-US"/>
        </w:rPr>
        <w:t xml:space="preserve">Given that glitches often occur today in all-pervasive human-computer systems interaction, change is the new stability indeed. Anthropologist Arjun Appadurai and media theorist Neta Alexander define </w:t>
      </w:r>
      <w:r>
        <w:rPr>
          <w:lang w:val="en-US"/>
        </w:rPr>
        <w:t>‘</w:t>
      </w:r>
      <w:r w:rsidRPr="002B5E80">
        <w:rPr>
          <w:lang w:val="en-US"/>
        </w:rPr>
        <w:t>habitual failure</w:t>
      </w:r>
      <w:r>
        <w:rPr>
          <w:lang w:val="en-US"/>
        </w:rPr>
        <w:t>’</w:t>
      </w:r>
      <w:r w:rsidRPr="002B5E80">
        <w:rPr>
          <w:lang w:val="en-US"/>
        </w:rPr>
        <w:t xml:space="preserve"> as </w:t>
      </w:r>
      <w:r>
        <w:rPr>
          <w:lang w:val="en-US"/>
        </w:rPr>
        <w:t>‘</w:t>
      </w:r>
      <w:r w:rsidRPr="002B5E80">
        <w:rPr>
          <w:lang w:val="en-US"/>
        </w:rPr>
        <w:t xml:space="preserve">that which changes nothing: the non-event or the rapidly dismissed encounter with the helplessness of users and </w:t>
      </w:r>
      <w:proofErr w:type="gramStart"/>
      <w:r w:rsidRPr="002B5E80">
        <w:rPr>
          <w:lang w:val="en-US"/>
        </w:rPr>
        <w:t>consumers</w:t>
      </w:r>
      <w:r>
        <w:rPr>
          <w:lang w:val="en-US"/>
        </w:rPr>
        <w:t>’</w:t>
      </w:r>
      <w:proofErr w:type="gramEnd"/>
      <w:r>
        <w:rPr>
          <w:lang w:val="en-US"/>
        </w:rPr>
        <w:t>.</w:t>
      </w:r>
      <w:r>
        <w:rPr>
          <w:rStyle w:val="FootnoteReference"/>
          <w:rFonts w:ascii="Calibri" w:eastAsia="Calibri" w:hAnsi="Calibri" w:cs="Calibri"/>
          <w:lang w:val="en-US"/>
        </w:rPr>
        <w:footnoteReference w:id="13"/>
      </w:r>
      <w:r w:rsidRPr="002B5E80">
        <w:rPr>
          <w:lang w:val="en-US"/>
        </w:rPr>
        <w:t xml:space="preserve"> Appadurai and Alexander do acknowledge that, in the contexts of digital and financial systems specifically, acts of failing have an impact on today’s user or consumer subject who gets positioned as </w:t>
      </w:r>
      <w:r>
        <w:rPr>
          <w:lang w:val="en-US"/>
        </w:rPr>
        <w:t>‘</w:t>
      </w:r>
      <w:r w:rsidRPr="002B5E80">
        <w:rPr>
          <w:lang w:val="en-US"/>
        </w:rPr>
        <w:t>a perennial tester, a reporter on failures</w:t>
      </w:r>
      <w:r>
        <w:rPr>
          <w:lang w:val="en-US"/>
        </w:rPr>
        <w:t>’.</w:t>
      </w:r>
      <w:r>
        <w:rPr>
          <w:rStyle w:val="FootnoteReference"/>
          <w:rFonts w:ascii="Calibri" w:eastAsia="Calibri" w:hAnsi="Calibri" w:cs="Calibri"/>
          <w:lang w:val="en-US"/>
        </w:rPr>
        <w:footnoteReference w:id="14"/>
      </w:r>
    </w:p>
    <w:p w14:paraId="00000013" w14:textId="42C5F889" w:rsidR="00A25939" w:rsidRPr="002B5E80" w:rsidRDefault="00A25939" w:rsidP="000A6FA6">
      <w:pPr>
        <w:rPr>
          <w:lang w:val="en-US"/>
        </w:rPr>
      </w:pPr>
      <w:r w:rsidRPr="002B5E80">
        <w:rPr>
          <w:lang w:val="en-US"/>
        </w:rPr>
        <w:t>Acts of failure are temporary defeats or final failures that nevertheless perform in unexpected ways. Returning to such acts (</w:t>
      </w:r>
      <w:r>
        <w:rPr>
          <w:lang w:val="en-US"/>
        </w:rPr>
        <w:t>‘</w:t>
      </w:r>
      <w:r w:rsidRPr="002B5E80">
        <w:rPr>
          <w:lang w:val="en-US"/>
        </w:rPr>
        <w:t>glitches</w:t>
      </w:r>
      <w:r>
        <w:rPr>
          <w:lang w:val="en-US"/>
        </w:rPr>
        <w:t>’</w:t>
      </w:r>
      <w:r w:rsidRPr="002B5E80">
        <w:rPr>
          <w:lang w:val="en-US"/>
        </w:rPr>
        <w:t>) in digital systems, writer and curator Legacy Russell argues:</w:t>
      </w:r>
    </w:p>
    <w:p w14:paraId="00000015" w14:textId="3FDC7B42" w:rsidR="00A25939" w:rsidRPr="002B5E80" w:rsidRDefault="00A25939" w:rsidP="007D569A">
      <w:pPr>
        <w:pStyle w:val="Quote"/>
        <w:rPr>
          <w:lang w:val="en-US"/>
        </w:rPr>
      </w:pPr>
      <w:r w:rsidRPr="002B5E80">
        <w:rPr>
          <w:lang w:val="en-US"/>
        </w:rPr>
        <w:t xml:space="preserve">Herein lies a paradox: glitch moves, but glitch also blocks. It incites movement while simultaneously creating an obstacle. Glitch prompts and glitch prevents. With this, glitch becomes a catalyst, </w:t>
      </w:r>
      <w:proofErr w:type="gramStart"/>
      <w:r w:rsidRPr="002B5E80">
        <w:rPr>
          <w:lang w:val="en-US"/>
        </w:rPr>
        <w:t>opening up</w:t>
      </w:r>
      <w:proofErr w:type="gramEnd"/>
      <w:r w:rsidRPr="002B5E80">
        <w:rPr>
          <w:lang w:val="en-US"/>
        </w:rPr>
        <w:t xml:space="preserve"> new pathways, allowing us to seize on new directions </w:t>
      </w:r>
      <w:r w:rsidRPr="00702256">
        <w:rPr>
          <w:lang w:val="en-US"/>
        </w:rPr>
        <w:t>[...]</w:t>
      </w:r>
      <w:r w:rsidRPr="002B5E80">
        <w:rPr>
          <w:lang w:val="en-US"/>
        </w:rPr>
        <w:t xml:space="preserve"> glitch is something that extends beyond the most literal technological mechanics: it helps us to celebrate failure as a generative force, a new way to take on the world.</w:t>
      </w:r>
      <w:r>
        <w:rPr>
          <w:rStyle w:val="FootnoteReference"/>
          <w:rFonts w:ascii="Calibri" w:eastAsia="Calibri" w:hAnsi="Calibri" w:cs="Calibri"/>
          <w:lang w:val="en-US"/>
        </w:rPr>
        <w:footnoteReference w:id="15"/>
      </w:r>
      <w:r w:rsidRPr="002B5E80">
        <w:rPr>
          <w:lang w:val="en-US"/>
        </w:rPr>
        <w:t xml:space="preserve"> </w:t>
      </w:r>
    </w:p>
    <w:p w14:paraId="546E808A" w14:textId="1EB76807" w:rsidR="00A25939" w:rsidRPr="002B5E80" w:rsidRDefault="00A25939" w:rsidP="000A6FA6">
      <w:pPr>
        <w:rPr>
          <w:lang w:val="en-US"/>
        </w:rPr>
      </w:pPr>
      <w:r w:rsidRPr="002B5E80">
        <w:rPr>
          <w:lang w:val="en-US"/>
        </w:rPr>
        <w:lastRenderedPageBreak/>
        <w:t xml:space="preserve">What Russell demonstrates here is that in acts of failing on the </w:t>
      </w:r>
      <w:r>
        <w:rPr>
          <w:lang w:val="en-US"/>
        </w:rPr>
        <w:t>i</w:t>
      </w:r>
      <w:r w:rsidRPr="002B5E80">
        <w:rPr>
          <w:lang w:val="en-US"/>
        </w:rPr>
        <w:t xml:space="preserve">nternet, for instance, oppressive regimes of power go hand in hand with positive identity transformations. Acts of failing must be analyzed as such: symmetrically between oppression and transformation. And the paradoxes can be mobilized for activist art and other projects that work toward designing for social and ecological change. In </w:t>
      </w:r>
      <w:r w:rsidRPr="002B5E80">
        <w:rPr>
          <w:i/>
          <w:lang w:val="en-US"/>
        </w:rPr>
        <w:t>The Queer Art of Failure</w:t>
      </w:r>
      <w:r w:rsidRPr="002B5E80">
        <w:rPr>
          <w:lang w:val="en-US"/>
        </w:rPr>
        <w:t xml:space="preserve">, queer theorist Jack Halberstam demonstrates that mundane happenings in everyday (queer) life can have the same potential, </w:t>
      </w:r>
      <w:proofErr w:type="gramStart"/>
      <w:r w:rsidRPr="002B5E80">
        <w:rPr>
          <w:lang w:val="en-US"/>
        </w:rPr>
        <w:t>provided that</w:t>
      </w:r>
      <w:proofErr w:type="gramEnd"/>
      <w:r w:rsidRPr="002B5E80">
        <w:rPr>
          <w:lang w:val="en-US"/>
        </w:rPr>
        <w:t xml:space="preserve"> we leave the binary between successful and failed life behind, a binary that heteronormative, capitalist societies want us to use as a yardstick in evaluating the lives of ourselves and others. With financial markets collapsing and divorce rates skyrocketing, Halberstam demonstrates that we must change our measures of success </w:t>
      </w:r>
      <w:proofErr w:type="gramStart"/>
      <w:r w:rsidRPr="002B5E80">
        <w:rPr>
          <w:lang w:val="en-US"/>
        </w:rPr>
        <w:t>in order to</w:t>
      </w:r>
      <w:proofErr w:type="gramEnd"/>
      <w:r w:rsidRPr="002B5E80">
        <w:rPr>
          <w:lang w:val="en-US"/>
        </w:rPr>
        <w:t xml:space="preserve"> be able to see </w:t>
      </w:r>
      <w:r>
        <w:rPr>
          <w:lang w:val="en-US"/>
        </w:rPr>
        <w:t>‘</w:t>
      </w:r>
      <w:r w:rsidRPr="002B5E80">
        <w:rPr>
          <w:lang w:val="en-US"/>
        </w:rPr>
        <w:t>more creative, more cooperative, more surprising ways of being in the world</w:t>
      </w:r>
      <w:r>
        <w:rPr>
          <w:lang w:val="en-US"/>
        </w:rPr>
        <w:t>’.</w:t>
      </w:r>
      <w:r>
        <w:rPr>
          <w:rStyle w:val="FootnoteReference"/>
          <w:rFonts w:ascii="Calibri" w:eastAsia="Calibri" w:hAnsi="Calibri" w:cs="Calibri"/>
          <w:lang w:val="en-US"/>
        </w:rPr>
        <w:footnoteReference w:id="16"/>
      </w:r>
      <w:r w:rsidRPr="002B5E80">
        <w:rPr>
          <w:lang w:val="en-US"/>
        </w:rPr>
        <w:t xml:space="preserve"> </w:t>
      </w:r>
    </w:p>
    <w:p w14:paraId="11DCD204" w14:textId="35264078" w:rsidR="00A25939" w:rsidRDefault="00A25939" w:rsidP="000A6FA6">
      <w:pPr>
        <w:rPr>
          <w:lang w:val="en-US"/>
        </w:rPr>
      </w:pPr>
      <w:r w:rsidRPr="002B5E80">
        <w:rPr>
          <w:lang w:val="en-US"/>
        </w:rPr>
        <w:t xml:space="preserve">What, then, could be a </w:t>
      </w:r>
      <w:r>
        <w:rPr>
          <w:lang w:val="en-US"/>
        </w:rPr>
        <w:t>‘</w:t>
      </w:r>
      <w:r w:rsidRPr="002B5E80">
        <w:rPr>
          <w:lang w:val="en-US"/>
        </w:rPr>
        <w:t>final failure</w:t>
      </w:r>
      <w:r>
        <w:rPr>
          <w:lang w:val="en-US"/>
        </w:rPr>
        <w:t>’</w:t>
      </w:r>
      <w:r w:rsidRPr="002B5E80">
        <w:rPr>
          <w:lang w:val="en-US"/>
        </w:rPr>
        <w:t xml:space="preserve">? </w:t>
      </w:r>
    </w:p>
    <w:p w14:paraId="51907CA5" w14:textId="0901D4F9" w:rsidR="00A25939" w:rsidRDefault="00A25939" w:rsidP="000A6FA6">
      <w:pPr>
        <w:rPr>
          <w:lang w:val="en-US"/>
        </w:rPr>
      </w:pPr>
      <w:r w:rsidRPr="002B5E80">
        <w:rPr>
          <w:lang w:val="en-US"/>
        </w:rPr>
        <w:t>What would it mean for a failure to be even more than a</w:t>
      </w:r>
      <w:r>
        <w:rPr>
          <w:lang w:val="en-US"/>
        </w:rPr>
        <w:t xml:space="preserve"> </w:t>
      </w:r>
      <w:r w:rsidRPr="002B5E80">
        <w:rPr>
          <w:lang w:val="en-US"/>
        </w:rPr>
        <w:t xml:space="preserve">temporary research, artistic, or design result that deserves publication or installation </w:t>
      </w:r>
      <w:proofErr w:type="gramStart"/>
      <w:r w:rsidRPr="002B5E80">
        <w:rPr>
          <w:lang w:val="en-US"/>
        </w:rPr>
        <w:t>so as to</w:t>
      </w:r>
      <w:proofErr w:type="gramEnd"/>
      <w:r w:rsidRPr="002B5E80">
        <w:rPr>
          <w:lang w:val="en-US"/>
        </w:rPr>
        <w:t xml:space="preserve"> do justice to the science as it was practiced in the past, just so that present-day and future researchers and </w:t>
      </w:r>
      <w:r>
        <w:rPr>
          <w:lang w:val="en-US"/>
        </w:rPr>
        <w:t>‘</w:t>
      </w:r>
      <w:r w:rsidRPr="002B5E80">
        <w:rPr>
          <w:lang w:val="en-US"/>
        </w:rPr>
        <w:t>researchers of research</w:t>
      </w:r>
      <w:r>
        <w:rPr>
          <w:lang w:val="en-US"/>
        </w:rPr>
        <w:t>’</w:t>
      </w:r>
      <w:r w:rsidRPr="002B5E80">
        <w:rPr>
          <w:lang w:val="en-US"/>
        </w:rPr>
        <w:t xml:space="preserve"> or </w:t>
      </w:r>
      <w:r>
        <w:rPr>
          <w:lang w:val="en-US"/>
        </w:rPr>
        <w:t>‘</w:t>
      </w:r>
      <w:r w:rsidRPr="002B5E80">
        <w:rPr>
          <w:lang w:val="en-US"/>
        </w:rPr>
        <w:t>researchers of making</w:t>
      </w:r>
      <w:r>
        <w:rPr>
          <w:lang w:val="en-US"/>
        </w:rPr>
        <w:t>’</w:t>
      </w:r>
      <w:r w:rsidRPr="002B5E80">
        <w:rPr>
          <w:lang w:val="en-US"/>
        </w:rPr>
        <w:t xml:space="preserve"> can make good use of it on empirical, anthropological, or foundational registers? Here, indeed, the creative fields of arts and design come in. In design contexts</w:t>
      </w:r>
      <w:r>
        <w:rPr>
          <w:lang w:val="en-US"/>
        </w:rPr>
        <w:t xml:space="preserve">, </w:t>
      </w:r>
      <w:r w:rsidRPr="002B5E80">
        <w:rPr>
          <w:lang w:val="en-US"/>
        </w:rPr>
        <w:t>for example</w:t>
      </w:r>
      <w:r>
        <w:rPr>
          <w:lang w:val="en-US"/>
        </w:rPr>
        <w:t xml:space="preserve">, </w:t>
      </w:r>
      <w:r w:rsidRPr="002B5E80">
        <w:rPr>
          <w:lang w:val="en-US"/>
        </w:rPr>
        <w:t xml:space="preserve">it is very well possible that a failure is final or that, at least, it has more than temporary value and comes to be part of the urban fabric. In their 2013 reflective essay </w:t>
      </w:r>
      <w:r>
        <w:rPr>
          <w:lang w:val="en-US"/>
        </w:rPr>
        <w:t>‘</w:t>
      </w:r>
      <w:r w:rsidRPr="002B5E80">
        <w:rPr>
          <w:lang w:val="en-US"/>
        </w:rPr>
        <w:t>Final Draft: Designing Architecture’s Endgame</w:t>
      </w:r>
      <w:r>
        <w:rPr>
          <w:lang w:val="en-US"/>
        </w:rPr>
        <w:t>’,</w:t>
      </w:r>
      <w:r w:rsidRPr="002B5E80">
        <w:rPr>
          <w:lang w:val="en-US"/>
        </w:rPr>
        <w:t xml:space="preserve"> architects Gretchen Wilkins and Andrew Burrows ask the following question: </w:t>
      </w:r>
      <w:r>
        <w:rPr>
          <w:lang w:val="en-US"/>
        </w:rPr>
        <w:t>‘</w:t>
      </w:r>
      <w:r w:rsidRPr="002B5E80">
        <w:rPr>
          <w:lang w:val="en-US"/>
        </w:rPr>
        <w:t>Isn’t keeping things unfinished the most open and the best way of getting things done?</w:t>
      </w:r>
      <w:r>
        <w:rPr>
          <w:lang w:val="en-US"/>
        </w:rPr>
        <w:t>’</w:t>
      </w:r>
      <w:r>
        <w:rPr>
          <w:rStyle w:val="FootnoteReference"/>
          <w:rFonts w:ascii="Calibri" w:eastAsia="Calibri" w:hAnsi="Calibri" w:cs="Calibri"/>
          <w:lang w:val="en-US"/>
        </w:rPr>
        <w:footnoteReference w:id="17"/>
      </w:r>
      <w:r w:rsidRPr="002B5E80">
        <w:rPr>
          <w:lang w:val="en-US"/>
        </w:rPr>
        <w:t xml:space="preserve"> The answer to their own question: </w:t>
      </w:r>
      <w:r>
        <w:rPr>
          <w:lang w:val="en-US"/>
        </w:rPr>
        <w:t>‘</w:t>
      </w:r>
      <w:r w:rsidRPr="002B5E80">
        <w:rPr>
          <w:lang w:val="en-US"/>
        </w:rPr>
        <w:t xml:space="preserve">[...] this all depends on what is meant by </w:t>
      </w:r>
      <w:r>
        <w:rPr>
          <w:lang w:val="en-US"/>
        </w:rPr>
        <w:t>“</w:t>
      </w:r>
      <w:r w:rsidRPr="002B5E80">
        <w:rPr>
          <w:lang w:val="en-US"/>
        </w:rPr>
        <w:t>done</w:t>
      </w:r>
      <w:r>
        <w:rPr>
          <w:lang w:val="en-US"/>
        </w:rPr>
        <w:t>”</w:t>
      </w:r>
      <w:r w:rsidRPr="002B5E80">
        <w:rPr>
          <w:lang w:val="en-US"/>
        </w:rPr>
        <w:t>, and the reasons to stay undone are changing</w:t>
      </w:r>
      <w:r>
        <w:rPr>
          <w:lang w:val="en-US"/>
        </w:rPr>
        <w:t>’</w:t>
      </w:r>
      <w:r w:rsidRPr="002B5E80">
        <w:rPr>
          <w:lang w:val="en-US"/>
        </w:rPr>
        <w:t>.</w:t>
      </w:r>
      <w:r>
        <w:rPr>
          <w:rStyle w:val="FootnoteReference"/>
          <w:rFonts w:ascii="Calibri" w:eastAsia="Calibri" w:hAnsi="Calibri" w:cs="Calibri"/>
          <w:lang w:val="en-US"/>
        </w:rPr>
        <w:footnoteReference w:id="18"/>
      </w:r>
    </w:p>
    <w:p w14:paraId="00000018" w14:textId="6107684C" w:rsidR="00A25939" w:rsidRPr="002B5E80" w:rsidRDefault="00A25939" w:rsidP="007D569A">
      <w:pPr>
        <w:rPr>
          <w:lang w:val="en-US"/>
        </w:rPr>
      </w:pPr>
      <w:r w:rsidRPr="002B5E80">
        <w:rPr>
          <w:lang w:val="en-US"/>
        </w:rPr>
        <w:t xml:space="preserve">In their essay, </w:t>
      </w:r>
      <w:r>
        <w:rPr>
          <w:lang w:val="en-US"/>
        </w:rPr>
        <w:t>‘</w:t>
      </w:r>
      <w:r w:rsidRPr="002B5E80">
        <w:rPr>
          <w:lang w:val="en-US"/>
        </w:rPr>
        <w:t>final draft</w:t>
      </w:r>
      <w:r>
        <w:rPr>
          <w:lang w:val="en-US"/>
        </w:rPr>
        <w:t>’</w:t>
      </w:r>
      <w:r w:rsidRPr="002B5E80">
        <w:rPr>
          <w:lang w:val="en-US"/>
        </w:rPr>
        <w:t xml:space="preserve"> is a concept. This concept allows us to think of </w:t>
      </w:r>
      <w:r>
        <w:rPr>
          <w:lang w:val="en-US"/>
        </w:rPr>
        <w:t>‘</w:t>
      </w:r>
      <w:r w:rsidRPr="002B5E80">
        <w:rPr>
          <w:lang w:val="en-US"/>
        </w:rPr>
        <w:t>done</w:t>
      </w:r>
      <w:r>
        <w:rPr>
          <w:lang w:val="en-US"/>
        </w:rPr>
        <w:t>’</w:t>
      </w:r>
      <w:r w:rsidRPr="002B5E80">
        <w:rPr>
          <w:lang w:val="en-US"/>
        </w:rPr>
        <w:t xml:space="preserve"> and </w:t>
      </w:r>
      <w:r>
        <w:rPr>
          <w:lang w:val="en-US"/>
        </w:rPr>
        <w:t>‘</w:t>
      </w:r>
      <w:r w:rsidRPr="002B5E80">
        <w:rPr>
          <w:lang w:val="en-US"/>
        </w:rPr>
        <w:t>undone</w:t>
      </w:r>
      <w:r>
        <w:rPr>
          <w:lang w:val="en-US"/>
        </w:rPr>
        <w:t>’</w:t>
      </w:r>
      <w:r w:rsidRPr="002B5E80">
        <w:rPr>
          <w:lang w:val="en-US"/>
        </w:rPr>
        <w:t xml:space="preserve"> as the two sides of one and the same coin. The concept introduces the possibility of working in an out-of-control key: is multi-directional </w:t>
      </w:r>
      <w:r>
        <w:rPr>
          <w:lang w:val="en-US"/>
        </w:rPr>
        <w:t>‘</w:t>
      </w:r>
      <w:r w:rsidRPr="002B5E80">
        <w:rPr>
          <w:lang w:val="en-US"/>
        </w:rPr>
        <w:t>drafting</w:t>
      </w:r>
      <w:r>
        <w:rPr>
          <w:lang w:val="en-US"/>
        </w:rPr>
        <w:t>’</w:t>
      </w:r>
      <w:r w:rsidRPr="002B5E80">
        <w:rPr>
          <w:lang w:val="en-US"/>
        </w:rPr>
        <w:t xml:space="preserve"> the primary process that </w:t>
      </w:r>
      <w:r>
        <w:rPr>
          <w:lang w:val="en-US"/>
        </w:rPr>
        <w:t>‘</w:t>
      </w:r>
      <w:r w:rsidRPr="002B5E80">
        <w:rPr>
          <w:lang w:val="en-US"/>
        </w:rPr>
        <w:t>completion</w:t>
      </w:r>
      <w:r>
        <w:rPr>
          <w:lang w:val="en-US"/>
        </w:rPr>
        <w:t>’</w:t>
      </w:r>
      <w:r w:rsidRPr="002B5E80">
        <w:rPr>
          <w:lang w:val="en-US"/>
        </w:rPr>
        <w:t xml:space="preserve"> necessarily reduces to univocality and unambiguousness? In order not to reduce</w:t>
      </w:r>
      <w:r>
        <w:rPr>
          <w:lang w:val="en-US"/>
        </w:rPr>
        <w:t xml:space="preserve">, </w:t>
      </w:r>
      <w:r w:rsidRPr="002B5E80">
        <w:rPr>
          <w:lang w:val="en-US"/>
        </w:rPr>
        <w:t>Wilkins and Burrows stay with drafting</w:t>
      </w:r>
      <w:r>
        <w:rPr>
          <w:lang w:val="en-US"/>
        </w:rPr>
        <w:t>,</w:t>
      </w:r>
      <w:r w:rsidRPr="002B5E80">
        <w:rPr>
          <w:lang w:val="en-US"/>
        </w:rPr>
        <w:t xml:space="preserve"> so that even a completed product remains </w:t>
      </w:r>
      <w:r>
        <w:rPr>
          <w:lang w:val="en-US"/>
        </w:rPr>
        <w:t>‘</w:t>
      </w:r>
      <w:r w:rsidRPr="002B5E80">
        <w:rPr>
          <w:lang w:val="en-US"/>
        </w:rPr>
        <w:t>open.</w:t>
      </w:r>
      <w:r>
        <w:rPr>
          <w:lang w:val="en-US"/>
        </w:rPr>
        <w:t>’</w:t>
      </w:r>
      <w:r w:rsidRPr="002B5E80">
        <w:rPr>
          <w:lang w:val="en-US"/>
        </w:rPr>
        <w:t xml:space="preserve"> Why do they go through such pains? Because they have the goal of persistently stimulating innovation (in design), creation (in art), and creativity (across all cultural domains at once </w:t>
      </w:r>
      <w:r>
        <w:rPr>
          <w:lang w:val="en-US"/>
        </w:rPr>
        <w:t>(</w:t>
      </w:r>
      <w:r w:rsidRPr="002B5E80">
        <w:rPr>
          <w:lang w:val="en-US"/>
        </w:rPr>
        <w:t>and for all</w:t>
      </w:r>
      <w:r>
        <w:rPr>
          <w:lang w:val="en-US"/>
        </w:rPr>
        <w:t>)</w:t>
      </w:r>
      <w:r w:rsidRPr="002B5E80">
        <w:rPr>
          <w:lang w:val="en-US"/>
        </w:rPr>
        <w:t xml:space="preserve">). This brings us back to the impetus of the </w:t>
      </w:r>
      <w:r w:rsidRPr="002B5E80">
        <w:rPr>
          <w:i/>
          <w:lang w:val="en-US"/>
        </w:rPr>
        <w:t>Journal of Trial &amp; Error</w:t>
      </w:r>
      <w:r>
        <w:rPr>
          <w:lang w:val="en-US"/>
        </w:rPr>
        <w:t>;</w:t>
      </w:r>
      <w:r w:rsidRPr="002B5E80">
        <w:rPr>
          <w:lang w:val="en-US"/>
        </w:rPr>
        <w:t xml:space="preserve"> a journal that situates itself right in the middle of the making of scientific truths as well as untruths that have truth-value in that they rule out certain things that once had great potential.</w:t>
      </w:r>
    </w:p>
    <w:p w14:paraId="0000001A" w14:textId="21C9C688" w:rsidR="00A25939" w:rsidRPr="002B5E80" w:rsidRDefault="00A25939" w:rsidP="000A6FA6">
      <w:pPr>
        <w:rPr>
          <w:lang w:val="en-US"/>
        </w:rPr>
      </w:pPr>
      <w:r w:rsidRPr="002B5E80">
        <w:rPr>
          <w:lang w:val="en-US"/>
        </w:rPr>
        <w:t>The non-reductive and complex work of Wilkins and Burrows affirms that every creative product</w:t>
      </w:r>
      <w:r>
        <w:rPr>
          <w:lang w:val="en-US"/>
        </w:rPr>
        <w:t>,</w:t>
      </w:r>
      <w:r w:rsidRPr="002B5E80">
        <w:rPr>
          <w:lang w:val="en-US"/>
        </w:rPr>
        <w:t xml:space="preserve"> scholarly or design</w:t>
      </w:r>
      <w:r>
        <w:rPr>
          <w:lang w:val="en-US"/>
        </w:rPr>
        <w:t xml:space="preserve"> </w:t>
      </w:r>
      <w:r w:rsidR="00FE3759">
        <w:rPr>
          <w:lang w:val="en-US"/>
        </w:rPr>
        <w:t>—</w:t>
      </w:r>
      <w:r>
        <w:rPr>
          <w:lang w:val="en-US"/>
        </w:rPr>
        <w:t xml:space="preserve"> </w:t>
      </w:r>
      <w:r w:rsidRPr="002B5E80">
        <w:rPr>
          <w:lang w:val="en-US"/>
        </w:rPr>
        <w:t xml:space="preserve">their text, this short chapter, this collection, their architectural projects, </w:t>
      </w:r>
      <w:r w:rsidRPr="002B5E80">
        <w:rPr>
          <w:i/>
          <w:lang w:val="en-US"/>
        </w:rPr>
        <w:t>all</w:t>
      </w:r>
      <w:r w:rsidRPr="002B5E80">
        <w:rPr>
          <w:lang w:val="en-US"/>
        </w:rPr>
        <w:t xml:space="preserve"> architecture even when it has won some important prizes </w:t>
      </w:r>
      <w:r w:rsidR="00FE3759">
        <w:rPr>
          <w:lang w:val="en-US"/>
        </w:rPr>
        <w:t>—</w:t>
      </w:r>
      <w:r w:rsidRPr="002B5E80">
        <w:rPr>
          <w:lang w:val="en-US"/>
        </w:rPr>
        <w:t xml:space="preserve"> is a final draft. They conceptualize that final drafts are, firstly, material. They consist of raw or movable material; they </w:t>
      </w:r>
      <w:proofErr w:type="gramStart"/>
      <w:r w:rsidRPr="002B5E80">
        <w:rPr>
          <w:lang w:val="en-US"/>
        </w:rPr>
        <w:t>are located in</w:t>
      </w:r>
      <w:proofErr w:type="gramEnd"/>
      <w:r w:rsidRPr="002B5E80">
        <w:rPr>
          <w:lang w:val="en-US"/>
        </w:rPr>
        <w:t xml:space="preserve">, and as, places that allow for many things to happen there. Secondly, final drafts are representational. They will have to be finished, one day, or they will have to be interpreted academically or aesthetically. It is possible for people not to come to an agreement on the meaning </w:t>
      </w:r>
      <w:r w:rsidR="00FE3759">
        <w:rPr>
          <w:lang w:val="en-US"/>
        </w:rPr>
        <w:t>—</w:t>
      </w:r>
      <w:r w:rsidRPr="002B5E80">
        <w:rPr>
          <w:lang w:val="en-US"/>
        </w:rPr>
        <w:t xml:space="preserve"> historically, aesthetically, communally, etc. </w:t>
      </w:r>
      <w:r w:rsidR="00FE3759">
        <w:rPr>
          <w:lang w:val="en-US"/>
        </w:rPr>
        <w:t>—</w:t>
      </w:r>
      <w:r w:rsidRPr="002B5E80">
        <w:rPr>
          <w:lang w:val="en-US"/>
        </w:rPr>
        <w:t xml:space="preserve"> of such </w:t>
      </w:r>
      <w:r w:rsidRPr="002B5E80">
        <w:rPr>
          <w:lang w:val="en-US"/>
        </w:rPr>
        <w:lastRenderedPageBreak/>
        <w:t>unfinished objects or places. Thirdly, final drafts are material-discursive projects</w:t>
      </w:r>
      <w:r>
        <w:rPr>
          <w:lang w:val="en-US"/>
        </w:rPr>
        <w:t>.</w:t>
      </w:r>
      <w:r>
        <w:rPr>
          <w:rStyle w:val="FootnoteReference"/>
          <w:rFonts w:ascii="Calibri" w:eastAsia="Calibri" w:hAnsi="Calibri" w:cs="Calibri"/>
          <w:lang w:val="en-US"/>
        </w:rPr>
        <w:footnoteReference w:id="19"/>
      </w:r>
      <w:r w:rsidRPr="002B5E80">
        <w:rPr>
          <w:lang w:val="en-US"/>
        </w:rPr>
        <w:t xml:space="preserve">  Examples are functional designs that are looking for a function, or open-source software requesting to be adopted for use. In other words, final drafts are </w:t>
      </w:r>
      <w:r>
        <w:rPr>
          <w:lang w:val="en-US"/>
        </w:rPr>
        <w:t>‘</w:t>
      </w:r>
      <w:r w:rsidRPr="002B5E80">
        <w:rPr>
          <w:lang w:val="en-US"/>
        </w:rPr>
        <w:t>creatively incomplete</w:t>
      </w:r>
      <w:r>
        <w:rPr>
          <w:lang w:val="en-US"/>
        </w:rPr>
        <w:t>’.</w:t>
      </w:r>
      <w:r>
        <w:rPr>
          <w:rStyle w:val="FootnoteReference"/>
          <w:rFonts w:ascii="Calibri" w:eastAsia="Calibri" w:hAnsi="Calibri" w:cs="Calibri"/>
          <w:lang w:val="en-US"/>
        </w:rPr>
        <w:footnoteReference w:id="20"/>
      </w:r>
      <w:r w:rsidRPr="002B5E80">
        <w:rPr>
          <w:lang w:val="en-US"/>
        </w:rPr>
        <w:t xml:space="preserve"> </w:t>
      </w:r>
      <w:r>
        <w:rPr>
          <w:lang w:val="en-US"/>
        </w:rPr>
        <w:t>A</w:t>
      </w:r>
      <w:r w:rsidRPr="002B5E80">
        <w:rPr>
          <w:lang w:val="en-US"/>
        </w:rPr>
        <w:t xml:space="preserve">nd remember, pushing Latour to the extreme, for Wilkins and Burrows, </w:t>
      </w:r>
      <w:r w:rsidRPr="002B5E80">
        <w:rPr>
          <w:i/>
          <w:lang w:val="en-US"/>
        </w:rPr>
        <w:t>all</w:t>
      </w:r>
      <w:r w:rsidRPr="002B5E80">
        <w:rPr>
          <w:lang w:val="en-US"/>
        </w:rPr>
        <w:t xml:space="preserve"> objects, text, images, and places are creatively incomplete projects!</w:t>
      </w:r>
    </w:p>
    <w:p w14:paraId="2A22D2C8" w14:textId="3DB216F1" w:rsidR="00A25939" w:rsidRDefault="00A25939" w:rsidP="000A6FA6">
      <w:pPr>
        <w:rPr>
          <w:lang w:val="en-US"/>
        </w:rPr>
      </w:pPr>
      <w:r w:rsidRPr="002B5E80">
        <w:rPr>
          <w:lang w:val="en-US"/>
        </w:rPr>
        <w:t>Whereas the two architects take an ontological standpoint about the unfixity of the seemingly fixed, they also have an eye for how final drafts are developed in practice. They affirm that in collaborative (and) design processes, we can differentiate two paradoxical movements or forces</w:t>
      </w:r>
      <w:r>
        <w:rPr>
          <w:lang w:val="en-US"/>
        </w:rPr>
        <w:t>.</w:t>
      </w:r>
      <w:r>
        <w:rPr>
          <w:rStyle w:val="FootnoteReference"/>
          <w:rFonts w:ascii="Calibri" w:eastAsia="Calibri" w:hAnsi="Calibri" w:cs="Calibri"/>
          <w:lang w:val="en-US"/>
        </w:rPr>
        <w:footnoteReference w:id="21"/>
      </w:r>
      <w:r>
        <w:rPr>
          <w:lang w:val="en-US"/>
        </w:rPr>
        <w:t xml:space="preserve"> </w:t>
      </w:r>
      <w:r w:rsidRPr="002B5E80">
        <w:rPr>
          <w:lang w:val="en-US"/>
        </w:rPr>
        <w:t>On the one hand, there is the process that hopefully leads to the bringing about of meaning. This is a process that abounds in ambiguity and is fundamentally conversational. On the other hand</w:t>
      </w:r>
      <w:r>
        <w:rPr>
          <w:lang w:val="en-US"/>
        </w:rPr>
        <w:t xml:space="preserve">, </w:t>
      </w:r>
      <w:r w:rsidRPr="002B5E80">
        <w:rPr>
          <w:lang w:val="en-US"/>
        </w:rPr>
        <w:t xml:space="preserve">Wilkins and Burrows acknowledge that collaborative (and) design processes are intended to </w:t>
      </w:r>
      <w:proofErr w:type="gramStart"/>
      <w:r w:rsidRPr="002B5E80">
        <w:rPr>
          <w:lang w:val="en-US"/>
        </w:rPr>
        <w:t>come to a conclusion</w:t>
      </w:r>
      <w:proofErr w:type="gramEnd"/>
      <w:r w:rsidRPr="002B5E80">
        <w:rPr>
          <w:lang w:val="en-US"/>
        </w:rPr>
        <w:t xml:space="preserve">, a model, or a plan. As such, the processes are fraught with ambition and the urge to control. In our times of economical, ecological, and social crises, it is </w:t>
      </w:r>
      <w:proofErr w:type="gramStart"/>
      <w:r w:rsidRPr="002B5E80">
        <w:rPr>
          <w:lang w:val="en-US"/>
        </w:rPr>
        <w:t>all the more</w:t>
      </w:r>
      <w:proofErr w:type="gramEnd"/>
      <w:r w:rsidRPr="002B5E80">
        <w:rPr>
          <w:lang w:val="en-US"/>
        </w:rPr>
        <w:t xml:space="preserve"> important to embrace the inherent tensions in the design process as a </w:t>
      </w:r>
      <w:r w:rsidRPr="002B5E80">
        <w:rPr>
          <w:i/>
          <w:lang w:val="en-US"/>
        </w:rPr>
        <w:t>project</w:t>
      </w:r>
      <w:r w:rsidRPr="002B5E80">
        <w:rPr>
          <w:lang w:val="en-US"/>
        </w:rPr>
        <w:t xml:space="preserve">. </w:t>
      </w:r>
    </w:p>
    <w:p w14:paraId="0000001C" w14:textId="0AF61BE1" w:rsidR="00E074BB" w:rsidRDefault="00A25939" w:rsidP="007D569A">
      <w:pPr>
        <w:rPr>
          <w:lang w:val="en-US"/>
        </w:rPr>
      </w:pPr>
      <w:r w:rsidRPr="002B5E80">
        <w:rPr>
          <w:lang w:val="en-US"/>
        </w:rPr>
        <w:t xml:space="preserve">Ultimately, they suggest for us to </w:t>
      </w:r>
      <w:r>
        <w:rPr>
          <w:lang w:val="en-US"/>
        </w:rPr>
        <w:t>‘</w:t>
      </w:r>
      <w:r w:rsidRPr="002B5E80">
        <w:rPr>
          <w:lang w:val="en-US"/>
        </w:rPr>
        <w:t>do as Detroit</w:t>
      </w:r>
      <w:r>
        <w:rPr>
          <w:lang w:val="en-US"/>
        </w:rPr>
        <w:t>’</w:t>
      </w:r>
      <w:r w:rsidRPr="002B5E80">
        <w:rPr>
          <w:lang w:val="en-US"/>
        </w:rPr>
        <w:t xml:space="preserve">, which is to say: </w:t>
      </w:r>
      <w:r>
        <w:rPr>
          <w:lang w:val="en-US"/>
        </w:rPr>
        <w:t>‘</w:t>
      </w:r>
      <w:r w:rsidRPr="002B5E80">
        <w:rPr>
          <w:lang w:val="en-US"/>
        </w:rPr>
        <w:t xml:space="preserve">assert [your] </w:t>
      </w:r>
      <w:r>
        <w:rPr>
          <w:lang w:val="en-US"/>
        </w:rPr>
        <w:t>“</w:t>
      </w:r>
      <w:r w:rsidRPr="002B5E80">
        <w:rPr>
          <w:lang w:val="en-US"/>
        </w:rPr>
        <w:t>draft</w:t>
      </w:r>
      <w:r>
        <w:rPr>
          <w:lang w:val="en-US"/>
        </w:rPr>
        <w:t>”</w:t>
      </w:r>
      <w:r w:rsidRPr="002B5E80">
        <w:rPr>
          <w:lang w:val="en-US"/>
        </w:rPr>
        <w:t xml:space="preserve"> state as </w:t>
      </w:r>
      <w:r>
        <w:rPr>
          <w:lang w:val="en-US"/>
        </w:rPr>
        <w:t>“</w:t>
      </w:r>
      <w:r w:rsidRPr="002B5E80">
        <w:rPr>
          <w:lang w:val="en-US"/>
        </w:rPr>
        <w:t>final</w:t>
      </w:r>
      <w:r>
        <w:rPr>
          <w:lang w:val="en-US"/>
        </w:rPr>
        <w:t>”</w:t>
      </w:r>
      <w:r w:rsidRPr="002B5E80">
        <w:rPr>
          <w:lang w:val="en-US"/>
        </w:rPr>
        <w:t xml:space="preserve"> </w:t>
      </w:r>
      <w:proofErr w:type="gramStart"/>
      <w:r w:rsidRPr="002B5E80">
        <w:rPr>
          <w:lang w:val="en-US"/>
        </w:rPr>
        <w:t>in order to</w:t>
      </w:r>
      <w:proofErr w:type="gramEnd"/>
      <w:r w:rsidRPr="002B5E80">
        <w:rPr>
          <w:lang w:val="en-US"/>
        </w:rPr>
        <w:t xml:space="preserve"> perpetuate continued innovation</w:t>
      </w:r>
      <w:r>
        <w:rPr>
          <w:lang w:val="en-US"/>
        </w:rPr>
        <w:t>’</w:t>
      </w:r>
      <w:r w:rsidRPr="002B5E80">
        <w:rPr>
          <w:lang w:val="en-US"/>
        </w:rPr>
        <w:t>.</w:t>
      </w:r>
      <w:r>
        <w:rPr>
          <w:rStyle w:val="FootnoteReference"/>
          <w:rFonts w:ascii="Calibri" w:eastAsia="Calibri" w:hAnsi="Calibri" w:cs="Calibri"/>
          <w:lang w:val="en-US"/>
        </w:rPr>
        <w:footnoteReference w:id="22"/>
      </w:r>
      <w:r w:rsidRPr="002B5E80">
        <w:rPr>
          <w:lang w:val="en-US"/>
        </w:rPr>
        <w:t xml:space="preserve"> They suggest for us to try to search for the unfinished, even in seemingly finished contexts, so as to be able to constantly mobilize the </w:t>
      </w:r>
      <w:r>
        <w:rPr>
          <w:lang w:val="en-US"/>
        </w:rPr>
        <w:t>‘</w:t>
      </w:r>
      <w:r w:rsidRPr="002B5E80">
        <w:rPr>
          <w:lang w:val="en-US"/>
        </w:rPr>
        <w:t>frays</w:t>
      </w:r>
      <w:r>
        <w:rPr>
          <w:lang w:val="en-US"/>
        </w:rPr>
        <w:t>’</w:t>
      </w:r>
      <w:r w:rsidRPr="002B5E80">
        <w:rPr>
          <w:lang w:val="en-US"/>
        </w:rPr>
        <w:t xml:space="preserve"> for innovation, creation, creativity, and, eventually, change. Wholly in line with </w:t>
      </w:r>
      <w:r w:rsidRPr="002B5E80">
        <w:rPr>
          <w:i/>
          <w:lang w:val="en-US"/>
        </w:rPr>
        <w:t>JOTE</w:t>
      </w:r>
      <w:r w:rsidRPr="002B5E80">
        <w:rPr>
          <w:lang w:val="en-US"/>
        </w:rPr>
        <w:t xml:space="preserve">, they want us to embrace an attitude of </w:t>
      </w:r>
      <w:r>
        <w:rPr>
          <w:lang w:val="en-US"/>
        </w:rPr>
        <w:t>‘</w:t>
      </w:r>
      <w:r w:rsidRPr="002B5E80">
        <w:rPr>
          <w:lang w:val="en-US"/>
        </w:rPr>
        <w:t>construction-as-research</w:t>
      </w:r>
      <w:r>
        <w:rPr>
          <w:lang w:val="en-US"/>
        </w:rPr>
        <w:t>’.</w:t>
      </w:r>
      <w:r>
        <w:rPr>
          <w:rStyle w:val="FootnoteReference"/>
          <w:rFonts w:ascii="Calibri" w:eastAsia="Calibri" w:hAnsi="Calibri" w:cs="Calibri"/>
          <w:lang w:val="en-US"/>
        </w:rPr>
        <w:footnoteReference w:id="23"/>
      </w:r>
      <w:r w:rsidRPr="002B5E80">
        <w:rPr>
          <w:lang w:val="en-US"/>
        </w:rPr>
        <w:t xml:space="preserve"> </w:t>
      </w:r>
    </w:p>
    <w:p w14:paraId="1E983951" w14:textId="1B05C8F1" w:rsidR="007D569A" w:rsidRDefault="007D569A" w:rsidP="007D569A">
      <w:pPr>
        <w:rPr>
          <w:lang w:val="en-US"/>
        </w:rPr>
      </w:pPr>
    </w:p>
    <w:p w14:paraId="47FA7D72" w14:textId="6FAB6B95" w:rsidR="00A25939" w:rsidRDefault="00A25939" w:rsidP="007D569A">
      <w:pPr>
        <w:rPr>
          <w:lang w:val="en-US"/>
        </w:rPr>
      </w:pPr>
    </w:p>
    <w:p w14:paraId="1E4B25EC" w14:textId="43FA8CB3" w:rsidR="00A25939" w:rsidRDefault="00A25939" w:rsidP="007D569A">
      <w:pPr>
        <w:rPr>
          <w:lang w:val="en-US"/>
        </w:rPr>
      </w:pPr>
    </w:p>
    <w:p w14:paraId="7DF4912E" w14:textId="2A728FF7" w:rsidR="00A25939" w:rsidRDefault="00A25939" w:rsidP="007D569A">
      <w:pPr>
        <w:rPr>
          <w:lang w:val="en-US"/>
        </w:rPr>
      </w:pPr>
    </w:p>
    <w:p w14:paraId="0809D31F" w14:textId="7BF4FE4F" w:rsidR="00A25939" w:rsidRDefault="00A25939" w:rsidP="007D569A">
      <w:pPr>
        <w:rPr>
          <w:lang w:val="en-US"/>
        </w:rPr>
      </w:pPr>
    </w:p>
    <w:p w14:paraId="00CD29CB" w14:textId="59C9056B" w:rsidR="00A25939" w:rsidRDefault="00A25939" w:rsidP="007D569A">
      <w:pPr>
        <w:rPr>
          <w:lang w:val="en-US"/>
        </w:rPr>
      </w:pPr>
    </w:p>
    <w:p w14:paraId="0FE1CE50" w14:textId="64B49C57" w:rsidR="00A25939" w:rsidRDefault="00A25939" w:rsidP="007D569A">
      <w:pPr>
        <w:rPr>
          <w:lang w:val="en-US"/>
        </w:rPr>
      </w:pPr>
    </w:p>
    <w:p w14:paraId="7FDEA82B" w14:textId="1BE66F69" w:rsidR="00A25939" w:rsidRDefault="00A25939" w:rsidP="007D569A">
      <w:pPr>
        <w:rPr>
          <w:lang w:val="en-US"/>
        </w:rPr>
      </w:pPr>
    </w:p>
    <w:p w14:paraId="724CD74C" w14:textId="08EC7BBE" w:rsidR="00A25939" w:rsidRDefault="00A25939" w:rsidP="007D569A">
      <w:pPr>
        <w:rPr>
          <w:lang w:val="en-US"/>
        </w:rPr>
      </w:pPr>
    </w:p>
    <w:p w14:paraId="7353E8AF" w14:textId="75127868" w:rsidR="00A25939" w:rsidRDefault="00A25939" w:rsidP="007D569A">
      <w:pPr>
        <w:rPr>
          <w:lang w:val="en-US"/>
        </w:rPr>
      </w:pPr>
    </w:p>
    <w:p w14:paraId="60A23147" w14:textId="4949689A" w:rsidR="00A25939" w:rsidRDefault="00A25939" w:rsidP="007D569A">
      <w:pPr>
        <w:rPr>
          <w:lang w:val="en-US"/>
        </w:rPr>
      </w:pPr>
    </w:p>
    <w:p w14:paraId="203EC6CC" w14:textId="235D3456" w:rsidR="00A25939" w:rsidRDefault="00A25939" w:rsidP="007D569A">
      <w:pPr>
        <w:rPr>
          <w:lang w:val="en-US"/>
        </w:rPr>
      </w:pPr>
    </w:p>
    <w:p w14:paraId="49AD91DF" w14:textId="77777777" w:rsidR="00A25939" w:rsidRDefault="00A25939" w:rsidP="006C0C36">
      <w:pPr>
        <w:pStyle w:val="Heading2"/>
        <w:rPr>
          <w:lang w:val="en-US"/>
        </w:rPr>
      </w:pPr>
    </w:p>
    <w:p w14:paraId="4462943E" w14:textId="6820E753" w:rsidR="007D569A" w:rsidRDefault="007D569A" w:rsidP="006C0C36">
      <w:pPr>
        <w:pStyle w:val="Heading2"/>
        <w:rPr>
          <w:sz w:val="32"/>
          <w:lang w:val="en-AU"/>
        </w:rPr>
      </w:pPr>
      <w:r w:rsidRPr="00FE3759">
        <w:rPr>
          <w:sz w:val="32"/>
          <w:lang w:val="en-AU"/>
        </w:rPr>
        <w:t>Bibliography</w:t>
      </w:r>
    </w:p>
    <w:p w14:paraId="51573DD5" w14:textId="77777777" w:rsidR="006C0C36" w:rsidRPr="006C0C36" w:rsidRDefault="006C0C36" w:rsidP="006C0C36">
      <w:pPr>
        <w:rPr>
          <w:lang w:val="en-AU"/>
        </w:rPr>
      </w:pPr>
    </w:p>
    <w:p w14:paraId="14DDDE2D" w14:textId="11A46F91" w:rsidR="007D569A" w:rsidRPr="00F95672" w:rsidRDefault="007D569A" w:rsidP="007D569A">
      <w:pPr>
        <w:rPr>
          <w:lang w:val="en-US"/>
        </w:rPr>
      </w:pPr>
      <w:r w:rsidRPr="00F95672">
        <w:rPr>
          <w:lang w:val="en-US"/>
        </w:rPr>
        <w:t>Appadurai</w:t>
      </w:r>
      <w:r>
        <w:rPr>
          <w:lang w:val="en-US"/>
        </w:rPr>
        <w:t>,</w:t>
      </w:r>
      <w:r w:rsidRPr="00F95672">
        <w:rPr>
          <w:lang w:val="en-US"/>
        </w:rPr>
        <w:t xml:space="preserve"> Arjun</w:t>
      </w:r>
      <w:r>
        <w:rPr>
          <w:lang w:val="en-US"/>
        </w:rPr>
        <w:t>,</w:t>
      </w:r>
      <w:r w:rsidRPr="00F95672">
        <w:rPr>
          <w:lang w:val="en-US"/>
        </w:rPr>
        <w:t xml:space="preserve"> and Alexander, Neta</w:t>
      </w:r>
      <w:r>
        <w:rPr>
          <w:lang w:val="en-US"/>
        </w:rPr>
        <w:t>.</w:t>
      </w:r>
      <w:r w:rsidRPr="00F95672">
        <w:rPr>
          <w:lang w:val="en-US"/>
        </w:rPr>
        <w:t xml:space="preserve"> </w:t>
      </w:r>
      <w:r w:rsidRPr="00F95672">
        <w:rPr>
          <w:i/>
          <w:lang w:val="en-US"/>
        </w:rPr>
        <w:t>Failure</w:t>
      </w:r>
      <w:r>
        <w:rPr>
          <w:lang w:val="en-US"/>
        </w:rPr>
        <w:t xml:space="preserve">, </w:t>
      </w:r>
      <w:r w:rsidRPr="00F95672">
        <w:rPr>
          <w:lang w:val="en-US"/>
        </w:rPr>
        <w:t>Cambridge: Polity Press, 2020.</w:t>
      </w:r>
    </w:p>
    <w:p w14:paraId="1EA11B0C" w14:textId="77777777" w:rsidR="007D569A" w:rsidRPr="00F95672" w:rsidRDefault="007D569A" w:rsidP="007D569A">
      <w:pPr>
        <w:rPr>
          <w:lang w:val="en-AU"/>
        </w:rPr>
      </w:pPr>
      <w:r w:rsidRPr="00F95672">
        <w:rPr>
          <w:lang w:val="en-US"/>
        </w:rPr>
        <w:t>Colman, Felicity</w:t>
      </w:r>
      <w:r>
        <w:rPr>
          <w:lang w:val="en-US"/>
        </w:rPr>
        <w:t>,</w:t>
      </w:r>
      <w:r w:rsidRPr="00F95672">
        <w:rPr>
          <w:lang w:val="en-US"/>
        </w:rPr>
        <w:t xml:space="preserve"> </w:t>
      </w:r>
      <w:proofErr w:type="spellStart"/>
      <w:r w:rsidRPr="00F95672">
        <w:rPr>
          <w:lang w:val="en-US"/>
        </w:rPr>
        <w:t>Bühlmann</w:t>
      </w:r>
      <w:proofErr w:type="spellEnd"/>
      <w:r w:rsidRPr="00F95672">
        <w:rPr>
          <w:lang w:val="en-US"/>
        </w:rPr>
        <w:t>, Vera</w:t>
      </w:r>
      <w:r>
        <w:rPr>
          <w:lang w:val="en-US"/>
        </w:rPr>
        <w:t>,</w:t>
      </w:r>
      <w:r w:rsidRPr="00F95672">
        <w:rPr>
          <w:lang w:val="en-US"/>
        </w:rPr>
        <w:t xml:space="preserve"> O’Donnell, Aislinn</w:t>
      </w:r>
      <w:r>
        <w:rPr>
          <w:lang w:val="en-US"/>
        </w:rPr>
        <w:t>,</w:t>
      </w:r>
      <w:r w:rsidRPr="00F95672">
        <w:rPr>
          <w:lang w:val="en-US"/>
        </w:rPr>
        <w:t xml:space="preserve"> and van der </w:t>
      </w:r>
      <w:proofErr w:type="spellStart"/>
      <w:r w:rsidRPr="00F95672">
        <w:rPr>
          <w:lang w:val="en-US"/>
        </w:rPr>
        <w:t>Tuin</w:t>
      </w:r>
      <w:proofErr w:type="spellEnd"/>
      <w:r w:rsidRPr="00F95672">
        <w:rPr>
          <w:lang w:val="en-US"/>
        </w:rPr>
        <w:t>, Iris</w:t>
      </w:r>
      <w:r>
        <w:rPr>
          <w:lang w:val="en-US"/>
        </w:rPr>
        <w:t>.</w:t>
      </w:r>
      <w:r w:rsidRPr="00F95672">
        <w:rPr>
          <w:lang w:val="en-US"/>
        </w:rPr>
        <w:t xml:space="preserve"> </w:t>
      </w:r>
      <w:r w:rsidRPr="00F95672">
        <w:rPr>
          <w:i/>
          <w:lang w:val="en-US"/>
        </w:rPr>
        <w:t>Ethics of Coding: A Report on the Algorithmic Condition [</w:t>
      </w:r>
      <w:proofErr w:type="spellStart"/>
      <w:r w:rsidRPr="00F95672">
        <w:rPr>
          <w:i/>
          <w:lang w:val="en-US"/>
        </w:rPr>
        <w:t>EoC</w:t>
      </w:r>
      <w:proofErr w:type="spellEnd"/>
      <w:r w:rsidRPr="00F95672">
        <w:rPr>
          <w:i/>
          <w:lang w:val="en-US"/>
        </w:rPr>
        <w:t>]</w:t>
      </w:r>
      <w:r>
        <w:rPr>
          <w:lang w:val="en-US"/>
        </w:rPr>
        <w:t xml:space="preserve">, </w:t>
      </w:r>
      <w:r w:rsidRPr="00F95672">
        <w:rPr>
          <w:lang w:val="en-US"/>
        </w:rPr>
        <w:t>Brussels: European Commission, 2018.</w:t>
      </w:r>
    </w:p>
    <w:p w14:paraId="259765C4" w14:textId="77777777" w:rsidR="007D569A" w:rsidRPr="00F95672" w:rsidRDefault="007D569A" w:rsidP="007D569A">
      <w:pPr>
        <w:rPr>
          <w:lang w:val="en-AU"/>
        </w:rPr>
      </w:pPr>
      <w:r w:rsidRPr="00F95672">
        <w:rPr>
          <w:lang w:val="en-US"/>
        </w:rPr>
        <w:t>Devine, Sean</w:t>
      </w:r>
      <w:r>
        <w:rPr>
          <w:lang w:val="en-US"/>
        </w:rPr>
        <w:t>,</w:t>
      </w:r>
      <w:r w:rsidRPr="00F95672">
        <w:rPr>
          <w:lang w:val="en-US"/>
        </w:rPr>
        <w:t xml:space="preserve"> </w:t>
      </w:r>
      <w:proofErr w:type="spellStart"/>
      <w:r w:rsidRPr="00F95672">
        <w:rPr>
          <w:lang w:val="en-US"/>
        </w:rPr>
        <w:t>Perpinyà</w:t>
      </w:r>
      <w:proofErr w:type="spellEnd"/>
      <w:r w:rsidRPr="00F95672">
        <w:rPr>
          <w:lang w:val="en-US"/>
        </w:rPr>
        <w:t>, Max Bautista</w:t>
      </w:r>
      <w:r>
        <w:rPr>
          <w:lang w:val="en-US"/>
        </w:rPr>
        <w:t>,</w:t>
      </w:r>
      <w:r w:rsidRPr="00F95672">
        <w:rPr>
          <w:lang w:val="en-US"/>
        </w:rPr>
        <w:t xml:space="preserve"> </w:t>
      </w:r>
      <w:proofErr w:type="spellStart"/>
      <w:r w:rsidRPr="00F95672">
        <w:rPr>
          <w:lang w:val="en-US"/>
        </w:rPr>
        <w:t>Delrue</w:t>
      </w:r>
      <w:proofErr w:type="spellEnd"/>
      <w:r w:rsidRPr="00F95672">
        <w:rPr>
          <w:lang w:val="en-US"/>
        </w:rPr>
        <w:t>, Valentine</w:t>
      </w:r>
      <w:r>
        <w:rPr>
          <w:lang w:val="en-US"/>
        </w:rPr>
        <w:t>,</w:t>
      </w:r>
      <w:r w:rsidRPr="00F95672">
        <w:rPr>
          <w:lang w:val="en-US"/>
        </w:rPr>
        <w:t xml:space="preserve"> Gaillard, Stefan</w:t>
      </w:r>
      <w:r>
        <w:rPr>
          <w:lang w:val="en-US"/>
        </w:rPr>
        <w:t>,</w:t>
      </w:r>
      <w:r w:rsidRPr="00F95672">
        <w:rPr>
          <w:lang w:val="en-US"/>
        </w:rPr>
        <w:t xml:space="preserve"> </w:t>
      </w:r>
      <w:proofErr w:type="spellStart"/>
      <w:r w:rsidRPr="00F95672">
        <w:rPr>
          <w:lang w:val="en-US"/>
        </w:rPr>
        <w:t>Jorna</w:t>
      </w:r>
      <w:proofErr w:type="spellEnd"/>
      <w:r w:rsidRPr="00F95672">
        <w:rPr>
          <w:lang w:val="en-US"/>
        </w:rPr>
        <w:t>, Thomas F. K.</w:t>
      </w:r>
      <w:r>
        <w:rPr>
          <w:lang w:val="en-US"/>
        </w:rPr>
        <w:t>,</w:t>
      </w:r>
      <w:r w:rsidRPr="00F95672">
        <w:rPr>
          <w:lang w:val="en-US"/>
        </w:rPr>
        <w:t xml:space="preserve"> van der Meer, </w:t>
      </w:r>
      <w:proofErr w:type="spellStart"/>
      <w:r w:rsidRPr="00F95672">
        <w:rPr>
          <w:lang w:val="en-US"/>
        </w:rPr>
        <w:t>Martijn</w:t>
      </w:r>
      <w:proofErr w:type="spellEnd"/>
      <w:r>
        <w:rPr>
          <w:lang w:val="en-US"/>
        </w:rPr>
        <w:t>,</w:t>
      </w:r>
      <w:r w:rsidRPr="00F95672">
        <w:rPr>
          <w:lang w:val="en-US"/>
        </w:rPr>
        <w:t xml:space="preserve"> Millett, </w:t>
      </w:r>
      <w:proofErr w:type="spellStart"/>
      <w:r w:rsidRPr="00F95672">
        <w:rPr>
          <w:lang w:val="en-US"/>
        </w:rPr>
        <w:t>Lottricia</w:t>
      </w:r>
      <w:proofErr w:type="spellEnd"/>
      <w:r>
        <w:rPr>
          <w:lang w:val="en-US"/>
        </w:rPr>
        <w:t>,</w:t>
      </w:r>
      <w:r w:rsidRPr="00F95672">
        <w:rPr>
          <w:lang w:val="en-US"/>
        </w:rPr>
        <w:t xml:space="preserve"> </w:t>
      </w:r>
      <w:proofErr w:type="spellStart"/>
      <w:r w:rsidRPr="00F95672">
        <w:rPr>
          <w:lang w:val="en-US"/>
        </w:rPr>
        <w:t>Pozzebon</w:t>
      </w:r>
      <w:proofErr w:type="spellEnd"/>
      <w:r w:rsidRPr="00F95672">
        <w:rPr>
          <w:lang w:val="en-US"/>
        </w:rPr>
        <w:t>, Chelsea</w:t>
      </w:r>
      <w:r>
        <w:rPr>
          <w:lang w:val="en-US"/>
        </w:rPr>
        <w:t>,</w:t>
      </w:r>
      <w:r w:rsidRPr="00F95672">
        <w:rPr>
          <w:lang w:val="en-US"/>
        </w:rPr>
        <w:t xml:space="preserve"> and Visser</w:t>
      </w:r>
      <w:r>
        <w:rPr>
          <w:lang w:val="en-US"/>
        </w:rPr>
        <w:t>,</w:t>
      </w:r>
      <w:r w:rsidRPr="00F95672">
        <w:rPr>
          <w:lang w:val="en-US"/>
        </w:rPr>
        <w:t xml:space="preserve"> </w:t>
      </w:r>
      <w:proofErr w:type="spellStart"/>
      <w:r w:rsidRPr="00F95672">
        <w:rPr>
          <w:lang w:val="en-US"/>
        </w:rPr>
        <w:t>Jobke</w:t>
      </w:r>
      <w:proofErr w:type="spellEnd"/>
      <w:r>
        <w:rPr>
          <w:lang w:val="en-US"/>
        </w:rPr>
        <w:t>.</w:t>
      </w:r>
      <w:r w:rsidRPr="00F95672">
        <w:rPr>
          <w:lang w:val="en-US"/>
        </w:rPr>
        <w:t xml:space="preserve"> ‘Science Fails. Let’s Publish,’ </w:t>
      </w:r>
      <w:r w:rsidRPr="00F95672">
        <w:rPr>
          <w:i/>
          <w:lang w:val="en-US"/>
        </w:rPr>
        <w:t>Journal of Trial &amp; Error</w:t>
      </w:r>
      <w:r w:rsidRPr="00F95672">
        <w:rPr>
          <w:lang w:val="en-US"/>
        </w:rPr>
        <w:t xml:space="preserve"> 1</w:t>
      </w:r>
      <w:r>
        <w:rPr>
          <w:lang w:val="en-US"/>
        </w:rPr>
        <w:t>.</w:t>
      </w:r>
      <w:r w:rsidRPr="00F95672">
        <w:rPr>
          <w:lang w:val="en-US"/>
        </w:rPr>
        <w:t xml:space="preserve">1 (2020): </w:t>
      </w:r>
      <w:proofErr w:type="spellStart"/>
      <w:r w:rsidRPr="00F95672">
        <w:rPr>
          <w:lang w:val="en-US"/>
        </w:rPr>
        <w:t>n.p.</w:t>
      </w:r>
      <w:proofErr w:type="spellEnd"/>
      <w:r w:rsidRPr="00F95672">
        <w:rPr>
          <w:lang w:val="en-US"/>
        </w:rPr>
        <w:t xml:space="preserve"> </w:t>
      </w:r>
      <w:hyperlink r:id="rId6">
        <w:r w:rsidRPr="00F95672">
          <w:rPr>
            <w:color w:val="1155CC"/>
            <w:u w:val="single"/>
            <w:lang w:val="en-US"/>
          </w:rPr>
          <w:t>https://doi.org/10.36850/ed1</w:t>
        </w:r>
      </w:hyperlink>
      <w:r w:rsidRPr="00F95672">
        <w:rPr>
          <w:lang w:val="en-US"/>
        </w:rPr>
        <w:t xml:space="preserve">. </w:t>
      </w:r>
    </w:p>
    <w:p w14:paraId="3C27D1D7" w14:textId="57995004" w:rsidR="007D569A" w:rsidRPr="00205474" w:rsidRDefault="007D569A" w:rsidP="007D569A">
      <w:pPr>
        <w:rPr>
          <w:lang w:val="en-AU"/>
        </w:rPr>
      </w:pPr>
      <w:r w:rsidRPr="00F95672">
        <w:rPr>
          <w:lang w:val="en-US"/>
        </w:rPr>
        <w:t>Halberstam, Jack</w:t>
      </w:r>
      <w:r>
        <w:rPr>
          <w:lang w:val="en-US"/>
        </w:rPr>
        <w:t>.</w:t>
      </w:r>
      <w:r w:rsidRPr="00F95672">
        <w:rPr>
          <w:lang w:val="en-US"/>
        </w:rPr>
        <w:t xml:space="preserve"> </w:t>
      </w:r>
      <w:r w:rsidRPr="00F95672">
        <w:rPr>
          <w:i/>
          <w:lang w:val="en-US"/>
        </w:rPr>
        <w:t>The Queer Art of Failure</w:t>
      </w:r>
      <w:r>
        <w:rPr>
          <w:lang w:val="en-US"/>
        </w:rPr>
        <w:t xml:space="preserve">, </w:t>
      </w:r>
      <w:r w:rsidRPr="00F95672">
        <w:rPr>
          <w:lang w:val="en-US"/>
        </w:rPr>
        <w:t>Durham, NC: Duke University Press, 2011.</w:t>
      </w:r>
    </w:p>
    <w:p w14:paraId="5EAA0370" w14:textId="77777777" w:rsidR="007D569A" w:rsidRPr="00205474" w:rsidRDefault="007D569A" w:rsidP="007D569A">
      <w:pPr>
        <w:rPr>
          <w:lang w:val="en-AU"/>
        </w:rPr>
      </w:pPr>
      <w:r w:rsidRPr="00F95672">
        <w:rPr>
          <w:lang w:val="en-US"/>
        </w:rPr>
        <w:t xml:space="preserve">Haraway, Donna J. ‘Situated Knowledges: The Science Question in Feminism and the Privilege of Partial Perspective,’ </w:t>
      </w:r>
      <w:r w:rsidRPr="00F95672">
        <w:rPr>
          <w:i/>
          <w:lang w:val="en-US"/>
        </w:rPr>
        <w:t>Feminist Studies</w:t>
      </w:r>
      <w:r w:rsidRPr="00F95672">
        <w:rPr>
          <w:lang w:val="en-US"/>
        </w:rPr>
        <w:t>, 14</w:t>
      </w:r>
      <w:r>
        <w:rPr>
          <w:lang w:val="en-US"/>
        </w:rPr>
        <w:t>.</w:t>
      </w:r>
      <w:r w:rsidRPr="00F95672">
        <w:rPr>
          <w:lang w:val="en-US"/>
        </w:rPr>
        <w:t>3 (1988): 575-599.</w:t>
      </w:r>
    </w:p>
    <w:p w14:paraId="3B52D3D4" w14:textId="77777777" w:rsidR="007D569A" w:rsidRPr="00F95672" w:rsidRDefault="007D569A" w:rsidP="007D569A">
      <w:pPr>
        <w:rPr>
          <w:rFonts w:asciiTheme="majorHAnsi" w:hAnsiTheme="majorHAnsi" w:cstheme="majorHAnsi"/>
          <w:lang w:val="en-US"/>
        </w:rPr>
      </w:pPr>
      <w:r w:rsidRPr="006C0C36">
        <w:rPr>
          <w:i/>
          <w:iCs/>
          <w:lang w:val="en-US"/>
        </w:rPr>
        <w:t xml:space="preserve">Journal of </w:t>
      </w:r>
      <w:proofErr w:type="gramStart"/>
      <w:r w:rsidRPr="006C0C36">
        <w:rPr>
          <w:i/>
          <w:iCs/>
          <w:lang w:val="en-US"/>
        </w:rPr>
        <w:t>Trial and Error</w:t>
      </w:r>
      <w:proofErr w:type="gramEnd"/>
      <w:r w:rsidRPr="006C0C36">
        <w:rPr>
          <w:lang w:val="en-US"/>
        </w:rPr>
        <w:t xml:space="preserve"> https://archive.jtrialerror.com.</w:t>
      </w:r>
    </w:p>
    <w:p w14:paraId="73953452" w14:textId="77777777" w:rsidR="007D569A" w:rsidRPr="00620B16" w:rsidRDefault="007D569A" w:rsidP="007D569A">
      <w:pPr>
        <w:rPr>
          <w:lang w:val="en-AU"/>
        </w:rPr>
      </w:pPr>
      <w:r w:rsidRPr="00620B16">
        <w:rPr>
          <w:lang w:val="en-US"/>
        </w:rPr>
        <w:t>Latour, Bruno</w:t>
      </w:r>
      <w:r>
        <w:rPr>
          <w:lang w:val="en-US"/>
        </w:rPr>
        <w:t>.</w:t>
      </w:r>
      <w:r w:rsidRPr="00620B16">
        <w:rPr>
          <w:lang w:val="en-US"/>
        </w:rPr>
        <w:t xml:space="preserve"> </w:t>
      </w:r>
      <w:r w:rsidRPr="00620B16">
        <w:rPr>
          <w:i/>
          <w:lang w:val="en-US"/>
        </w:rPr>
        <w:t>Aramis, or the Love of Technology</w:t>
      </w:r>
      <w:r>
        <w:rPr>
          <w:lang w:val="en-US"/>
        </w:rPr>
        <w:t>,</w:t>
      </w:r>
      <w:r w:rsidRPr="00620B16">
        <w:rPr>
          <w:lang w:val="en-US"/>
        </w:rPr>
        <w:t xml:space="preserve"> </w:t>
      </w:r>
      <w:r>
        <w:rPr>
          <w:lang w:val="en-US"/>
        </w:rPr>
        <w:t>tr</w:t>
      </w:r>
      <w:r w:rsidRPr="00620B16">
        <w:rPr>
          <w:lang w:val="en-US"/>
        </w:rPr>
        <w:t>ans Catherine Porte</w:t>
      </w:r>
      <w:r>
        <w:rPr>
          <w:lang w:val="en-US"/>
        </w:rPr>
        <w:t xml:space="preserve">r, </w:t>
      </w:r>
      <w:r w:rsidRPr="00620B16">
        <w:rPr>
          <w:lang w:val="en-US"/>
        </w:rPr>
        <w:t>Cambridge, MA: Harvard University Press, [1993] 1996.</w:t>
      </w:r>
    </w:p>
    <w:p w14:paraId="3E05127E" w14:textId="59660A94" w:rsidR="007D569A" w:rsidRPr="00F95672" w:rsidRDefault="007D569A" w:rsidP="007D569A">
      <w:pPr>
        <w:rPr>
          <w:lang w:val="en-AU"/>
        </w:rPr>
      </w:pPr>
      <w:r w:rsidRPr="00F95672">
        <w:rPr>
          <w:lang w:val="en-US"/>
        </w:rPr>
        <w:t>Russell, Legacy</w:t>
      </w:r>
      <w:r>
        <w:rPr>
          <w:lang w:val="en-US"/>
        </w:rPr>
        <w:t>.</w:t>
      </w:r>
      <w:r w:rsidRPr="00F95672">
        <w:rPr>
          <w:lang w:val="en-US"/>
        </w:rPr>
        <w:t xml:space="preserve"> </w:t>
      </w:r>
      <w:r w:rsidRPr="00F95672">
        <w:rPr>
          <w:i/>
          <w:lang w:val="en-US"/>
        </w:rPr>
        <w:t>Glitch Feminism: A Manifesto</w:t>
      </w:r>
      <w:r>
        <w:rPr>
          <w:lang w:val="en-US"/>
        </w:rPr>
        <w:t xml:space="preserve">, </w:t>
      </w:r>
      <w:r w:rsidRPr="00F95672">
        <w:rPr>
          <w:lang w:val="en-US"/>
        </w:rPr>
        <w:t>London: Verso, 2020.</w:t>
      </w:r>
    </w:p>
    <w:p w14:paraId="63A34A68" w14:textId="77777777" w:rsidR="007D569A" w:rsidRPr="00F95672" w:rsidRDefault="007D569A" w:rsidP="007D569A">
      <w:pPr>
        <w:rPr>
          <w:rFonts w:asciiTheme="majorHAnsi" w:hAnsiTheme="majorHAnsi" w:cstheme="majorHAnsi"/>
          <w:lang w:val="en-US"/>
        </w:rPr>
      </w:pPr>
      <w:r w:rsidRPr="00620B16">
        <w:t>van der Tuin</w:t>
      </w:r>
      <w:r>
        <w:t>,</w:t>
      </w:r>
      <w:r w:rsidRPr="00620B16">
        <w:t xml:space="preserve"> Iris and Verhoeff, Nanna</w:t>
      </w:r>
      <w:r>
        <w:t>.</w:t>
      </w:r>
      <w:r w:rsidRPr="00620B16">
        <w:t xml:space="preserve"> </w:t>
      </w:r>
      <w:r w:rsidRPr="006C0C36">
        <w:rPr>
          <w:i/>
          <w:iCs/>
          <w:lang w:val="en-US"/>
        </w:rPr>
        <w:t>Critical Concepts for the Creative Humanities</w:t>
      </w:r>
      <w:r w:rsidRPr="006C0C36">
        <w:rPr>
          <w:lang w:val="en-US"/>
        </w:rPr>
        <w:t xml:space="preserve">, Lanham, MD: Rowman &amp; Littlefield, 2022. </w:t>
      </w:r>
    </w:p>
    <w:p w14:paraId="00000030" w14:textId="6C58B9F5" w:rsidR="00E074BB" w:rsidRPr="00435460" w:rsidRDefault="007D569A" w:rsidP="000A6FA6">
      <w:pPr>
        <w:rPr>
          <w:lang w:val="en-US"/>
        </w:rPr>
      </w:pPr>
      <w:r w:rsidRPr="00F95672">
        <w:rPr>
          <w:lang w:val="en-US"/>
        </w:rPr>
        <w:t>Wilkins</w:t>
      </w:r>
      <w:r>
        <w:rPr>
          <w:lang w:val="en-US"/>
        </w:rPr>
        <w:t>,</w:t>
      </w:r>
      <w:r w:rsidRPr="00F95672">
        <w:rPr>
          <w:lang w:val="en-US"/>
        </w:rPr>
        <w:t xml:space="preserve"> Gretchen</w:t>
      </w:r>
      <w:r>
        <w:rPr>
          <w:lang w:val="en-US"/>
        </w:rPr>
        <w:t>,</w:t>
      </w:r>
      <w:r w:rsidRPr="00F95672">
        <w:rPr>
          <w:lang w:val="en-US"/>
        </w:rPr>
        <w:t xml:space="preserve"> and Burrows, Andrew</w:t>
      </w:r>
      <w:r>
        <w:rPr>
          <w:lang w:val="en-US"/>
        </w:rPr>
        <w:t>.</w:t>
      </w:r>
      <w:r w:rsidRPr="00F95672">
        <w:rPr>
          <w:lang w:val="en-US"/>
        </w:rPr>
        <w:t xml:space="preserve"> ‘Final Draft: Designing Architecture’s Endgame,’ </w:t>
      </w:r>
      <w:r w:rsidRPr="00F95672">
        <w:rPr>
          <w:i/>
          <w:lang w:val="en-US"/>
        </w:rPr>
        <w:t>Architectural Design</w:t>
      </w:r>
      <w:r w:rsidRPr="00F95672">
        <w:rPr>
          <w:lang w:val="en-US"/>
        </w:rPr>
        <w:t xml:space="preserve"> 83</w:t>
      </w:r>
      <w:r>
        <w:rPr>
          <w:lang w:val="en-US"/>
        </w:rPr>
        <w:t>.</w:t>
      </w:r>
      <w:r w:rsidRPr="00F95672">
        <w:rPr>
          <w:lang w:val="en-US"/>
        </w:rPr>
        <w:t>1</w:t>
      </w:r>
      <w:r>
        <w:rPr>
          <w:lang w:val="en-US"/>
        </w:rPr>
        <w:t xml:space="preserve"> </w:t>
      </w:r>
      <w:r w:rsidRPr="00F95672">
        <w:rPr>
          <w:lang w:val="en-US"/>
        </w:rPr>
        <w:t>(2013): 98-105</w:t>
      </w:r>
      <w:r>
        <w:rPr>
          <w:lang w:val="en-US"/>
        </w:rPr>
        <w:t>.</w:t>
      </w:r>
    </w:p>
    <w:sectPr w:rsidR="00E074BB" w:rsidRPr="00435460">
      <w:endnotePr>
        <w:numFmt w:val="decimal"/>
      </w:end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7180" w14:textId="77777777" w:rsidR="00C923EB" w:rsidRDefault="00C923EB">
      <w:r>
        <w:separator/>
      </w:r>
    </w:p>
  </w:endnote>
  <w:endnote w:type="continuationSeparator" w:id="0">
    <w:p w14:paraId="075D4870" w14:textId="77777777" w:rsidR="00C923EB" w:rsidRDefault="00C9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9D2B" w14:textId="77777777" w:rsidR="00C923EB" w:rsidRDefault="00C923EB">
      <w:r>
        <w:separator/>
      </w:r>
    </w:p>
  </w:footnote>
  <w:footnote w:type="continuationSeparator" w:id="0">
    <w:p w14:paraId="47E444CC" w14:textId="77777777" w:rsidR="00C923EB" w:rsidRDefault="00C923EB">
      <w:r>
        <w:continuationSeparator/>
      </w:r>
    </w:p>
  </w:footnote>
  <w:footnote w:id="1">
    <w:p w14:paraId="00000031" w14:textId="540028B3" w:rsidR="00A25939" w:rsidRPr="00A25939" w:rsidRDefault="00A25939" w:rsidP="007D569A">
      <w:pPr>
        <w:spacing w:after="0"/>
        <w:rPr>
          <w:rFonts w:asciiTheme="majorHAnsi" w:hAnsiTheme="majorHAnsi" w:cstheme="majorHAnsi"/>
          <w:sz w:val="20"/>
          <w:szCs w:val="20"/>
          <w:lang w:val="en-US"/>
        </w:rPr>
      </w:pPr>
      <w:r w:rsidRPr="00A25939">
        <w:rPr>
          <w:rFonts w:asciiTheme="majorHAnsi" w:hAnsiTheme="majorHAnsi" w:cstheme="majorHAnsi"/>
          <w:sz w:val="20"/>
          <w:szCs w:val="20"/>
          <w:vertAlign w:val="superscript"/>
        </w:rPr>
        <w:footnoteRef/>
      </w:r>
      <w:r w:rsidRPr="00A25939">
        <w:rPr>
          <w:rFonts w:asciiTheme="majorHAnsi" w:hAnsiTheme="majorHAnsi" w:cstheme="majorHAnsi"/>
          <w:sz w:val="20"/>
          <w:szCs w:val="20"/>
          <w:lang w:val="en-US"/>
        </w:rPr>
        <w:t xml:space="preserve"> </w:t>
      </w:r>
      <w:r w:rsidRPr="006C0C36">
        <w:rPr>
          <w:sz w:val="20"/>
          <w:szCs w:val="20"/>
          <w:lang w:val="en-US"/>
        </w:rPr>
        <w:t xml:space="preserve">This is an extended version of the entry ‘Failure’ in our book: Iris van der Tuin and Nanna Verhoeff, </w:t>
      </w:r>
      <w:r w:rsidRPr="006C0C36">
        <w:rPr>
          <w:i/>
          <w:iCs/>
          <w:sz w:val="20"/>
          <w:szCs w:val="20"/>
          <w:lang w:val="en-US"/>
        </w:rPr>
        <w:t>Critical Concepts for the Creative Humanities</w:t>
      </w:r>
      <w:r w:rsidRPr="006C0C36">
        <w:rPr>
          <w:sz w:val="20"/>
          <w:szCs w:val="20"/>
          <w:lang w:val="en-US"/>
        </w:rPr>
        <w:t xml:space="preserve">, Lanham, MD: Rowman &amp; Littlefield, 2022. </w:t>
      </w:r>
    </w:p>
  </w:footnote>
  <w:footnote w:id="2">
    <w:p w14:paraId="00000032" w14:textId="448228EF" w:rsidR="00A25939" w:rsidRPr="00A25939" w:rsidRDefault="00A25939" w:rsidP="007D569A">
      <w:pPr>
        <w:spacing w:after="0"/>
        <w:rPr>
          <w:rFonts w:asciiTheme="majorHAnsi" w:hAnsiTheme="majorHAnsi" w:cstheme="majorHAnsi"/>
          <w:sz w:val="20"/>
          <w:szCs w:val="20"/>
          <w:lang w:val="en-US"/>
        </w:rPr>
      </w:pPr>
      <w:r w:rsidRPr="00A25939">
        <w:rPr>
          <w:rFonts w:asciiTheme="majorHAnsi" w:hAnsiTheme="majorHAnsi" w:cstheme="majorHAnsi"/>
          <w:sz w:val="20"/>
          <w:szCs w:val="20"/>
          <w:vertAlign w:val="superscript"/>
        </w:rPr>
        <w:footnoteRef/>
      </w:r>
      <w:r w:rsidRPr="00A25939">
        <w:rPr>
          <w:rFonts w:asciiTheme="majorHAnsi" w:hAnsiTheme="majorHAnsi" w:cstheme="majorHAnsi"/>
          <w:sz w:val="20"/>
          <w:szCs w:val="20"/>
          <w:lang w:val="en-US"/>
        </w:rPr>
        <w:t xml:space="preserve"> </w:t>
      </w:r>
      <w:r w:rsidRPr="006C0C36">
        <w:rPr>
          <w:i/>
          <w:iCs/>
          <w:sz w:val="20"/>
          <w:szCs w:val="20"/>
          <w:lang w:val="en-US"/>
        </w:rPr>
        <w:t>Journal of Trial and Error</w:t>
      </w:r>
      <w:r w:rsidRPr="006C0C36">
        <w:rPr>
          <w:sz w:val="20"/>
          <w:szCs w:val="20"/>
          <w:lang w:val="en-US"/>
        </w:rPr>
        <w:t xml:space="preserve"> https://archive.jtrialerror.com.</w:t>
      </w:r>
    </w:p>
  </w:footnote>
  <w:footnote w:id="3">
    <w:p w14:paraId="00000033" w14:textId="6F844D05" w:rsidR="00A25939" w:rsidRPr="00A25939" w:rsidRDefault="00A25939" w:rsidP="007D569A">
      <w:pPr>
        <w:spacing w:after="0"/>
        <w:rPr>
          <w:rFonts w:asciiTheme="majorHAnsi" w:hAnsiTheme="majorHAnsi" w:cstheme="majorHAnsi"/>
          <w:sz w:val="20"/>
          <w:szCs w:val="20"/>
          <w:lang w:val="en-US"/>
        </w:rPr>
      </w:pPr>
      <w:r w:rsidRPr="00A25939">
        <w:rPr>
          <w:rFonts w:asciiTheme="majorHAnsi" w:hAnsiTheme="majorHAnsi" w:cstheme="majorHAnsi"/>
          <w:sz w:val="20"/>
          <w:szCs w:val="20"/>
          <w:vertAlign w:val="superscript"/>
        </w:rPr>
        <w:footnoteRef/>
      </w:r>
      <w:r w:rsidRPr="00A25939">
        <w:rPr>
          <w:rFonts w:asciiTheme="majorHAnsi" w:hAnsiTheme="majorHAnsi" w:cstheme="majorHAnsi"/>
          <w:sz w:val="20"/>
          <w:szCs w:val="20"/>
          <w:lang w:val="en-US"/>
        </w:rPr>
        <w:t xml:space="preserve"> </w:t>
      </w:r>
      <w:r w:rsidRPr="006C0C36">
        <w:rPr>
          <w:i/>
          <w:iCs/>
          <w:sz w:val="20"/>
          <w:szCs w:val="20"/>
          <w:lang w:val="en-US"/>
        </w:rPr>
        <w:t>Journal of Trial and Error</w:t>
      </w:r>
      <w:r w:rsidRPr="006C0C36">
        <w:rPr>
          <w:sz w:val="20"/>
          <w:szCs w:val="20"/>
          <w:lang w:val="en-US"/>
        </w:rPr>
        <w:t xml:space="preserve"> https://archive.jtrialerror.com/faq.</w:t>
      </w:r>
    </w:p>
  </w:footnote>
  <w:footnote w:id="4">
    <w:p w14:paraId="00000034" w14:textId="284E6640" w:rsidR="00A25939" w:rsidRPr="00A25939" w:rsidRDefault="00A25939" w:rsidP="007D569A">
      <w:pPr>
        <w:spacing w:after="0"/>
        <w:rPr>
          <w:rFonts w:asciiTheme="majorHAnsi" w:hAnsiTheme="majorHAnsi" w:cstheme="majorHAnsi"/>
          <w:sz w:val="20"/>
          <w:szCs w:val="20"/>
          <w:lang w:val="en-US"/>
        </w:rPr>
      </w:pPr>
      <w:r w:rsidRPr="00A25939">
        <w:rPr>
          <w:rFonts w:asciiTheme="majorHAnsi" w:hAnsiTheme="majorHAnsi" w:cstheme="majorHAnsi"/>
          <w:sz w:val="20"/>
          <w:szCs w:val="20"/>
          <w:vertAlign w:val="superscript"/>
        </w:rPr>
        <w:footnoteRef/>
      </w:r>
      <w:r w:rsidRPr="00A25939">
        <w:rPr>
          <w:rFonts w:asciiTheme="majorHAnsi" w:hAnsiTheme="majorHAnsi" w:cstheme="majorHAnsi"/>
          <w:sz w:val="20"/>
          <w:szCs w:val="20"/>
          <w:lang w:val="en-US"/>
        </w:rPr>
        <w:t xml:space="preserve"> </w:t>
      </w:r>
      <w:r w:rsidRPr="006C0C36">
        <w:rPr>
          <w:i/>
          <w:iCs/>
          <w:sz w:val="20"/>
          <w:szCs w:val="20"/>
          <w:lang w:val="en-US"/>
        </w:rPr>
        <w:t xml:space="preserve">Journal of </w:t>
      </w:r>
      <w:proofErr w:type="gramStart"/>
      <w:r w:rsidRPr="006C0C36">
        <w:rPr>
          <w:i/>
          <w:iCs/>
          <w:sz w:val="20"/>
          <w:szCs w:val="20"/>
          <w:lang w:val="en-US"/>
        </w:rPr>
        <w:t>Trial and Error</w:t>
      </w:r>
      <w:proofErr w:type="gramEnd"/>
      <w:r w:rsidRPr="006C0C36">
        <w:rPr>
          <w:sz w:val="20"/>
          <w:szCs w:val="20"/>
          <w:lang w:val="en-US"/>
        </w:rPr>
        <w:t xml:space="preserve"> https://archive.jtrialerror.com/faq</w:t>
      </w:r>
      <w:r w:rsidRPr="00A25939">
        <w:rPr>
          <w:rFonts w:asciiTheme="majorHAnsi" w:hAnsiTheme="majorHAnsi" w:cstheme="majorHAnsi"/>
          <w:sz w:val="20"/>
          <w:szCs w:val="20"/>
          <w:lang w:val="en-US"/>
        </w:rPr>
        <w:t>.</w:t>
      </w:r>
    </w:p>
  </w:footnote>
  <w:footnote w:id="5">
    <w:p w14:paraId="79D93BCC" w14:textId="7F576CE4"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Bruno Latour, </w:t>
      </w:r>
      <w:r w:rsidRPr="00A25939">
        <w:rPr>
          <w:i/>
          <w:sz w:val="20"/>
          <w:szCs w:val="20"/>
          <w:lang w:val="en-US"/>
        </w:rPr>
        <w:t>Aramis, or the Love of Technology</w:t>
      </w:r>
      <w:r w:rsidRPr="00A25939">
        <w:rPr>
          <w:sz w:val="20"/>
          <w:szCs w:val="20"/>
          <w:lang w:val="en-US"/>
        </w:rPr>
        <w:t>, trans Catherine Porter, Cambridge, MA: Harvard University Press, [1993] 1996.</w:t>
      </w:r>
    </w:p>
  </w:footnote>
  <w:footnote w:id="6">
    <w:p w14:paraId="060456C5" w14:textId="5D2CFA6F"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Felicity Colman, Vera </w:t>
      </w:r>
      <w:proofErr w:type="spellStart"/>
      <w:r w:rsidRPr="00A25939">
        <w:rPr>
          <w:sz w:val="20"/>
          <w:szCs w:val="20"/>
          <w:lang w:val="en-US"/>
        </w:rPr>
        <w:t>Bühlmann</w:t>
      </w:r>
      <w:proofErr w:type="spellEnd"/>
      <w:r w:rsidRPr="00A25939">
        <w:rPr>
          <w:sz w:val="20"/>
          <w:szCs w:val="20"/>
          <w:lang w:val="en-US"/>
        </w:rPr>
        <w:t xml:space="preserve">, Aislinn O’Donnell, and Iris van der </w:t>
      </w:r>
      <w:proofErr w:type="spellStart"/>
      <w:r w:rsidRPr="00A25939">
        <w:rPr>
          <w:sz w:val="20"/>
          <w:szCs w:val="20"/>
          <w:lang w:val="en-US"/>
        </w:rPr>
        <w:t>Tuin</w:t>
      </w:r>
      <w:proofErr w:type="spellEnd"/>
      <w:r w:rsidRPr="00A25939">
        <w:rPr>
          <w:sz w:val="20"/>
          <w:szCs w:val="20"/>
          <w:lang w:val="en-US"/>
        </w:rPr>
        <w:t xml:space="preserve">, </w:t>
      </w:r>
      <w:r w:rsidRPr="00A25939">
        <w:rPr>
          <w:i/>
          <w:sz w:val="20"/>
          <w:szCs w:val="20"/>
          <w:lang w:val="en-US"/>
        </w:rPr>
        <w:t>Ethics of Coding: A Report on the Algorithmic Condition [</w:t>
      </w:r>
      <w:proofErr w:type="spellStart"/>
      <w:r w:rsidRPr="00A25939">
        <w:rPr>
          <w:i/>
          <w:sz w:val="20"/>
          <w:szCs w:val="20"/>
          <w:lang w:val="en-US"/>
        </w:rPr>
        <w:t>EoC</w:t>
      </w:r>
      <w:proofErr w:type="spellEnd"/>
      <w:r w:rsidRPr="00A25939">
        <w:rPr>
          <w:i/>
          <w:sz w:val="20"/>
          <w:szCs w:val="20"/>
          <w:lang w:val="en-US"/>
        </w:rPr>
        <w:t>]</w:t>
      </w:r>
      <w:r w:rsidRPr="00A25939">
        <w:rPr>
          <w:sz w:val="20"/>
          <w:szCs w:val="20"/>
          <w:lang w:val="en-US"/>
        </w:rPr>
        <w:t>, Brussels: European Commission, 2018.</w:t>
      </w:r>
    </w:p>
  </w:footnote>
  <w:footnote w:id="7">
    <w:p w14:paraId="026A121F" w14:textId="75FD6FA6"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Jack Halberstam, </w:t>
      </w:r>
      <w:r w:rsidRPr="00A25939">
        <w:rPr>
          <w:i/>
          <w:sz w:val="20"/>
          <w:szCs w:val="20"/>
          <w:lang w:val="en-US"/>
        </w:rPr>
        <w:t>The Queer Art of Failure</w:t>
      </w:r>
      <w:r w:rsidRPr="00A25939">
        <w:rPr>
          <w:sz w:val="20"/>
          <w:szCs w:val="20"/>
          <w:lang w:val="en-US"/>
        </w:rPr>
        <w:t>, Durham, NC: Duke University Press, 2011.</w:t>
      </w:r>
    </w:p>
  </w:footnote>
  <w:footnote w:id="8">
    <w:p w14:paraId="00000035" w14:textId="2D7F0B24" w:rsidR="00A25939" w:rsidRPr="00A25939" w:rsidRDefault="00A25939" w:rsidP="007D569A">
      <w:pPr>
        <w:spacing w:after="0"/>
        <w:rPr>
          <w:rFonts w:asciiTheme="majorHAnsi" w:hAnsiTheme="majorHAnsi" w:cstheme="majorHAnsi"/>
          <w:sz w:val="20"/>
          <w:szCs w:val="20"/>
          <w:lang w:val="en-US"/>
        </w:rPr>
      </w:pPr>
      <w:r w:rsidRPr="00A25939">
        <w:rPr>
          <w:rFonts w:asciiTheme="majorHAnsi" w:hAnsiTheme="majorHAnsi" w:cstheme="majorHAnsi"/>
          <w:sz w:val="20"/>
          <w:szCs w:val="20"/>
          <w:vertAlign w:val="superscript"/>
        </w:rPr>
        <w:footnoteRef/>
      </w:r>
      <w:r w:rsidRPr="00A25939">
        <w:rPr>
          <w:rFonts w:asciiTheme="majorHAnsi" w:hAnsiTheme="majorHAnsi" w:cstheme="majorHAnsi"/>
          <w:sz w:val="20"/>
          <w:szCs w:val="20"/>
          <w:lang w:val="en-US"/>
        </w:rPr>
        <w:t xml:space="preserve"> </w:t>
      </w:r>
      <w:r w:rsidRPr="006C0C36">
        <w:rPr>
          <w:i/>
          <w:iCs/>
          <w:sz w:val="20"/>
          <w:szCs w:val="20"/>
          <w:lang w:val="en-US"/>
        </w:rPr>
        <w:t xml:space="preserve">Journal of </w:t>
      </w:r>
      <w:proofErr w:type="gramStart"/>
      <w:r w:rsidRPr="006C0C36">
        <w:rPr>
          <w:i/>
          <w:iCs/>
          <w:sz w:val="20"/>
          <w:szCs w:val="20"/>
          <w:lang w:val="en-US"/>
        </w:rPr>
        <w:t>Trial and Error</w:t>
      </w:r>
      <w:proofErr w:type="gramEnd"/>
      <w:r w:rsidRPr="006C0C36">
        <w:rPr>
          <w:sz w:val="20"/>
          <w:szCs w:val="20"/>
          <w:lang w:val="en-US"/>
        </w:rPr>
        <w:t xml:space="preserve"> https://archive.jtrialerror.com/faq</w:t>
      </w:r>
      <w:r w:rsidRPr="00A25939">
        <w:rPr>
          <w:rFonts w:asciiTheme="majorHAnsi" w:hAnsiTheme="majorHAnsi" w:cstheme="majorHAnsi"/>
          <w:sz w:val="20"/>
          <w:szCs w:val="20"/>
          <w:lang w:val="en-US"/>
        </w:rPr>
        <w:t>.</w:t>
      </w:r>
    </w:p>
  </w:footnote>
  <w:footnote w:id="9">
    <w:p w14:paraId="00000036" w14:textId="5D1466DD" w:rsidR="00A25939" w:rsidRPr="00A25939" w:rsidRDefault="00A25939" w:rsidP="007D569A">
      <w:pPr>
        <w:spacing w:after="0"/>
        <w:rPr>
          <w:rFonts w:asciiTheme="majorHAnsi" w:hAnsiTheme="majorHAnsi" w:cstheme="majorHAnsi"/>
          <w:sz w:val="20"/>
          <w:szCs w:val="20"/>
          <w:lang w:val="en-US"/>
        </w:rPr>
      </w:pPr>
      <w:r w:rsidRPr="00A25939">
        <w:rPr>
          <w:rFonts w:asciiTheme="majorHAnsi" w:hAnsiTheme="majorHAnsi" w:cstheme="majorHAnsi"/>
          <w:sz w:val="20"/>
          <w:szCs w:val="20"/>
          <w:vertAlign w:val="superscript"/>
        </w:rPr>
        <w:footnoteRef/>
      </w:r>
      <w:r w:rsidRPr="00A25939">
        <w:rPr>
          <w:rFonts w:asciiTheme="majorHAnsi" w:hAnsiTheme="majorHAnsi" w:cstheme="majorHAnsi"/>
          <w:sz w:val="20"/>
          <w:szCs w:val="20"/>
          <w:lang w:val="en-US"/>
        </w:rPr>
        <w:t xml:space="preserve"> </w:t>
      </w:r>
      <w:r w:rsidRPr="006C0C36">
        <w:rPr>
          <w:i/>
          <w:iCs/>
          <w:sz w:val="20"/>
          <w:szCs w:val="20"/>
          <w:lang w:val="en-US"/>
        </w:rPr>
        <w:t>Journal of Trial and Error</w:t>
      </w:r>
      <w:r w:rsidRPr="006C0C36">
        <w:rPr>
          <w:sz w:val="20"/>
          <w:szCs w:val="20"/>
          <w:lang w:val="en-US"/>
        </w:rPr>
        <w:t xml:space="preserve"> https://archive.jtrialerror.com/.</w:t>
      </w:r>
    </w:p>
  </w:footnote>
  <w:footnote w:id="10">
    <w:p w14:paraId="7CA8D357" w14:textId="263602B3"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Sean Devine, Max Bautista </w:t>
      </w:r>
      <w:proofErr w:type="spellStart"/>
      <w:r w:rsidRPr="00A25939">
        <w:rPr>
          <w:sz w:val="20"/>
          <w:szCs w:val="20"/>
          <w:lang w:val="en-US"/>
        </w:rPr>
        <w:t>Perpinyà</w:t>
      </w:r>
      <w:proofErr w:type="spellEnd"/>
      <w:r w:rsidRPr="00A25939">
        <w:rPr>
          <w:sz w:val="20"/>
          <w:szCs w:val="20"/>
          <w:lang w:val="en-US"/>
        </w:rPr>
        <w:t xml:space="preserve">, Valentine </w:t>
      </w:r>
      <w:proofErr w:type="spellStart"/>
      <w:r w:rsidRPr="00A25939">
        <w:rPr>
          <w:sz w:val="20"/>
          <w:szCs w:val="20"/>
          <w:lang w:val="en-US"/>
        </w:rPr>
        <w:t>Delrue</w:t>
      </w:r>
      <w:proofErr w:type="spellEnd"/>
      <w:r w:rsidRPr="00A25939">
        <w:rPr>
          <w:sz w:val="20"/>
          <w:szCs w:val="20"/>
          <w:lang w:val="en-US"/>
        </w:rPr>
        <w:t xml:space="preserve">, Stefan Gaillard, Thomas F. K. </w:t>
      </w:r>
      <w:proofErr w:type="spellStart"/>
      <w:r w:rsidRPr="00A25939">
        <w:rPr>
          <w:sz w:val="20"/>
          <w:szCs w:val="20"/>
          <w:lang w:val="en-US"/>
        </w:rPr>
        <w:t>Jorna</w:t>
      </w:r>
      <w:proofErr w:type="spellEnd"/>
      <w:r w:rsidRPr="00A25939">
        <w:rPr>
          <w:sz w:val="20"/>
          <w:szCs w:val="20"/>
          <w:lang w:val="en-US"/>
        </w:rPr>
        <w:t xml:space="preserve">, </w:t>
      </w:r>
      <w:proofErr w:type="spellStart"/>
      <w:r w:rsidRPr="00A25939">
        <w:rPr>
          <w:sz w:val="20"/>
          <w:szCs w:val="20"/>
          <w:lang w:val="en-US"/>
        </w:rPr>
        <w:t>Martijn</w:t>
      </w:r>
      <w:proofErr w:type="spellEnd"/>
      <w:r w:rsidRPr="00A25939">
        <w:rPr>
          <w:sz w:val="20"/>
          <w:szCs w:val="20"/>
          <w:lang w:val="en-US"/>
        </w:rPr>
        <w:t xml:space="preserve"> van der Meer, </w:t>
      </w:r>
      <w:proofErr w:type="spellStart"/>
      <w:r w:rsidRPr="00A25939">
        <w:rPr>
          <w:sz w:val="20"/>
          <w:szCs w:val="20"/>
          <w:lang w:val="en-US"/>
        </w:rPr>
        <w:t>Lottricia</w:t>
      </w:r>
      <w:proofErr w:type="spellEnd"/>
      <w:r w:rsidRPr="00A25939">
        <w:rPr>
          <w:sz w:val="20"/>
          <w:szCs w:val="20"/>
          <w:lang w:val="en-US"/>
        </w:rPr>
        <w:t xml:space="preserve"> Millett, Chelsea </w:t>
      </w:r>
      <w:proofErr w:type="spellStart"/>
      <w:r w:rsidRPr="00A25939">
        <w:rPr>
          <w:sz w:val="20"/>
          <w:szCs w:val="20"/>
          <w:lang w:val="en-US"/>
        </w:rPr>
        <w:t>Pozzebon</w:t>
      </w:r>
      <w:proofErr w:type="spellEnd"/>
      <w:r w:rsidRPr="00A25939">
        <w:rPr>
          <w:sz w:val="20"/>
          <w:szCs w:val="20"/>
          <w:lang w:val="en-US"/>
        </w:rPr>
        <w:t xml:space="preserve">, and </w:t>
      </w:r>
      <w:proofErr w:type="spellStart"/>
      <w:r w:rsidRPr="00A25939">
        <w:rPr>
          <w:sz w:val="20"/>
          <w:szCs w:val="20"/>
          <w:lang w:val="en-US"/>
        </w:rPr>
        <w:t>Jobke</w:t>
      </w:r>
      <w:proofErr w:type="spellEnd"/>
      <w:r w:rsidRPr="00A25939">
        <w:rPr>
          <w:sz w:val="20"/>
          <w:szCs w:val="20"/>
          <w:lang w:val="en-US"/>
        </w:rPr>
        <w:t xml:space="preserve"> Visser, ‘Science Fails. Let’s Publish,’ </w:t>
      </w:r>
      <w:r w:rsidRPr="00A25939">
        <w:rPr>
          <w:i/>
          <w:sz w:val="20"/>
          <w:szCs w:val="20"/>
          <w:lang w:val="en-US"/>
        </w:rPr>
        <w:t>Journal of Trial &amp; Error</w:t>
      </w:r>
      <w:r w:rsidRPr="00A25939">
        <w:rPr>
          <w:sz w:val="20"/>
          <w:szCs w:val="20"/>
          <w:lang w:val="en-US"/>
        </w:rPr>
        <w:t xml:space="preserve"> 1.1 (2020): </w:t>
      </w:r>
      <w:proofErr w:type="spellStart"/>
      <w:r w:rsidRPr="00A25939">
        <w:rPr>
          <w:sz w:val="20"/>
          <w:szCs w:val="20"/>
          <w:lang w:val="en-US"/>
        </w:rPr>
        <w:t>n.p.</w:t>
      </w:r>
      <w:proofErr w:type="spellEnd"/>
      <w:r w:rsidRPr="00A25939">
        <w:rPr>
          <w:sz w:val="20"/>
          <w:szCs w:val="20"/>
          <w:lang w:val="en-US"/>
        </w:rPr>
        <w:t xml:space="preserve"> </w:t>
      </w:r>
      <w:r w:rsidR="00000000">
        <w:fldChar w:fldCharType="begin"/>
      </w:r>
      <w:r w:rsidR="00000000" w:rsidRPr="006C0C36">
        <w:rPr>
          <w:lang w:val="en-US"/>
        </w:rPr>
        <w:instrText xml:space="preserve"> HYPERLINK "https://doi.org/10.36850/ed1" \h </w:instrText>
      </w:r>
      <w:r w:rsidR="00000000">
        <w:fldChar w:fldCharType="separate"/>
      </w:r>
      <w:r w:rsidRPr="00A25939">
        <w:rPr>
          <w:color w:val="1155CC"/>
          <w:sz w:val="20"/>
          <w:szCs w:val="20"/>
          <w:u w:val="single"/>
          <w:lang w:val="en-US"/>
        </w:rPr>
        <w:t>https://doi.org/10.36850/ed1</w:t>
      </w:r>
      <w:r w:rsidR="00000000">
        <w:rPr>
          <w:color w:val="1155CC"/>
          <w:sz w:val="20"/>
          <w:szCs w:val="20"/>
          <w:u w:val="single"/>
          <w:lang w:val="en-US"/>
        </w:rPr>
        <w:fldChar w:fldCharType="end"/>
      </w:r>
      <w:r w:rsidRPr="00A25939">
        <w:rPr>
          <w:sz w:val="20"/>
          <w:szCs w:val="20"/>
          <w:lang w:val="en-US"/>
        </w:rPr>
        <w:t xml:space="preserve">. </w:t>
      </w:r>
    </w:p>
  </w:footnote>
  <w:footnote w:id="11">
    <w:p w14:paraId="44F94672" w14:textId="358637EC"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Latour, </w:t>
      </w:r>
      <w:r w:rsidRPr="00A25939">
        <w:rPr>
          <w:i/>
          <w:sz w:val="20"/>
          <w:szCs w:val="20"/>
          <w:lang w:val="en-US"/>
        </w:rPr>
        <w:t>Aramis</w:t>
      </w:r>
      <w:r w:rsidRPr="00A25939">
        <w:rPr>
          <w:sz w:val="20"/>
          <w:szCs w:val="20"/>
          <w:lang w:val="en-US"/>
        </w:rPr>
        <w:t>, 75, 91, emphasis in original.</w:t>
      </w:r>
    </w:p>
  </w:footnote>
  <w:footnote w:id="12">
    <w:p w14:paraId="3AF99A62" w14:textId="2F85BC13"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Devine et al., ‘Science Fails. Let’s Publish’. </w:t>
      </w:r>
    </w:p>
  </w:footnote>
  <w:footnote w:id="13">
    <w:p w14:paraId="31E5C70F" w14:textId="135AB91B" w:rsidR="00A25939" w:rsidRPr="00A25939" w:rsidRDefault="00A25939" w:rsidP="007D569A">
      <w:pPr>
        <w:spacing w:after="0"/>
        <w:rPr>
          <w:sz w:val="20"/>
          <w:szCs w:val="20"/>
          <w:lang w:val="en-US"/>
        </w:rPr>
      </w:pPr>
      <w:r w:rsidRPr="00A25939">
        <w:rPr>
          <w:rStyle w:val="FootnoteReference"/>
          <w:rFonts w:asciiTheme="majorHAnsi" w:hAnsiTheme="majorHAnsi" w:cstheme="majorHAnsi"/>
          <w:sz w:val="20"/>
          <w:szCs w:val="20"/>
        </w:rPr>
        <w:footnoteRef/>
      </w:r>
      <w:r w:rsidRPr="00A25939">
        <w:rPr>
          <w:sz w:val="20"/>
          <w:szCs w:val="20"/>
          <w:lang w:val="en-US"/>
        </w:rPr>
        <w:t xml:space="preserve"> Arjun Appadurai and Neta Alexander, </w:t>
      </w:r>
      <w:r w:rsidRPr="00A25939">
        <w:rPr>
          <w:i/>
          <w:sz w:val="20"/>
          <w:szCs w:val="20"/>
          <w:lang w:val="en-US"/>
        </w:rPr>
        <w:t>Failure</w:t>
      </w:r>
      <w:r w:rsidRPr="00A25939">
        <w:rPr>
          <w:sz w:val="20"/>
          <w:szCs w:val="20"/>
          <w:lang w:val="en-US"/>
        </w:rPr>
        <w:t>, Cambridge: Polity Press, 2020, 9-10.</w:t>
      </w:r>
    </w:p>
  </w:footnote>
  <w:footnote w:id="14">
    <w:p w14:paraId="02D40A8A" w14:textId="5DD80AD4"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Appadurai and Alexander, </w:t>
      </w:r>
      <w:r w:rsidRPr="00A25939">
        <w:rPr>
          <w:i/>
          <w:sz w:val="20"/>
          <w:szCs w:val="20"/>
          <w:lang w:val="en-US"/>
        </w:rPr>
        <w:t>Failure</w:t>
      </w:r>
      <w:r w:rsidRPr="00A25939">
        <w:rPr>
          <w:sz w:val="20"/>
          <w:szCs w:val="20"/>
          <w:lang w:val="en-US"/>
        </w:rPr>
        <w:t>,12</w:t>
      </w:r>
    </w:p>
  </w:footnote>
  <w:footnote w:id="15">
    <w:p w14:paraId="256174EA" w14:textId="41037EC3"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Legacy Russell, </w:t>
      </w:r>
      <w:r w:rsidRPr="00A25939">
        <w:rPr>
          <w:i/>
          <w:sz w:val="20"/>
          <w:szCs w:val="20"/>
          <w:lang w:val="en-US"/>
        </w:rPr>
        <w:t>Glitch Feminism: A Manifesto</w:t>
      </w:r>
      <w:r w:rsidRPr="00A25939">
        <w:rPr>
          <w:sz w:val="20"/>
          <w:szCs w:val="20"/>
          <w:lang w:val="en-US"/>
        </w:rPr>
        <w:t>, London: Verso, 2020, 30.</w:t>
      </w:r>
    </w:p>
  </w:footnote>
  <w:footnote w:id="16">
    <w:p w14:paraId="7491785B" w14:textId="4085A65A"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Halberstam, </w:t>
      </w:r>
      <w:r w:rsidRPr="00A25939">
        <w:rPr>
          <w:i/>
          <w:iCs/>
          <w:sz w:val="20"/>
          <w:szCs w:val="20"/>
          <w:lang w:val="en-US"/>
        </w:rPr>
        <w:t>The Queer Art of Failure</w:t>
      </w:r>
      <w:r w:rsidRPr="00A25939">
        <w:rPr>
          <w:sz w:val="20"/>
          <w:szCs w:val="20"/>
          <w:lang w:val="en-US"/>
        </w:rPr>
        <w:t>, 2-3.</w:t>
      </w:r>
    </w:p>
  </w:footnote>
  <w:footnote w:id="17">
    <w:p w14:paraId="5B56E5E1" w14:textId="47089025" w:rsidR="00A25939" w:rsidRPr="00A25939" w:rsidRDefault="00A25939" w:rsidP="007D569A">
      <w:pPr>
        <w:spacing w:after="0"/>
        <w:rPr>
          <w:sz w:val="20"/>
          <w:szCs w:val="20"/>
          <w:lang w:val="en-US"/>
        </w:rPr>
      </w:pPr>
      <w:r w:rsidRPr="00A25939">
        <w:rPr>
          <w:rStyle w:val="FootnoteReference"/>
          <w:rFonts w:asciiTheme="majorHAnsi" w:hAnsiTheme="majorHAnsi" w:cstheme="majorHAnsi"/>
          <w:sz w:val="20"/>
          <w:szCs w:val="20"/>
        </w:rPr>
        <w:footnoteRef/>
      </w:r>
      <w:r w:rsidRPr="00A25939">
        <w:rPr>
          <w:sz w:val="20"/>
          <w:szCs w:val="20"/>
          <w:lang w:val="en-US"/>
        </w:rPr>
        <w:t xml:space="preserve"> Gretchen Wilkins and Andrew Burrows, ‘Final Draft: Designing Architecture’s Endgame,’ </w:t>
      </w:r>
      <w:r w:rsidRPr="00A25939">
        <w:rPr>
          <w:i/>
          <w:sz w:val="20"/>
          <w:szCs w:val="20"/>
          <w:lang w:val="en-US"/>
        </w:rPr>
        <w:t>Architectural Design</w:t>
      </w:r>
      <w:r w:rsidRPr="00A25939">
        <w:rPr>
          <w:sz w:val="20"/>
          <w:szCs w:val="20"/>
          <w:lang w:val="en-US"/>
        </w:rPr>
        <w:t xml:space="preserve"> 83.1 (2013): 98-105, 98.</w:t>
      </w:r>
    </w:p>
  </w:footnote>
  <w:footnote w:id="18">
    <w:p w14:paraId="58D99945" w14:textId="605705B8" w:rsidR="00A25939" w:rsidRPr="00A25939" w:rsidRDefault="00A25939" w:rsidP="007D569A">
      <w:pPr>
        <w:spacing w:after="0"/>
        <w:rPr>
          <w:sz w:val="20"/>
          <w:szCs w:val="20"/>
          <w:lang w:val="en-US"/>
        </w:rPr>
      </w:pPr>
      <w:r w:rsidRPr="00A25939">
        <w:rPr>
          <w:rStyle w:val="FootnoteReference"/>
          <w:sz w:val="20"/>
          <w:szCs w:val="20"/>
        </w:rPr>
        <w:footnoteRef/>
      </w:r>
      <w:r w:rsidRPr="00A25939">
        <w:rPr>
          <w:sz w:val="20"/>
          <w:szCs w:val="20"/>
          <w:lang w:val="en-US"/>
        </w:rPr>
        <w:t xml:space="preserve"> Wilkins and Burrows, ‘Final Draft’, 98.</w:t>
      </w:r>
    </w:p>
  </w:footnote>
  <w:footnote w:id="19">
    <w:p w14:paraId="72236491" w14:textId="11E0F9D0" w:rsidR="00A25939" w:rsidRPr="00A25939" w:rsidRDefault="00A25939" w:rsidP="007D569A">
      <w:pPr>
        <w:spacing w:after="0"/>
        <w:rPr>
          <w:sz w:val="20"/>
          <w:szCs w:val="20"/>
          <w:lang w:val="en-AU"/>
        </w:rPr>
      </w:pPr>
      <w:r w:rsidRPr="00A25939">
        <w:rPr>
          <w:rStyle w:val="FootnoteReference"/>
          <w:rFonts w:asciiTheme="majorHAnsi" w:hAnsiTheme="majorHAnsi" w:cstheme="majorHAnsi"/>
          <w:sz w:val="20"/>
          <w:szCs w:val="20"/>
        </w:rPr>
        <w:footnoteRef/>
      </w:r>
      <w:r w:rsidRPr="00A25939">
        <w:rPr>
          <w:sz w:val="20"/>
          <w:szCs w:val="20"/>
          <w:lang w:val="en-US"/>
        </w:rPr>
        <w:t xml:space="preserve"> Donna J. Haraway, ‘Situated Knowledges: The Science Question in Feminism and the Privilege of Partial Perspective,’ </w:t>
      </w:r>
      <w:r w:rsidRPr="00A25939">
        <w:rPr>
          <w:i/>
          <w:sz w:val="20"/>
          <w:szCs w:val="20"/>
          <w:lang w:val="en-US"/>
        </w:rPr>
        <w:t>Feminist Studies</w:t>
      </w:r>
      <w:r w:rsidRPr="00A25939">
        <w:rPr>
          <w:sz w:val="20"/>
          <w:szCs w:val="20"/>
          <w:lang w:val="en-US"/>
        </w:rPr>
        <w:t xml:space="preserve">, 14.3 (1988): 575-599. </w:t>
      </w:r>
    </w:p>
  </w:footnote>
  <w:footnote w:id="20">
    <w:p w14:paraId="74920EE2" w14:textId="64B09F64" w:rsidR="00A25939" w:rsidRPr="00A25939" w:rsidRDefault="00A25939" w:rsidP="007D569A">
      <w:pPr>
        <w:spacing w:after="0"/>
        <w:rPr>
          <w:sz w:val="20"/>
          <w:szCs w:val="20"/>
          <w:lang w:val="en-AU"/>
        </w:rPr>
      </w:pPr>
      <w:r w:rsidRPr="00A25939">
        <w:rPr>
          <w:rStyle w:val="FootnoteReference"/>
          <w:sz w:val="20"/>
          <w:szCs w:val="20"/>
        </w:rPr>
        <w:footnoteRef/>
      </w:r>
      <w:r w:rsidRPr="00A25939">
        <w:rPr>
          <w:sz w:val="20"/>
          <w:szCs w:val="20"/>
          <w:lang w:val="en-US"/>
        </w:rPr>
        <w:t xml:space="preserve"> Wilkins and Burrows,</w:t>
      </w:r>
      <w:r w:rsidRPr="00A25939">
        <w:rPr>
          <w:rFonts w:asciiTheme="majorHAnsi" w:hAnsiTheme="majorHAnsi" w:cstheme="majorHAnsi"/>
          <w:sz w:val="20"/>
          <w:szCs w:val="20"/>
          <w:lang w:val="en-US"/>
        </w:rPr>
        <w:t xml:space="preserve"> ‘</w:t>
      </w:r>
      <w:r w:rsidRPr="006C0C36">
        <w:rPr>
          <w:sz w:val="20"/>
          <w:szCs w:val="20"/>
          <w:lang w:val="en-US"/>
        </w:rPr>
        <w:t>Final Draft’, 100</w:t>
      </w:r>
      <w:r w:rsidRPr="00A25939">
        <w:rPr>
          <w:sz w:val="20"/>
          <w:szCs w:val="20"/>
          <w:lang w:val="en-US"/>
        </w:rPr>
        <w:t>.</w:t>
      </w:r>
    </w:p>
  </w:footnote>
  <w:footnote w:id="21">
    <w:p w14:paraId="6CB24A42" w14:textId="49435214" w:rsidR="00A25939" w:rsidRPr="00A25939" w:rsidRDefault="00A25939" w:rsidP="007D569A">
      <w:pPr>
        <w:spacing w:after="0"/>
        <w:rPr>
          <w:sz w:val="20"/>
          <w:szCs w:val="20"/>
          <w:lang w:val="en-AU"/>
        </w:rPr>
      </w:pPr>
      <w:r w:rsidRPr="00A25939">
        <w:rPr>
          <w:rStyle w:val="FootnoteReference"/>
          <w:sz w:val="20"/>
          <w:szCs w:val="20"/>
        </w:rPr>
        <w:footnoteRef/>
      </w:r>
      <w:r w:rsidRPr="006C0C36">
        <w:rPr>
          <w:sz w:val="20"/>
          <w:szCs w:val="20"/>
          <w:lang w:val="en-US"/>
        </w:rPr>
        <w:t xml:space="preserve"> </w:t>
      </w:r>
      <w:r w:rsidRPr="00A25939">
        <w:rPr>
          <w:sz w:val="20"/>
          <w:szCs w:val="20"/>
          <w:lang w:val="en-US"/>
        </w:rPr>
        <w:t>Wilkins and Burrows,</w:t>
      </w:r>
      <w:r w:rsidRPr="00A25939">
        <w:rPr>
          <w:rFonts w:asciiTheme="majorHAnsi" w:hAnsiTheme="majorHAnsi" w:cstheme="majorHAnsi"/>
          <w:sz w:val="20"/>
          <w:szCs w:val="20"/>
          <w:lang w:val="en-US"/>
        </w:rPr>
        <w:t xml:space="preserve"> ‘</w:t>
      </w:r>
      <w:r w:rsidRPr="006C0C36">
        <w:rPr>
          <w:sz w:val="20"/>
          <w:szCs w:val="20"/>
          <w:lang w:val="en-US"/>
        </w:rPr>
        <w:t xml:space="preserve">Final Draft’, </w:t>
      </w:r>
      <w:r w:rsidRPr="00A25939">
        <w:rPr>
          <w:sz w:val="20"/>
          <w:szCs w:val="20"/>
          <w:lang w:val="en-US"/>
        </w:rPr>
        <w:t>101, 105.</w:t>
      </w:r>
    </w:p>
  </w:footnote>
  <w:footnote w:id="22">
    <w:p w14:paraId="327B2D14" w14:textId="002B783A" w:rsidR="00A25939" w:rsidRPr="00A25939" w:rsidRDefault="00A25939" w:rsidP="007D569A">
      <w:pPr>
        <w:spacing w:after="0"/>
        <w:rPr>
          <w:sz w:val="20"/>
          <w:szCs w:val="20"/>
          <w:lang w:val="en-AU"/>
        </w:rPr>
      </w:pPr>
      <w:r w:rsidRPr="00A25939">
        <w:rPr>
          <w:rStyle w:val="FootnoteReference"/>
          <w:sz w:val="20"/>
          <w:szCs w:val="20"/>
        </w:rPr>
        <w:footnoteRef/>
      </w:r>
      <w:r w:rsidRPr="006C0C36">
        <w:rPr>
          <w:sz w:val="20"/>
          <w:szCs w:val="20"/>
          <w:lang w:val="en-US"/>
        </w:rPr>
        <w:t xml:space="preserve"> </w:t>
      </w:r>
      <w:r w:rsidRPr="00A25939">
        <w:rPr>
          <w:sz w:val="20"/>
          <w:szCs w:val="20"/>
          <w:lang w:val="en-US"/>
        </w:rPr>
        <w:t>Wilkins and Burrows,</w:t>
      </w:r>
      <w:r w:rsidRPr="00A25939">
        <w:rPr>
          <w:rFonts w:asciiTheme="majorHAnsi" w:hAnsiTheme="majorHAnsi" w:cstheme="majorHAnsi"/>
          <w:sz w:val="20"/>
          <w:szCs w:val="20"/>
          <w:lang w:val="en-US"/>
        </w:rPr>
        <w:t xml:space="preserve"> ‘</w:t>
      </w:r>
      <w:r w:rsidRPr="006C0C36">
        <w:rPr>
          <w:sz w:val="20"/>
          <w:szCs w:val="20"/>
          <w:lang w:val="en-US"/>
        </w:rPr>
        <w:t xml:space="preserve">Final Draft’, </w:t>
      </w:r>
      <w:r w:rsidRPr="00A25939">
        <w:rPr>
          <w:sz w:val="20"/>
          <w:szCs w:val="20"/>
          <w:lang w:val="en-US"/>
        </w:rPr>
        <w:t>101.</w:t>
      </w:r>
    </w:p>
  </w:footnote>
  <w:footnote w:id="23">
    <w:p w14:paraId="653E2E86" w14:textId="231230D9" w:rsidR="00A25939" w:rsidRPr="00A25939" w:rsidRDefault="00A25939" w:rsidP="007D569A">
      <w:pPr>
        <w:spacing w:after="0"/>
        <w:rPr>
          <w:sz w:val="20"/>
          <w:szCs w:val="20"/>
          <w:lang w:val="en-US"/>
        </w:rPr>
      </w:pPr>
      <w:r w:rsidRPr="00A25939">
        <w:rPr>
          <w:rStyle w:val="FootnoteReference"/>
          <w:sz w:val="20"/>
          <w:szCs w:val="20"/>
        </w:rPr>
        <w:footnoteRef/>
      </w:r>
      <w:r w:rsidRPr="006C0C36">
        <w:rPr>
          <w:sz w:val="20"/>
          <w:szCs w:val="20"/>
          <w:lang w:val="en-US"/>
        </w:rPr>
        <w:t xml:space="preserve"> </w:t>
      </w:r>
      <w:r w:rsidRPr="00A25939">
        <w:rPr>
          <w:sz w:val="20"/>
          <w:szCs w:val="20"/>
          <w:lang w:val="en-US"/>
        </w:rPr>
        <w:t>Wilkins and Burrows,</w:t>
      </w:r>
      <w:r w:rsidRPr="00A25939">
        <w:rPr>
          <w:rFonts w:asciiTheme="majorHAnsi" w:hAnsiTheme="majorHAnsi" w:cstheme="majorHAnsi"/>
          <w:sz w:val="20"/>
          <w:szCs w:val="20"/>
          <w:lang w:val="en-US"/>
        </w:rPr>
        <w:t xml:space="preserve"> ‘</w:t>
      </w:r>
      <w:r w:rsidRPr="006C0C36">
        <w:rPr>
          <w:sz w:val="20"/>
          <w:szCs w:val="20"/>
          <w:lang w:val="en-US"/>
        </w:rPr>
        <w:t xml:space="preserve">Final Draft’, </w:t>
      </w:r>
      <w:r w:rsidRPr="00A25939">
        <w:rPr>
          <w:sz w:val="20"/>
          <w:szCs w:val="20"/>
          <w:lang w:val="en-US"/>
        </w:rPr>
        <w:t>103.</w:t>
      </w:r>
    </w:p>
    <w:p w14:paraId="40FDAF48" w14:textId="77777777" w:rsidR="00A25939" w:rsidRPr="0037269C" w:rsidRDefault="00A25939" w:rsidP="007D569A">
      <w:pPr>
        <w:rPr>
          <w:lang w:val="en-AU"/>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BB"/>
    <w:rsid w:val="00011809"/>
    <w:rsid w:val="00024BFD"/>
    <w:rsid w:val="000420AD"/>
    <w:rsid w:val="00065B53"/>
    <w:rsid w:val="000758A6"/>
    <w:rsid w:val="0009537C"/>
    <w:rsid w:val="000A6FA6"/>
    <w:rsid w:val="000B033D"/>
    <w:rsid w:val="000E36C0"/>
    <w:rsid w:val="000F79CD"/>
    <w:rsid w:val="00141972"/>
    <w:rsid w:val="00142413"/>
    <w:rsid w:val="0015203B"/>
    <w:rsid w:val="00160376"/>
    <w:rsid w:val="00165FDF"/>
    <w:rsid w:val="00166618"/>
    <w:rsid w:val="001806F3"/>
    <w:rsid w:val="00250CB6"/>
    <w:rsid w:val="00276FF6"/>
    <w:rsid w:val="00282C0E"/>
    <w:rsid w:val="0029699A"/>
    <w:rsid w:val="002B5E80"/>
    <w:rsid w:val="002E5DEE"/>
    <w:rsid w:val="003117CC"/>
    <w:rsid w:val="00317901"/>
    <w:rsid w:val="0033102A"/>
    <w:rsid w:val="00364AE5"/>
    <w:rsid w:val="00370CE2"/>
    <w:rsid w:val="0037269C"/>
    <w:rsid w:val="003A7084"/>
    <w:rsid w:val="003E3525"/>
    <w:rsid w:val="00434D9D"/>
    <w:rsid w:val="00435460"/>
    <w:rsid w:val="004362E3"/>
    <w:rsid w:val="00467AFE"/>
    <w:rsid w:val="00492FA9"/>
    <w:rsid w:val="004C33FE"/>
    <w:rsid w:val="004C6E6D"/>
    <w:rsid w:val="0056245C"/>
    <w:rsid w:val="00564426"/>
    <w:rsid w:val="00596620"/>
    <w:rsid w:val="005C7F53"/>
    <w:rsid w:val="005E3F81"/>
    <w:rsid w:val="006052A5"/>
    <w:rsid w:val="00636B18"/>
    <w:rsid w:val="006846D7"/>
    <w:rsid w:val="006A52E6"/>
    <w:rsid w:val="006C0C36"/>
    <w:rsid w:val="006F0BF0"/>
    <w:rsid w:val="00702256"/>
    <w:rsid w:val="007D569A"/>
    <w:rsid w:val="007F5C0F"/>
    <w:rsid w:val="0080451F"/>
    <w:rsid w:val="009145D4"/>
    <w:rsid w:val="0093431C"/>
    <w:rsid w:val="00951ED0"/>
    <w:rsid w:val="0097714C"/>
    <w:rsid w:val="00994A11"/>
    <w:rsid w:val="009B25F4"/>
    <w:rsid w:val="00A25939"/>
    <w:rsid w:val="00A30102"/>
    <w:rsid w:val="00A52981"/>
    <w:rsid w:val="00A52E17"/>
    <w:rsid w:val="00A614FA"/>
    <w:rsid w:val="00A83583"/>
    <w:rsid w:val="00AA3FE3"/>
    <w:rsid w:val="00B22542"/>
    <w:rsid w:val="00B2409B"/>
    <w:rsid w:val="00B34D5B"/>
    <w:rsid w:val="00B57B17"/>
    <w:rsid w:val="00B713A0"/>
    <w:rsid w:val="00B94038"/>
    <w:rsid w:val="00BD6C99"/>
    <w:rsid w:val="00BF3A86"/>
    <w:rsid w:val="00C2287B"/>
    <w:rsid w:val="00C6019B"/>
    <w:rsid w:val="00C6163F"/>
    <w:rsid w:val="00C923EB"/>
    <w:rsid w:val="00D307BA"/>
    <w:rsid w:val="00D36BB7"/>
    <w:rsid w:val="00D56F44"/>
    <w:rsid w:val="00D920DF"/>
    <w:rsid w:val="00D937F8"/>
    <w:rsid w:val="00DA18B1"/>
    <w:rsid w:val="00E055FC"/>
    <w:rsid w:val="00E074BB"/>
    <w:rsid w:val="00E10877"/>
    <w:rsid w:val="00E20D33"/>
    <w:rsid w:val="00E22BDA"/>
    <w:rsid w:val="00E26608"/>
    <w:rsid w:val="00E76726"/>
    <w:rsid w:val="00EA5619"/>
    <w:rsid w:val="00F33466"/>
    <w:rsid w:val="00F67CA5"/>
    <w:rsid w:val="00F72BB7"/>
    <w:rsid w:val="00F76F8A"/>
    <w:rsid w:val="00F90BD9"/>
    <w:rsid w:val="00F95672"/>
    <w:rsid w:val="00FA0266"/>
    <w:rsid w:val="00FE3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A58217"/>
  <w15:docId w15:val="{36AD2130-72A4-AC4A-9B27-81C2620B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33"/>
    <w:pPr>
      <w:spacing w:after="160" w:line="240" w:lineRule="auto"/>
    </w:pPr>
    <w:rPr>
      <w:rFonts w:ascii="Times" w:hAnsi="Times"/>
      <w:sz w:val="24"/>
    </w:rPr>
  </w:style>
  <w:style w:type="paragraph" w:styleId="Heading1">
    <w:name w:val="heading 1"/>
    <w:basedOn w:val="Normal"/>
    <w:next w:val="Normal"/>
    <w:uiPriority w:val="9"/>
    <w:qFormat/>
    <w:rsid w:val="00F33466"/>
    <w:pPr>
      <w:keepNext/>
      <w:keepLines/>
      <w:spacing w:before="240" w:after="120"/>
      <w:outlineLvl w:val="0"/>
    </w:pPr>
    <w:rPr>
      <w:b/>
      <w:sz w:val="48"/>
      <w:szCs w:val="40"/>
    </w:rPr>
  </w:style>
  <w:style w:type="paragraph" w:styleId="Heading2">
    <w:name w:val="heading 2"/>
    <w:basedOn w:val="Normal"/>
    <w:next w:val="Normal"/>
    <w:uiPriority w:val="9"/>
    <w:unhideWhenUsed/>
    <w:qFormat/>
    <w:rsid w:val="00F33466"/>
    <w:pPr>
      <w:keepNext/>
      <w:keepLines/>
      <w:spacing w:before="240" w:after="120"/>
      <w:outlineLvl w:val="1"/>
    </w:pPr>
    <w:rPr>
      <w:b/>
      <w:sz w:val="36"/>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806F3"/>
    <w:rPr>
      <w:sz w:val="16"/>
      <w:szCs w:val="16"/>
    </w:rPr>
  </w:style>
  <w:style w:type="paragraph" w:styleId="CommentText">
    <w:name w:val="annotation text"/>
    <w:basedOn w:val="Normal"/>
    <w:link w:val="CommentTextChar"/>
    <w:uiPriority w:val="99"/>
    <w:semiHidden/>
    <w:unhideWhenUsed/>
    <w:rsid w:val="001806F3"/>
    <w:rPr>
      <w:sz w:val="20"/>
      <w:szCs w:val="20"/>
    </w:rPr>
  </w:style>
  <w:style w:type="character" w:customStyle="1" w:styleId="CommentTextChar">
    <w:name w:val="Comment Text Char"/>
    <w:basedOn w:val="DefaultParagraphFont"/>
    <w:link w:val="CommentText"/>
    <w:uiPriority w:val="99"/>
    <w:semiHidden/>
    <w:rsid w:val="001806F3"/>
    <w:rPr>
      <w:sz w:val="20"/>
      <w:szCs w:val="20"/>
    </w:rPr>
  </w:style>
  <w:style w:type="paragraph" w:styleId="CommentSubject">
    <w:name w:val="annotation subject"/>
    <w:basedOn w:val="CommentText"/>
    <w:next w:val="CommentText"/>
    <w:link w:val="CommentSubjectChar"/>
    <w:uiPriority w:val="99"/>
    <w:semiHidden/>
    <w:unhideWhenUsed/>
    <w:rsid w:val="001806F3"/>
    <w:rPr>
      <w:b/>
      <w:bCs/>
    </w:rPr>
  </w:style>
  <w:style w:type="character" w:customStyle="1" w:styleId="CommentSubjectChar">
    <w:name w:val="Comment Subject Char"/>
    <w:basedOn w:val="CommentTextChar"/>
    <w:link w:val="CommentSubject"/>
    <w:uiPriority w:val="99"/>
    <w:semiHidden/>
    <w:rsid w:val="001806F3"/>
    <w:rPr>
      <w:b/>
      <w:bCs/>
      <w:sz w:val="20"/>
      <w:szCs w:val="20"/>
    </w:rPr>
  </w:style>
  <w:style w:type="paragraph" w:styleId="FootnoteText">
    <w:name w:val="footnote text"/>
    <w:basedOn w:val="Normal"/>
    <w:link w:val="FootnoteTextChar"/>
    <w:uiPriority w:val="99"/>
    <w:semiHidden/>
    <w:unhideWhenUsed/>
    <w:rsid w:val="007F5C0F"/>
    <w:rPr>
      <w:sz w:val="20"/>
      <w:szCs w:val="20"/>
    </w:rPr>
  </w:style>
  <w:style w:type="character" w:customStyle="1" w:styleId="FootnoteTextChar">
    <w:name w:val="Footnote Text Char"/>
    <w:basedOn w:val="DefaultParagraphFont"/>
    <w:link w:val="FootnoteText"/>
    <w:uiPriority w:val="99"/>
    <w:semiHidden/>
    <w:rsid w:val="007F5C0F"/>
    <w:rPr>
      <w:sz w:val="20"/>
      <w:szCs w:val="20"/>
    </w:rPr>
  </w:style>
  <w:style w:type="paragraph" w:styleId="EndnoteText">
    <w:name w:val="endnote text"/>
    <w:basedOn w:val="Normal"/>
    <w:link w:val="EndnoteTextChar"/>
    <w:uiPriority w:val="99"/>
    <w:semiHidden/>
    <w:unhideWhenUsed/>
    <w:rsid w:val="007F5C0F"/>
    <w:rPr>
      <w:sz w:val="20"/>
      <w:szCs w:val="20"/>
    </w:rPr>
  </w:style>
  <w:style w:type="character" w:customStyle="1" w:styleId="EndnoteTextChar">
    <w:name w:val="Endnote Text Char"/>
    <w:basedOn w:val="DefaultParagraphFont"/>
    <w:link w:val="EndnoteText"/>
    <w:uiPriority w:val="99"/>
    <w:semiHidden/>
    <w:rsid w:val="007F5C0F"/>
    <w:rPr>
      <w:sz w:val="20"/>
      <w:szCs w:val="20"/>
    </w:rPr>
  </w:style>
  <w:style w:type="character" w:styleId="FootnoteReference">
    <w:name w:val="footnote reference"/>
    <w:basedOn w:val="DefaultParagraphFont"/>
    <w:uiPriority w:val="99"/>
    <w:semiHidden/>
    <w:unhideWhenUsed/>
    <w:rsid w:val="007F5C0F"/>
    <w:rPr>
      <w:vertAlign w:val="superscript"/>
    </w:rPr>
  </w:style>
  <w:style w:type="character" w:styleId="EndnoteReference">
    <w:name w:val="endnote reference"/>
    <w:basedOn w:val="DefaultParagraphFont"/>
    <w:uiPriority w:val="99"/>
    <w:semiHidden/>
    <w:unhideWhenUsed/>
    <w:rsid w:val="007F5C0F"/>
    <w:rPr>
      <w:vertAlign w:val="superscript"/>
    </w:rPr>
  </w:style>
  <w:style w:type="paragraph" w:styleId="Revision">
    <w:name w:val="Revision"/>
    <w:hidden/>
    <w:uiPriority w:val="99"/>
    <w:semiHidden/>
    <w:rsid w:val="007F5C0F"/>
    <w:pPr>
      <w:spacing w:line="240" w:lineRule="auto"/>
    </w:pPr>
  </w:style>
  <w:style w:type="character" w:styleId="Hyperlink">
    <w:name w:val="Hyperlink"/>
    <w:basedOn w:val="DefaultParagraphFont"/>
    <w:uiPriority w:val="99"/>
    <w:unhideWhenUsed/>
    <w:rsid w:val="00E76726"/>
    <w:rPr>
      <w:color w:val="0000FF" w:themeColor="hyperlink"/>
      <w:u w:val="single"/>
    </w:rPr>
  </w:style>
  <w:style w:type="character" w:styleId="UnresolvedMention">
    <w:name w:val="Unresolved Mention"/>
    <w:basedOn w:val="DefaultParagraphFont"/>
    <w:uiPriority w:val="99"/>
    <w:semiHidden/>
    <w:unhideWhenUsed/>
    <w:rsid w:val="00E76726"/>
    <w:rPr>
      <w:color w:val="605E5C"/>
      <w:shd w:val="clear" w:color="auto" w:fill="E1DFDD"/>
    </w:rPr>
  </w:style>
  <w:style w:type="paragraph" w:styleId="Quote">
    <w:name w:val="Quote"/>
    <w:basedOn w:val="Normal"/>
    <w:next w:val="Normal"/>
    <w:link w:val="QuoteChar"/>
    <w:uiPriority w:val="29"/>
    <w:qFormat/>
    <w:rsid w:val="00F33466"/>
    <w:pPr>
      <w:spacing w:before="200"/>
      <w:ind w:left="864" w:right="864"/>
      <w:jc w:val="both"/>
    </w:pPr>
    <w:rPr>
      <w:i/>
      <w:iCs/>
    </w:rPr>
  </w:style>
  <w:style w:type="character" w:customStyle="1" w:styleId="QuoteChar">
    <w:name w:val="Quote Char"/>
    <w:basedOn w:val="DefaultParagraphFont"/>
    <w:link w:val="Quote"/>
    <w:uiPriority w:val="29"/>
    <w:rsid w:val="00F33466"/>
    <w:rPr>
      <w:rFonts w:ascii="Times" w:hAnsi="Times"/>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6850/e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6</cp:revision>
  <dcterms:created xsi:type="dcterms:W3CDTF">2022-10-13T01:25:00Z</dcterms:created>
  <dcterms:modified xsi:type="dcterms:W3CDTF">2022-11-02T11:39:00Z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2022-08-09T07:16:40Z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8dddc00e-a379-4cf1-b864-280f18b55130</vt:lpwstr>
  </property>
  <property fmtid="{D5CDD505-2E9C-101B-9397-08002B2CF9AE}" pid="8" name="MSIP_Label_1b52b3a1-dbcb-41fb-a452-370cf542753f_ContentBits">
    <vt:lpwstr>0</vt:lpwstr>
  </property>
</Properties>
</file>