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48109" w14:textId="77777777" w:rsidR="00DA6847" w:rsidRDefault="00DA6847" w:rsidP="00DA6847">
      <w:pPr>
        <w:pStyle w:val="Heading1"/>
        <w:rPr>
          <w:rFonts w:eastAsia="Liberation Sans" w:cs="Liberation Sans"/>
          <w:color w:val="000000"/>
        </w:rPr>
      </w:pPr>
      <w:r>
        <w:t>The Invention of ‘Ethical AI’: How Big Tech Manipulates Academia to Avoid Regulation</w:t>
      </w:r>
    </w:p>
    <w:p w14:paraId="5016EDDE" w14:textId="77777777" w:rsidR="00DA6847" w:rsidRDefault="00DA6847" w:rsidP="00DA6847">
      <w:pPr>
        <w:jc w:val="center"/>
      </w:pPr>
    </w:p>
    <w:p w14:paraId="1AB02EF3" w14:textId="77777777" w:rsidR="00DA6847" w:rsidRDefault="00DA6847" w:rsidP="00DA6847">
      <w:pPr>
        <w:pStyle w:val="Heading1"/>
        <w:rPr>
          <w:rFonts w:eastAsia="Liberation Sans" w:cs="Liberation Sans"/>
          <w:color w:val="000000"/>
        </w:rPr>
      </w:pPr>
      <w:r>
        <w:t>Rodrigo Ochigame</w:t>
      </w:r>
    </w:p>
    <w:p w14:paraId="7405D6D3" w14:textId="77777777" w:rsidR="00DA6847" w:rsidRDefault="00DA6847" w:rsidP="00DA6847"/>
    <w:p w14:paraId="1F0F3F7C" w14:textId="77777777" w:rsidR="00DA6847" w:rsidRDefault="00DA6847" w:rsidP="00DA6847"/>
    <w:p w14:paraId="27034201" w14:textId="77777777" w:rsidR="00DA6847" w:rsidRDefault="00DA6847" w:rsidP="00DA6847">
      <w:pPr>
        <w:rPr>
          <w:i/>
        </w:rPr>
      </w:pPr>
      <w:sdt>
        <w:sdtPr>
          <w:id w:val="1273992938"/>
        </w:sdtPr>
        <w:sdtContent>
          <w:r>
            <w:rPr>
              <w:i/>
            </w:rPr>
            <w:t>This essay was originally published in</w:t>
          </w:r>
        </w:sdtContent>
      </w:sdt>
      <w:r>
        <w:rPr>
          <w:i/>
        </w:rPr>
        <w:t xml:space="preserve"> </w:t>
      </w:r>
      <w:r>
        <w:rPr>
          <w:iCs/>
        </w:rPr>
        <w:t>The Intercept</w:t>
      </w:r>
      <w:r>
        <w:rPr>
          <w:i/>
        </w:rPr>
        <w:t xml:space="preserve"> on 20 December 2019.</w:t>
      </w:r>
      <w:sdt>
        <w:sdtPr>
          <w:id w:val="1727953135"/>
        </w:sdtPr>
        <w:sdtContent>
          <w:r>
            <w:rPr>
              <w:i/>
            </w:rPr>
            <w:t xml:space="preserve"> It has been reprinted here with permission from the author.</w:t>
          </w:r>
        </w:sdtContent>
      </w:sdt>
    </w:p>
    <w:p w14:paraId="4307DE8E" w14:textId="77777777" w:rsidR="00DA6847" w:rsidRDefault="00DA6847" w:rsidP="00DA6847"/>
    <w:p w14:paraId="1FF1BE49" w14:textId="77777777" w:rsidR="00DA6847" w:rsidRDefault="00DA6847" w:rsidP="00DA6847">
      <w:r>
        <w:t>The irony of the ethical scandal enveloping Joichi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w:t>
      </w:r>
    </w:p>
    <w:p w14:paraId="181DC20D" w14:textId="77777777" w:rsidR="00DA6847" w:rsidRDefault="00DA6847" w:rsidP="00DA6847"/>
    <w:p w14:paraId="48AA23CB" w14:textId="77777777" w:rsidR="00DA6847" w:rsidRDefault="00DA6847" w:rsidP="00DA6847">
      <w:r>
        <w:t>Many spectators are puzzled by Ito’s influential role as an ethicist of artificial intelligence. Indeed, his initiatives were crucial in establishing the discourse of ‘ethical AI’ that is now ubiquitous in academia and in the mainstream press. In 2016, then-President Barack Obama described him as an ‘expert’ on AI and ethics. Since 2017, Ito financed many projects through the $27 million Ethics and Governance of Artificial Intelligence Fund, an initiative anchored by the MIT Media Lab and the Berkman Klein Center for Internet &amp; Society at Harvard University. What was all the talk of ‘ethics’ really about?</w:t>
      </w:r>
    </w:p>
    <w:p w14:paraId="422C0FFE" w14:textId="77777777" w:rsidR="00DA6847" w:rsidRDefault="00DA6847" w:rsidP="00DA6847"/>
    <w:p w14:paraId="2F6E56AC" w14:textId="77777777" w:rsidR="00DA6847" w:rsidRDefault="00DA6847" w:rsidP="00DA6847">
      <w:r>
        <w:t xml:space="preserve">For 14 months, I worked as a graduate student researcher in Ito’s group on AI ethics at the Media Lab. I stopped on 15 August, immediately after Ito published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w:t>
      </w:r>
      <w:r>
        <w:rPr>
          <w:i/>
          <w:iCs/>
        </w:rPr>
        <w:t>The New Yorker</w:t>
      </w:r>
      <w:r>
        <w:t xml:space="preserve"> later revealed.</w:t>
      </w:r>
    </w:p>
    <w:p w14:paraId="36FFBE54" w14:textId="77777777" w:rsidR="00DA6847" w:rsidRDefault="00DA6847" w:rsidP="00DA6847"/>
    <w:p w14:paraId="0C357F0D" w14:textId="77777777" w:rsidR="00DA6847" w:rsidRDefault="00DA6847" w:rsidP="00DA6847">
      <w:r>
        <w:t>Inspired by whistleblower Signe Swenson and others who have spoken out, I have decided to report what I came to learn regarding Ito’s role in shaping the field of AI ethics, since this is a matter of public concern. The emergence of this field is a recent phenomenon, as past AI researchers had been largely uninterested in the study of ethics. A former Media Lab colleague recalls that Marvin Minsky, the deceased AI pioneer at MIT, used to say that ‘an ethicist is someone who has a problem with whatever you have in your mind.’</w:t>
      </w:r>
      <w:r>
        <w:rPr>
          <w:rStyle w:val="FootnoteReference"/>
        </w:rPr>
        <w:footnoteReference w:id="1"/>
      </w:r>
      <w:r>
        <w:t xml:space="preserve"> Why, then, did AI researchers suddenly start talking about ethics?</w:t>
      </w:r>
    </w:p>
    <w:p w14:paraId="7B57C3BA" w14:textId="77777777" w:rsidR="00DA6847" w:rsidRDefault="00DA6847" w:rsidP="00DA6847"/>
    <w:p w14:paraId="70FCA4A3" w14:textId="77777777" w:rsidR="00DA6847" w:rsidRDefault="00DA6847" w:rsidP="00DA6847">
      <w:r>
        <w:t xml:space="preserve">At the Media Lab, I learned that the discourse of ‘ethical AI,’ championed substantially by Ito, was aligned strategically with a Silicon Valley effort seeking to avoid legally enforceable restrictions of controversial technologies. A key group behind this effort, with the lab as a member, made policy </w:t>
      </w:r>
      <w:r>
        <w:lastRenderedPageBreak/>
        <w:t>recommendations in California that contradicted the conclusions of research I conducted with several lab colleagues, research that led us to oppose the use of computer algorithms in deciding 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w:t>
      </w:r>
    </w:p>
    <w:p w14:paraId="2744FAFA" w14:textId="77777777" w:rsidR="00DA6847" w:rsidRDefault="00DA6847" w:rsidP="00DA6847"/>
    <w:p w14:paraId="1C5D02BE" w14:textId="77777777" w:rsidR="00DA6847" w:rsidRDefault="00DA6847" w:rsidP="00DA6847">
      <w:r>
        <w:t>I also watched MIT help the U.S. military brush aside the moral complexities of drone warfare, hosting a superficial talk on AI and ethics by Henry Kissinger, the former secretary of state and notorious war criminal, and giving input on the U.S. Department of Defense’s ‘AI Ethics Principles’ for warfare, which embraced ‘permissibly biased’ algorithms and which avoided using the word ‘fairness’ because the Pentagon believes ‘that fights should not be fair.’</w:t>
      </w:r>
    </w:p>
    <w:p w14:paraId="373EF629" w14:textId="77777777" w:rsidR="00DA6847" w:rsidRDefault="00DA6847" w:rsidP="00DA6847"/>
    <w:p w14:paraId="05765326" w14:textId="77777777" w:rsidR="00DA6847" w:rsidRDefault="00DA6847" w:rsidP="00DA6847">
      <w:r>
        <w:t>Ito did not respond to requests for comment.</w:t>
      </w:r>
    </w:p>
    <w:p w14:paraId="27607A86" w14:textId="77777777" w:rsidR="00DA6847" w:rsidRDefault="00DA6847" w:rsidP="00DA6847"/>
    <w:p w14:paraId="3B49367B" w14:textId="77777777" w:rsidR="00DA6847" w:rsidRDefault="00DA6847" w:rsidP="00DA6847">
      <w:r>
        <w:t>MIT lent credibility to the idea that Big 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w:t>
      </w:r>
    </w:p>
    <w:p w14:paraId="02BBD152" w14:textId="77777777" w:rsidR="00DA6847" w:rsidRDefault="00DA6847" w:rsidP="00DA6847"/>
    <w:p w14:paraId="7A59F8F3" w14:textId="77777777" w:rsidR="00DA6847" w:rsidRDefault="00DA6847" w:rsidP="00DA6847">
      <w:r>
        <w:t>Meanwhile, corporations have tried to shift the discussion to focus on voluntary ‘ethical principles,’ ‘responsible practices,’ and technical adjustments or ‘safeguards’ framed in terms of ‘bias’ and ‘fairness’ (e.g., requiring or encouraging police to adopt ‘unbiased’ or ‘fair’ facial recognition). In January 2018, Microsoft published its ‘ethical principles’ for AI, starting with ‘fairness.’ In May, Facebook announced its ‘commitment to the ethical development and deployment of AI’ and a tool to ‘search for bias’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cancelled its AI ethics council after backlash over the selection of Kay Coles James, the vocally anti-trans president of the right-wing Heritage Foundation. These corporate initiatives frequently cited academic research that Ito had supported, at least partially, through the MIT–Harvard fund.</w:t>
      </w:r>
    </w:p>
    <w:p w14:paraId="68B06B07" w14:textId="77777777" w:rsidR="00DA6847" w:rsidRDefault="00DA6847" w:rsidP="00DA6847"/>
    <w:p w14:paraId="5306D9E9" w14:textId="77777777" w:rsidR="00DA6847" w:rsidRDefault="00DA6847" w:rsidP="00DA6847">
      <w:r>
        <w:t xml:space="preserve">To characterize the corporate agenda, it is helpful to distinguish between three kinds of regulatory possibilities for a given technology: (1) no legal regulation at all, leaving ‘ethical principles’ and ‘responsible practices’ as merely voluntary; (2) moderate legal regulation encouraging or requiring technical adjustments that do not conflict significantly with profits; or (3) restrictive legal regulation curbing or banning deployment of the technology. Unsurprisingly, the tech industry tends to support the first two and oppose the last. The corporate-sponsored discourse of ‘ethical AI’ enables precisely this position. Consider the case of facial recognition. This year, the municipal legislatures of San Francisco, Oakland, and Berkeley—all in California—plus Somerville, Massachusetts, have passed </w:t>
      </w:r>
      <w:r>
        <w:lastRenderedPageBreak/>
        <w:t>strict bans on facial recognition technology. Meanwhile, Microsoft has lobbied in favor of less restrictive legislation, requiring technical adjustments such as tests for ‘bias,’ most notably in Washington state. Some big firms may even prefer this kind of mild legal regulation over a complete lack thereof, since larger firms can more easily invest in specialized teams to develop systems that comply with regulatory requirements.</w:t>
      </w:r>
    </w:p>
    <w:p w14:paraId="48E2AED7" w14:textId="77777777" w:rsidR="00DA6847" w:rsidRDefault="00DA6847" w:rsidP="00DA6847"/>
    <w:p w14:paraId="3B5A36DD" w14:textId="77777777" w:rsidR="00DA6847" w:rsidRDefault="00DA6847" w:rsidP="00DA6847">
      <w:r>
        <w:t>Thus, Silicon Valley’s vigorous promotion of ‘ethical AI’ has constituted a strategic lobbying effort, one that has enrolled academia to legitimize it</w:t>
      </w:r>
      <w:sdt>
        <w:sdtPr>
          <w:id w:val="106967648"/>
        </w:sdtPr>
        <w:sdtContent>
          <w:r>
            <w:t>s execution</w:t>
          </w:r>
        </w:sdtContent>
      </w:sdt>
      <w:r>
        <w:t>.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w:t>
      </w:r>
    </w:p>
    <w:p w14:paraId="0EF77E13" w14:textId="77777777" w:rsidR="00DA6847" w:rsidRDefault="00DA6847" w:rsidP="00DA6847"/>
    <w:p w14:paraId="47AC64CF" w14:textId="77777777" w:rsidR="00DA6847" w:rsidRDefault="00DA6847" w:rsidP="00DA6847">
      <w:r>
        <w:t>Although the Silicon Valley lobbying effort has consolidated academic interest in ‘ethical AI’ and ‘fair algorithms’ since 2016, a handful of papers on these topics had appeared in earlier years, even if framed differently. For example, Microsoft computer scientists published the paper that arguably inaugurated the field of ‘algorithmic fairness’ in 2012. In 2016, the paper’s lead author, Cynthia Dwork,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encouraged her to pursue this line of work because the firm was developing a new system of online advertising, and it would be economically advantageous to provide a service ‘free of regulatory problems.’ (To be fair, I believe that Dwork’s personal intentions were honest despite the corporate capture of her ideas. Microsoft declined to comment for this article.)</w:t>
      </w:r>
    </w:p>
    <w:p w14:paraId="3BA44519" w14:textId="77777777" w:rsidR="00DA6847" w:rsidRDefault="00DA6847" w:rsidP="00DA6847"/>
    <w:p w14:paraId="27FB9924" w14:textId="77777777" w:rsidR="00DA6847" w:rsidRDefault="00DA6847" w:rsidP="00DA6847">
      <w:r>
        <w:t>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w:t>
      </w:r>
    </w:p>
    <w:p w14:paraId="7A2EB15F" w14:textId="77777777" w:rsidR="00DA6847" w:rsidRDefault="00DA6847" w:rsidP="00DA6847"/>
    <w:p w14:paraId="6C578BA9" w14:textId="77777777" w:rsidR="00DA6847" w:rsidRDefault="00DA6847" w:rsidP="00DA6847">
      <w:r>
        <w:t>Big Tech money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organization is merely ‘a resource to policymakers—for instance, in conducting research that informs AI best practices and exploring the societal consequences of certain AI systems, as well as policies around the development and use of AI systems.’</w:t>
      </w:r>
    </w:p>
    <w:p w14:paraId="7595BFDD" w14:textId="77777777" w:rsidR="00DA6847" w:rsidRDefault="00DA6847" w:rsidP="00DA6847"/>
    <w:p w14:paraId="0CEE69AA" w14:textId="77777777" w:rsidR="00DA6847" w:rsidRDefault="00DA6847" w:rsidP="00DA6847">
      <w:r>
        <w:t xml:space="preserve">But even if the partnership’s activities may not meet the legal threshold requiring registration as lobbyists—for example, by seeking to directly affect the votes of individual elected officials—the partnership has certainly sought to influence legislation. For example, in November 2018, the </w:t>
      </w:r>
      <w:r>
        <w:lastRenderedPageBreak/>
        <w:t>partnership staff asked academic members to contribute to a collective statement to the Judicial Council of California regarding a Senate bill on penal reform (S.B. 10). The bill, in the course of eliminating cash bail, expanded the use of algorithmic risk assessment in pretrial decision-making, and required the Judicial Council to ‘address the identification and mitigation of any implicit bias in assessment instruments.’ The partnership staff wrote, ‘We believe there is room to impact this legislation (and CJS [criminal justice system] applications more broadly).’</w:t>
      </w:r>
    </w:p>
    <w:p w14:paraId="31585349" w14:textId="77777777" w:rsidR="00DA6847" w:rsidRDefault="00DA6847" w:rsidP="00DA6847"/>
    <w:p w14:paraId="247FD7A9" w14:textId="77777777" w:rsidR="00DA6847" w:rsidRDefault="00DA6847" w:rsidP="00DA6847">
      <w:r>
        <w:t>In December 2018, three Media Lab colleagues and I raised serious objections to the partnership’s efforts to influence legislation. We observed that the partnership’s policy recommendations aligned consistently with their corporate agenda. In the penal case, our research led us to strongly oppose the adoption of risk assessment tools, and to reject the proposed technical adjustments that would supposedly 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these industry-led regulatory efforts.’ A third colleague wrote, ‘So far as the criminal justice work is concerned, what PAI is doing in this realm is quite alarming and also in my opinion seriously misguided. I agree with Rodrigo that PAI’s association with ACLU, MIT and other academic / non-profit institutions practically ends up serving a legitimating function. Neither ACLU nor MIT nor any non-profit has any power in PAI.’</w:t>
      </w:r>
    </w:p>
    <w:p w14:paraId="57813474" w14:textId="77777777" w:rsidR="00DA6847" w:rsidRDefault="00DA6847" w:rsidP="00DA6847"/>
    <w:p w14:paraId="12C6199D" w14:textId="77777777" w:rsidR="00DA6847" w:rsidRDefault="00DA6847" w:rsidP="00DA6847">
      <w:r>
        <w:t>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are typically based on data of arrests, convictions, or incarcerations, all of which are poor proxies for individual behaviors or predispositions. The coalition continued, ‘Ultimately, risk-assessment tools create a feedback-loop of racial profiling, pre-trial detention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w:t>
      </w:r>
    </w:p>
    <w:p w14:paraId="54D15CD9" w14:textId="77777777" w:rsidR="00DA6847" w:rsidRDefault="00DA6847" w:rsidP="00DA6847"/>
    <w:p w14:paraId="7EE3CF3D" w14:textId="77777777" w:rsidR="00DA6847" w:rsidRDefault="00DA6847" w:rsidP="00DA6847">
      <w:r>
        <w:t>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concession—admitting that it might not be time to start imprisoning people based strictly on software, without input from a judge or any other ‘individualized’ judicial process—was easier to make because none of the major firms in the partnership sell risk assessment tools for pretrial decision-making; not only is the technology too controversial but also the market is too small.</w:t>
      </w:r>
      <w:r>
        <w:rPr>
          <w:rStyle w:val="FootnoteReference"/>
        </w:rPr>
        <w:footnoteReference w:id="2"/>
      </w:r>
    </w:p>
    <w:p w14:paraId="04925245" w14:textId="77777777" w:rsidR="00DA6847" w:rsidRDefault="00DA6847" w:rsidP="00DA6847"/>
    <w:p w14:paraId="7C6AE553" w14:textId="77777777" w:rsidR="00DA6847" w:rsidRDefault="00DA6847" w:rsidP="00DA6847">
      <w:r>
        <w:t xml:space="preserve">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w:t>
      </w:r>
      <w:r>
        <w:lastRenderedPageBreak/>
        <w:t>predictive analytics in criminal justice—what would it look like to take the money we currently allocate in supporting PAI in order to support their work?’ We believed Ito had enough autonomy to 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w:t>
      </w:r>
      <w:r>
        <w:rPr>
          <w:rStyle w:val="FootnoteReference"/>
        </w:rPr>
        <w:footnoteReference w:id="3"/>
      </w:r>
    </w:p>
    <w:p w14:paraId="2BEC8D33" w14:textId="77777777" w:rsidR="00DA6847" w:rsidRDefault="00DA6847" w:rsidP="00DA6847"/>
    <w:p w14:paraId="2CF1B4AC" w14:textId="77777777" w:rsidR="00DA6847" w:rsidRDefault="00DA6847" w:rsidP="00DA6847">
      <w:r>
        <w:t>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AI and they water down stuff we try to say to prevent the use of algorithms that don’t seem to work well like risk scores for pre-trial bail. I think that with personal data and social media, I have concerns with self-regulation. For example, a full-blown genocide [of the Rohingya, a mostly Muslim minority group in Myanmar] happened using What’s App and Facebook knew it was happening.’</w:t>
      </w:r>
      <w:r>
        <w:rPr>
          <w:rStyle w:val="FootnoteReference"/>
        </w:rPr>
        <w:footnoteReference w:id="4"/>
      </w:r>
    </w:p>
    <w:p w14:paraId="4FACE77A" w14:textId="77777777" w:rsidR="00DA6847" w:rsidRDefault="00DA6847" w:rsidP="00DA6847"/>
    <w:p w14:paraId="3739079E" w14:textId="77777777" w:rsidR="00DA6847" w:rsidRDefault="00DA6847" w:rsidP="00DA6847">
      <w:r>
        <w:t>But the corporate-academic alliances were too robust and convenient. The Media Lab remained in the partnership, and Ito continued to fraternize with Silicon Valley and Wall Street executives and investors. Ito described Siegel, a billionaire, as a ‘potential funder.’ With such people, I saw Ito routinely express moral concerns about their businesses—but in a friendly manner, as he was simultaneously asking them for money, whether for MIT or his own venture capital funds. For corporate-academic ‘ethicists,’ amicable criticism can serve as leverage for entering into business relationships. Siegel replied to Ito, ‘I would be pleased to speak more on this topic with you. Finra is not an industry group. It’s just paid for by industry. I will explain more when we meet. I agree with your concerns.’</w:t>
      </w:r>
    </w:p>
    <w:p w14:paraId="21E5F923" w14:textId="77777777" w:rsidR="00DA6847" w:rsidRDefault="00DA6847" w:rsidP="00DA6847"/>
    <w:p w14:paraId="0E938B29" w14:textId="77777777" w:rsidR="00DA6847" w:rsidRDefault="00DA6847" w:rsidP="00DA6847">
      <w:r>
        <w:t>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ethics’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w:t>
      </w:r>
    </w:p>
    <w:p w14:paraId="4D4E5665" w14:textId="77777777" w:rsidR="00DA6847" w:rsidRDefault="00DA6847" w:rsidP="00DA6847"/>
    <w:p w14:paraId="51554ADD" w14:textId="77777777" w:rsidR="00DA6847" w:rsidRDefault="00DA6847" w:rsidP="00DA6847">
      <w:r>
        <w:t xml:space="preserve">Regardless of individual actors’ intentions, the corporate lobby’s effort to shape academic research was extremely successful. There is now an enormous amount of work under the rubric of ‘AI ethics.’ To be fair, some of the research is useful and nuanced, especially in the humanities and social sciences. But the majority of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It is </w:t>
      </w:r>
      <w:r>
        <w:lastRenderedPageBreak/>
        <w:t>strange that Ito, with no formal training, became positioned as an ‘expert’ on AI ethics, a field that barely existed before 2017. But it is even stranger that two years later, respected scholars in established disciplines have to demonstrate their relevance to a field conjured by a corporate lobby.</w:t>
      </w:r>
    </w:p>
    <w:p w14:paraId="5025E8E2" w14:textId="77777777" w:rsidR="00DA6847" w:rsidRDefault="00DA6847" w:rsidP="00DA6847"/>
    <w:p w14:paraId="596415D2" w14:textId="77777777" w:rsidR="00DA6847" w:rsidRDefault="00DA6847" w:rsidP="00DA6847">
      <w:r>
        <w:t>The field has also become relevant to the U.S. military, not only in official responses to moral concerns about technologies of targeted killing but also in disputes among Silicon Valley firms over lucrative military contracts. On 1 November,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According to ProPublica, ‘Schmidt’s influence, already strong under Carter, only grew when [James] Mattis arrived as [Trump’s] defense secretary.’ The board 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Big Tech firms: The AI ethics recommendations appeared less than a week after the Pentagon awarded a $10 billion cloud-computing contract to Microsoft, which is being legally challenged by Amazon.</w:t>
      </w:r>
    </w:p>
    <w:p w14:paraId="6FA5EC75" w14:textId="77777777" w:rsidR="00DA6847" w:rsidRDefault="00DA6847" w:rsidP="00DA6847"/>
    <w:p w14:paraId="4B6D362B" w14:textId="77777777" w:rsidR="00DA6847" w:rsidRDefault="00DA6847" w:rsidP="00DA6847">
      <w:r>
        <w:t>The recommendations seek to compel the Pentagon to increase military investments in AI and to adopt ‘ethical AI’ systems such as those developed and sold by Silicon Valley firms.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 The Pentagon’s conception of AI ethics forecloses many important possibilities for moral deliberation, such as the prohibition of drones for targeted killing.</w:t>
      </w:r>
    </w:p>
    <w:p w14:paraId="37C3FE97" w14:textId="77777777" w:rsidR="00DA6847" w:rsidRDefault="00DA6847" w:rsidP="00DA6847"/>
    <w:p w14:paraId="750AC111" w14:textId="77777777" w:rsidR="00DA6847" w:rsidRDefault="00DA6847" w:rsidP="00DA6847">
      <w:r>
        <w:t>The corporate, academic, and military proponents of ‘ethical AI’ have collaborated closely for mutual benefit.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Kissinger declared the possibility of ‘a world relying on machines powered by data and algorithms and ungoverned by ethical or philosophical norms,’ a protest outside the MIT auditorium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w:t>
      </w:r>
    </w:p>
    <w:p w14:paraId="389D9DB1" w14:textId="77777777" w:rsidR="00DA6847" w:rsidRDefault="00DA6847" w:rsidP="00DA6847"/>
    <w:p w14:paraId="11B7542A" w14:textId="77777777" w:rsidR="00DA6847" w:rsidRDefault="00DA6847" w:rsidP="00DA6847">
      <w:r>
        <w:t>No defensible claim to ‘ethics’ can sidestep the urgency of legally enforceable restrictions to the deployment of technologies of mass surveillance and systemic violence. Until such restrictions exist, moral and political deliberation about computing will remain subsidiary to the profit-making imperative expressed by the Media Lab’s motto, ‘Deploy or Die.’ While some deploy, even if ostensibly ‘ethically,’ others die.</w:t>
      </w:r>
    </w:p>
    <w:p w14:paraId="41247FF6" w14:textId="77777777" w:rsidR="00DA6847" w:rsidRDefault="00DA6847" w:rsidP="00DA6847"/>
    <w:p w14:paraId="304DDCC1" w14:textId="77777777" w:rsidR="00DA6847" w:rsidRDefault="00DA6847" w:rsidP="00DA6847">
      <w:pPr>
        <w:pStyle w:val="Heading2"/>
      </w:pPr>
      <w:r>
        <w:t>Funding Disclosure</w:t>
      </w:r>
    </w:p>
    <w:p w14:paraId="361AB088" w14:textId="77777777" w:rsidR="00DA6847" w:rsidRDefault="00DA6847" w:rsidP="00DA6847"/>
    <w:p w14:paraId="38F311C5" w14:textId="77777777" w:rsidR="00DA6847" w:rsidRDefault="00DA6847" w:rsidP="00DA6847">
      <w:r>
        <w:t xml:space="preserve">The author worked as a graduate student researcher at the MIT Media Lab between July 2018 and August 2019. The report was written while the author was supported by a doctoral fellowship from the MIT Program in History, Anthropology, and Science, Technology, and Society, and a research fellowship (for different work in social science) from the Jain Family Institute. The author declined compensation from </w:t>
      </w:r>
      <w:r>
        <w:rPr>
          <w:i/>
          <w:iCs/>
        </w:rPr>
        <w:t>The Intercept</w:t>
      </w:r>
      <w:r>
        <w:t>.</w:t>
      </w:r>
    </w:p>
    <w:p w14:paraId="4CA76DA1" w14:textId="244A2425" w:rsidR="00623F78" w:rsidRDefault="00623F78">
      <w:pPr>
        <w:rPr>
          <w:rFonts w:hint="eastAsia"/>
        </w:rPr>
      </w:pPr>
    </w:p>
    <w:sectPr w:rsidR="00623F78">
      <w:pgSz w:w="11906" w:h="16838"/>
      <w:pgMar w:top="1134"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38550" w14:textId="77777777" w:rsidR="006C1D19" w:rsidRDefault="006C1D19" w:rsidP="00DA6847">
      <w:pPr>
        <w:rPr>
          <w:rFonts w:hint="eastAsia"/>
        </w:rPr>
      </w:pPr>
      <w:r>
        <w:separator/>
      </w:r>
    </w:p>
  </w:endnote>
  <w:endnote w:type="continuationSeparator" w:id="0">
    <w:p w14:paraId="0E1515F0" w14:textId="77777777" w:rsidR="006C1D19" w:rsidRDefault="006C1D19" w:rsidP="00DA68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PingFang SC">
    <w:altName w:val="PingFang SC"/>
    <w:panose1 w:val="020B0400000000000000"/>
    <w:charset w:val="86"/>
    <w:family w:val="swiss"/>
    <w:pitch w:val="variable"/>
    <w:sig w:usb0="A00002FF" w:usb1="7ACFFDFB" w:usb2="00000017" w:usb3="00000000" w:csb0="00040001" w:csb1="00000000"/>
  </w:font>
  <w:font w:name="Georgia">
    <w:altName w:val="﷽﷽﷽﷽﷽﷽﷽﷽ⲠǸ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B08B" w14:textId="77777777" w:rsidR="006C1D19" w:rsidRDefault="006C1D19" w:rsidP="00DA6847">
      <w:pPr>
        <w:rPr>
          <w:rFonts w:hint="eastAsia"/>
        </w:rPr>
      </w:pPr>
      <w:r>
        <w:separator/>
      </w:r>
    </w:p>
  </w:footnote>
  <w:footnote w:type="continuationSeparator" w:id="0">
    <w:p w14:paraId="033E935D" w14:textId="77777777" w:rsidR="006C1D19" w:rsidRDefault="006C1D19" w:rsidP="00DA6847">
      <w:pPr>
        <w:rPr>
          <w:rFonts w:hint="eastAsia"/>
        </w:rPr>
      </w:pPr>
      <w:r>
        <w:continuationSeparator/>
      </w:r>
    </w:p>
  </w:footnote>
  <w:footnote w:id="1">
    <w:p w14:paraId="5FFD8D87" w14:textId="77777777" w:rsidR="00DA6847" w:rsidRPr="007C3C3B" w:rsidRDefault="00DA6847" w:rsidP="00DA6847">
      <w:pPr>
        <w:pStyle w:val="FootnoteText"/>
        <w:rPr>
          <w:lang w:val="en-AU"/>
        </w:rPr>
      </w:pPr>
      <w:r>
        <w:rPr>
          <w:rStyle w:val="FootnoteReference"/>
        </w:rPr>
        <w:footnoteRef/>
      </w:r>
      <w:r>
        <w:t xml:space="preserve"> In recently unsealed court filings, victim Virginia Roberts Giuffre testified that Epstein directed her to have sex with Minsky.</w:t>
      </w:r>
    </w:p>
  </w:footnote>
  <w:footnote w:id="2">
    <w:p w14:paraId="1D2B6184" w14:textId="77777777" w:rsidR="00DA6847" w:rsidRPr="007C3C3B" w:rsidRDefault="00DA6847" w:rsidP="00DA6847">
      <w:pPr>
        <w:pStyle w:val="FootnoteText"/>
        <w:rPr>
          <w:lang w:val="en-AU"/>
        </w:rPr>
      </w:pPr>
      <w:r>
        <w:rPr>
          <w:rStyle w:val="FootnoteReference"/>
        </w:rPr>
        <w:footnoteRef/>
      </w:r>
      <w:r>
        <w:t xml:space="preserve"> Facial recognition technology, on the other hand, has a much larger market in which Microsoft, Google, Facebook, IBM, and Amazon all operate.</w:t>
      </w:r>
    </w:p>
  </w:footnote>
  <w:footnote w:id="3">
    <w:p w14:paraId="2448C6E4" w14:textId="77777777" w:rsidR="00DA6847" w:rsidRPr="00ED0524" w:rsidRDefault="00DA6847" w:rsidP="00DA6847">
      <w:pPr>
        <w:pStyle w:val="FootnoteText"/>
        <w:rPr>
          <w:lang w:val="en-AU"/>
        </w:rPr>
      </w:pPr>
      <w:r>
        <w:rPr>
          <w:rStyle w:val="FootnoteReference"/>
        </w:rPr>
        <w:footnoteRef/>
      </w:r>
      <w:r>
        <w:t xml:space="preserve"> Omidyar funds </w:t>
      </w:r>
      <w:r>
        <w:rPr>
          <w:i/>
          <w:iCs/>
        </w:rPr>
        <w:t>The Intercept</w:t>
      </w:r>
      <w:r>
        <w:t>.</w:t>
      </w:r>
    </w:p>
  </w:footnote>
  <w:footnote w:id="4">
    <w:p w14:paraId="1702ECAD" w14:textId="77777777" w:rsidR="00DA6847" w:rsidRPr="00ED0524" w:rsidRDefault="00DA6847" w:rsidP="00DA6847">
      <w:pPr>
        <w:pStyle w:val="FootnoteText"/>
        <w:rPr>
          <w:lang w:val="en-AU"/>
        </w:rPr>
      </w:pPr>
      <w:r>
        <w:rPr>
          <w:rStyle w:val="FootnoteReference"/>
        </w:rPr>
        <w:footnoteRef/>
      </w:r>
      <w:r>
        <w:t xml:space="preserve"> Facebook has admitted that its platform was used to incite violence in Myanmar; news reports have documented how content on the Facebook platform facilitated a genocide in the country despite repeated warnings to Facebook executives from human rights activists and researchers. Facebook texting service WhatsApp made it harder for its users to forward messages after WhatsApp was reportedly used to spread misinformation during elections in India.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78"/>
    <w:rsid w:val="00623F78"/>
    <w:rsid w:val="006C1D19"/>
    <w:rsid w:val="00DA6847"/>
    <w:rsid w:val="00FA5871"/>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301EA26"/>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ongti SC" w:cs="Arial Unicode MS"/>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rFonts w:eastAsia="Songti SC" w:cs="Mangal"/>
      <w:kern w:val="2"/>
      <w:sz w:val="20"/>
      <w:szCs w:val="18"/>
      <w:lang w:eastAsia="zh-CN" w:bidi="hi-IN"/>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157C56"/>
    <w:rPr>
      <w:rFonts w:ascii="Times New Roman" w:eastAsia="Songti SC" w:hAnsi="Times New Roman" w:cs="Mangal"/>
      <w:kern w:val="2"/>
      <w:sz w:val="18"/>
      <w:szCs w:val="16"/>
      <w:lang w:eastAsia="zh-CN" w:bidi="hi-IN"/>
    </w:rPr>
  </w:style>
  <w:style w:type="character" w:customStyle="1" w:styleId="CommentSubjectChar">
    <w:name w:val="Comment Subject Char"/>
    <w:basedOn w:val="CommentTextChar"/>
    <w:link w:val="CommentSubject"/>
    <w:uiPriority w:val="99"/>
    <w:semiHidden/>
    <w:qFormat/>
    <w:rsid w:val="003E64FF"/>
    <w:rPr>
      <w:rFonts w:eastAsia="Songti SC" w:cs="Mangal"/>
      <w:b/>
      <w:bCs/>
      <w:kern w:val="2"/>
      <w:sz w:val="20"/>
      <w:szCs w:val="18"/>
      <w:lang w:eastAsia="zh-CN" w:bidi="hi-I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Pr>
      <w:rFonts w:cs="Mangal"/>
      <w:sz w:val="20"/>
      <w:szCs w:val="18"/>
    </w:rPr>
  </w:style>
  <w:style w:type="paragraph" w:styleId="BalloonText">
    <w:name w:val="Balloon Text"/>
    <w:basedOn w:val="Normal"/>
    <w:link w:val="BalloonTextChar"/>
    <w:uiPriority w:val="99"/>
    <w:semiHidden/>
    <w:unhideWhenUsed/>
    <w:qFormat/>
    <w:rsid w:val="00157C56"/>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qFormat/>
    <w:rsid w:val="003E64FF"/>
    <w:rPr>
      <w:b/>
      <w:bCs/>
    </w:rPr>
  </w:style>
  <w:style w:type="paragraph" w:styleId="FootnoteText">
    <w:name w:val="footnote text"/>
    <w:basedOn w:val="Normal"/>
    <w:link w:val="FootnoteTextChar"/>
    <w:uiPriority w:val="99"/>
    <w:semiHidden/>
    <w:unhideWhenUsed/>
    <w:rsid w:val="00DA6847"/>
    <w:pPr>
      <w:suppressAutoHyphens w:val="0"/>
    </w:pPr>
    <w:rPr>
      <w:rFonts w:ascii="Arial" w:eastAsia="Arial" w:hAnsi="Arial" w:cs="Arial"/>
      <w:kern w:val="0"/>
      <w:sz w:val="20"/>
      <w:szCs w:val="20"/>
      <w:lang w:val="en" w:eastAsia="en-GB" w:bidi="ar-SA"/>
    </w:rPr>
  </w:style>
  <w:style w:type="character" w:customStyle="1" w:styleId="FootnoteTextChar">
    <w:name w:val="Footnote Text Char"/>
    <w:basedOn w:val="DefaultParagraphFont"/>
    <w:link w:val="FootnoteText"/>
    <w:uiPriority w:val="99"/>
    <w:semiHidden/>
    <w:rsid w:val="00DA6847"/>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A6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3v8Ga6eNih2T5yA45U5LH9p4A==">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3705</Words>
  <Characters>21124</Characters>
  <Application>Microsoft Office Word</Application>
  <DocSecurity>0</DocSecurity>
  <Lines>176</Lines>
  <Paragraphs>49</Paragraphs>
  <ScaleCrop>false</ScaleCrop>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Thao Phan</cp:lastModifiedBy>
  <cp:revision>20</cp:revision>
  <dcterms:created xsi:type="dcterms:W3CDTF">2022-08-15T05:02:00Z</dcterms:created>
  <dcterms:modified xsi:type="dcterms:W3CDTF">2022-10-27T00:43:00Z</dcterms:modified>
  <dc:language>en-US</dc:language>
</cp:coreProperties>
</file>