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BDECB9" w14:textId="77777777" w:rsidR="00F45F8E" w:rsidRDefault="00FD3E66" w:rsidP="00533073">
      <w:pPr>
        <w:pStyle w:val="Heading1"/>
      </w:pPr>
      <w:r w:rsidRPr="00FD3E66">
        <w:t xml:space="preserve">Data Access for research: </w:t>
      </w:r>
    </w:p>
    <w:p w14:paraId="47AEC3F8" w14:textId="4EA2B31B" w:rsidR="00D90ED2" w:rsidRDefault="00FD3E66" w:rsidP="00533073">
      <w:pPr>
        <w:pStyle w:val="Heading1"/>
      </w:pPr>
      <w:r w:rsidRPr="00FD3E66">
        <w:t xml:space="preserve">Imaginations, limitations and </w:t>
      </w:r>
      <w:r w:rsidRPr="00F45F8E">
        <w:t>promises</w:t>
      </w:r>
    </w:p>
    <w:p w14:paraId="16A0D0D2" w14:textId="77777777" w:rsidR="00D90ED2" w:rsidRDefault="00000000" w:rsidP="00533073">
      <w:pPr>
        <w:pStyle w:val="Heading1"/>
      </w:pPr>
      <w:r>
        <w:t>Jef Ausloos and Siddharth Peter de Souza</w:t>
      </w:r>
    </w:p>
    <w:p w14:paraId="12609CA7" w14:textId="77777777" w:rsidR="00F45F8E" w:rsidRPr="00F45F8E" w:rsidRDefault="00F45F8E" w:rsidP="00F45F8E"/>
    <w:p w14:paraId="3277C5F5" w14:textId="77777777" w:rsidR="00D90ED2" w:rsidRDefault="00000000">
      <w:pPr>
        <w:ind w:left="0" w:right="0" w:firstLine="0"/>
      </w:pPr>
      <w:r>
        <w:t>Throughout the last decade, concerns have been growing over the (lack of) transparency of digital infrastructures. While these infrastructures have rapidly nested themselves into every part of society – from social and professional contexts to industrial and bureaucratic processes – their inner workings have remained shrouded in secrecy to outside viewers. This fundamentally challenges the ability to observe, and understand, the world around us, whether it be for public scrutiny and accountability purposes or for different kinds of knowledge production more broadly. Indeed, independent researchers – from academia, investigative journalism, and civil society – have decried the many legal, technical, financial, and other obstacles preventing them from observing and scrutinizing the data, algorithms, and general operation of these digital infrastructures.</w:t>
      </w:r>
    </w:p>
    <w:p w14:paraId="37F20E4A" w14:textId="77777777" w:rsidR="00D90ED2" w:rsidRDefault="00000000">
      <w:pPr>
        <w:ind w:left="0" w:right="0" w:firstLine="240"/>
      </w:pPr>
      <w:r>
        <w:t>Over the years, a wide variety of measures have been proposed and tested to overcome the obstacles faced. These range from methodological tools developed by the research community (for example, web scraping) to self-regulatory initiatives (for example, data philanthropy) and policy proposals (for example, Article 40 in the European Union’s [EU] Digital Services Act).</w:t>
      </w:r>
      <w:r>
        <w:rPr>
          <w:sz w:val="19"/>
          <w:vertAlign w:val="superscript"/>
        </w:rPr>
        <w:t>1</w:t>
      </w:r>
      <w:r>
        <w:t xml:space="preserve"> Regulators across the world have recently stepped up, proposing legal frameworks targeting a range of issues raised by digital infrastructures. The EU regulator in particular has put forward a barrage of legislation purported to boost transparency and facilitate data access.</w:t>
      </w:r>
      <w:r>
        <w:rPr>
          <w:sz w:val="19"/>
          <w:vertAlign w:val="superscript"/>
        </w:rPr>
        <w:t>2</w:t>
      </w:r>
      <w:r>
        <w:t xml:space="preserve"> These proposals are primarily conceived in light of internal market goals, often disregarding alternative purposes and interests: from holding different sources of power to account to diverse forms of knowledge production in a digitally intermediated world. Data access for independent research – the central theme in this volume – only features in the margins of these new frameworks, if at all. </w:t>
      </w:r>
    </w:p>
    <w:p w14:paraId="5C1AEEE5" w14:textId="6AF60C5A" w:rsidR="00D90ED2" w:rsidRDefault="00000000">
      <w:pPr>
        <w:ind w:left="0" w:right="0" w:firstLine="240"/>
      </w:pPr>
      <w:r>
        <w:t>The explosion of new and proposed legal frameworks can also lead to regulatory inflation, which is the increase in regulatory requirements, overwhelming under</w:t>
      </w:r>
      <w:r w:rsidR="00F13FCD">
        <w:t>-</w:t>
      </w:r>
      <w:r>
        <w:t xml:space="preserve">resourced and under-represented interest groups in trying to make sense of transparency and access provisions. More often than not, overambitious legislative action may effectively result in a denial-of-service attack, hijacking the limited resources, capacity, and imaginaries of change of those they purport to empower. As such, while ostensibly aiming to reign in the power of digital infrastructures, these new legal frameworks when combined may </w:t>
      </w:r>
      <w:r>
        <w:lastRenderedPageBreak/>
        <w:t xml:space="preserve">further solidify the power of those with the resources to manage the operationalization of the law. </w:t>
      </w:r>
    </w:p>
    <w:p w14:paraId="104BA202" w14:textId="77777777" w:rsidR="00D90ED2" w:rsidRDefault="00000000">
      <w:pPr>
        <w:ind w:left="0" w:right="0" w:firstLine="240"/>
      </w:pPr>
      <w:r>
        <w:t>This tumultuous landscape of multifarious legislative action along with the political economy of digital infrastructures more broadly also calls for a reappraisal of the need and conditions for independent research in the first place. Transparency and data access for independent researchers may seem laudable goals in the abstract, but to what end? What and whom do these debates obscure? What are, or should be, the goals and interests of (academic) researchers demanding access to digital infrastructures? In short, there is a clear need for critical and global reflection on how new data access rules shape research agendas but also on the positionality of different actors in these debates.</w:t>
      </w:r>
    </w:p>
    <w:p w14:paraId="4092DFE6" w14:textId="7C44BF6B" w:rsidR="00D90ED2" w:rsidRDefault="00000000">
      <w:pPr>
        <w:ind w:left="0" w:right="0" w:firstLine="240"/>
      </w:pPr>
      <w:r>
        <w:t>This is why, in March 2023, we organized a small-scale workshop at the Institute for Information Law, University of Amsterdam. The explicit goal was to bring together a group of academics from different backgrounds and provide a platform for critically exploring key issues relating to the regulation of access to data for research. Around 30 participants were selected based on a call for participation, with particular attention to geographical, disciplinary, and career</w:t>
      </w:r>
      <w:r w:rsidR="00F13FCD">
        <w:t>-</w:t>
      </w:r>
      <w:r>
        <w:t xml:space="preserve">level diversity. To facilitate this, we were lucky enough to secure institutional funding for covering travel expenses of participants from five different continents. </w:t>
      </w:r>
    </w:p>
    <w:p w14:paraId="5DA444BB" w14:textId="77777777" w:rsidR="00D90ED2" w:rsidRDefault="00000000">
      <w:pPr>
        <w:ind w:left="0" w:right="0" w:firstLine="240"/>
      </w:pPr>
      <w:r>
        <w:t>Participants were invited to submit draft papers presenting their ideas and provocations on a range of themes and questions. These were circulated beforehand and discussed in depth during the workshop. During these discussions, we debated issues such as the opportunities and challenges of the law as a tool for observing digital infrastructures; how data access regimes may privilege certain geographical and institutional contexts; and how it may affect different kinds of dependencies. We also discussed work that critically looks at academia’s data production, use, and ownership, as well as the political economy of data access for research and the multifarious power dynamics between academia, private/ public sector, and civil society.</w:t>
      </w:r>
    </w:p>
    <w:p w14:paraId="01EDB365" w14:textId="77777777" w:rsidR="00D90ED2" w:rsidRDefault="00000000">
      <w:pPr>
        <w:ind w:left="0" w:right="0" w:firstLine="240"/>
      </w:pPr>
      <w:r>
        <w:t xml:space="preserve">Based on these conversations and further written feedback on their work, authors developed their papers into the chapters presented in this volume. We rejoice in the fact that these chapters reflect the exploratory ambitions we had for the workshop, welcoming many different perspectives beyond dominant legalese or Eurocentric narratives. It is precisely by combining these different scopes and angles that we hope to challenge readers in their thinking and expand their imaginations on the topic of (researcher) data access to digital infrastructures. The chapters in this volume cover legal, technical, political, didactic, and social questions, at different jurisdictional levels and deploying </w:t>
      </w:r>
      <w:r>
        <w:lastRenderedPageBreak/>
        <w:t xml:space="preserve">different methodologies, from doctrinal and historical work to empirical, auto ethnographic, and participatory action research. </w:t>
      </w:r>
    </w:p>
    <w:p w14:paraId="1707EE07" w14:textId="77777777" w:rsidR="00D90ED2" w:rsidRDefault="00000000">
      <w:pPr>
        <w:ind w:left="0" w:right="0" w:firstLine="240"/>
      </w:pPr>
      <w:r>
        <w:t>As academics are increasingly demanding for data access to digital infrastructures, and a growing number of data access regimes are seeing the light of day, it is important to keep asking big and critical questions: What is the agenda-setting power afforded by data access regimes? Whom are these regimes for, or whom should they be for in light of the politics of knowledge production? How do they nurture and/or challenge existing structures of power in academia, politics, and industry? While this volume certainly does not purport to answer these vital questions, we hope that it does reveal the richness of the debate, prompt new questions, and inspire to challenge existing paradigms.</w:t>
      </w:r>
    </w:p>
    <w:p w14:paraId="26434F33" w14:textId="77777777" w:rsidR="00D90ED2" w:rsidRDefault="00000000">
      <w:pPr>
        <w:ind w:left="0" w:right="0" w:firstLine="240"/>
      </w:pPr>
      <w:r>
        <w:t>Before getting to the different contributions, we want to use this introductory chapter to explore – what we consider – a few pivotal concepts in the debate on researcher data access to digital infrastructures. Specifically, we look at the notion of ‘data access’ and its different epistemologies. Building on this, we also consolidate different critical perspectives on researcher data access into the notion of the ‘academic data gaze’. This, finally, will also allow us to uncover some of the underlying power dynamics at play in these issues and debates.</w:t>
      </w:r>
    </w:p>
    <w:p w14:paraId="7F421B09" w14:textId="2779ECFD" w:rsidR="00D90ED2" w:rsidRDefault="00000000">
      <w:pPr>
        <w:spacing w:after="412"/>
        <w:ind w:left="0" w:right="0" w:firstLine="240"/>
      </w:pPr>
      <w:r>
        <w:t>All in all, we want this chapter to invite the academic community to self</w:t>
      </w:r>
      <w:r w:rsidR="00F13FCD">
        <w:t>-</w:t>
      </w:r>
      <w:r>
        <w:t>reflect on critical questions brought to the surface in the researcher data access debate. Pluralizing what we understand data to be, data to do, and data access to include; the role of academia as agents to challenge data-driven power; as well as academia’s own complicity in allowing structures of power. Put differently, we cannot be content with taking data access provisions and academic claims to data at face value but need to consider their underlying logics and politics.</w:t>
      </w:r>
      <w:r>
        <w:rPr>
          <w:sz w:val="19"/>
          <w:vertAlign w:val="superscript"/>
        </w:rPr>
        <w:t>3</w:t>
      </w:r>
      <w:r>
        <w:t xml:space="preserve"> This is particularly necessary because academic data access is a function of different understandings of data, and also because the avenues to access are unequal depending on resources, technical capacity, as well as institutional protections. As academics therefore, it is important to have ‘awareness of one’s own epistemological commitments’, as well as reflect and acknowledge that one’s epistemic choices have effects on others.</w:t>
      </w:r>
      <w:r>
        <w:rPr>
          <w:sz w:val="19"/>
          <w:vertAlign w:val="superscript"/>
        </w:rPr>
        <w:t>4</w:t>
      </w:r>
      <w:r>
        <w:t xml:space="preserve"> This volume is therefore an opportunity to unpack tensions that emerge in securing data access for researchers, while also being conscious that the contexts within which this work is produced, and our conferences are organized, remain places of immense privilege.</w:t>
      </w:r>
    </w:p>
    <w:p w14:paraId="26141B5C" w14:textId="77777777" w:rsidR="00D90ED2" w:rsidRDefault="00000000" w:rsidP="00F45F8E">
      <w:pPr>
        <w:pStyle w:val="Heading2"/>
      </w:pPr>
      <w:r>
        <w:lastRenderedPageBreak/>
        <w:t xml:space="preserve">The Epistemic Questions behind Data Access </w:t>
      </w:r>
    </w:p>
    <w:p w14:paraId="6C6A7242" w14:textId="77777777" w:rsidR="00D90ED2" w:rsidRDefault="00000000">
      <w:pPr>
        <w:ind w:left="0" w:right="0" w:firstLine="0"/>
      </w:pPr>
      <w:r>
        <w:t>The intersections between data, access, and knowledge production become important starting points to be able to unpack data access for research. To begin with, in thinking about data, we wish to ascertain the various characteristics, imaginaries, and values that influence how data is understood and regulated.</w:t>
      </w:r>
      <w:r>
        <w:rPr>
          <w:sz w:val="19"/>
          <w:vertAlign w:val="superscript"/>
        </w:rPr>
        <w:t>5</w:t>
      </w:r>
      <w:r>
        <w:t xml:space="preserve"> If one is to look at the business models of companies and their digital infrastructures, the regulations emerging from transnational organizations such as the World Trade Organization or at a regional level the EU regulation on data governance, it becomes clear that data is conceived to be an economic commodity – one that can be brokered, traded, and used as a resource to extract value.</w:t>
      </w:r>
      <w:r>
        <w:rPr>
          <w:sz w:val="19"/>
          <w:vertAlign w:val="superscript"/>
        </w:rPr>
        <w:t>6</w:t>
      </w:r>
      <w:r>
        <w:t xml:space="preserve"> The notion of ‘data as the new oil’ has resulted in regulation across the world taking an approach which examines how best to regulate the ‘data market’.</w:t>
      </w:r>
      <w:r>
        <w:rPr>
          <w:sz w:val="19"/>
          <w:vertAlign w:val="superscript"/>
        </w:rPr>
        <w:t>7</w:t>
      </w:r>
      <w:r>
        <w:t xml:space="preserve"> This approach aims to ensure that regulation of data does not restrict innovation and fosters competition and growth of the tech industry. Such an approach, while being by far the more prevalent, is not the only notion of data that is relevant to pay attention to. </w:t>
      </w:r>
    </w:p>
    <w:p w14:paraId="4AAE4603" w14:textId="77777777" w:rsidR="00D90ED2" w:rsidRDefault="00000000">
      <w:pPr>
        <w:spacing w:after="41"/>
        <w:ind w:left="0" w:right="0" w:firstLine="240"/>
      </w:pPr>
      <w:r>
        <w:t>For instance, if one is to look at the work of indigenous data sovereignty experts, then a key characteristic of data is that it is living.</w:t>
      </w:r>
      <w:r>
        <w:rPr>
          <w:sz w:val="19"/>
          <w:vertAlign w:val="superscript"/>
        </w:rPr>
        <w:t>8</w:t>
      </w:r>
      <w:r>
        <w:t xml:space="preserve"> This entails that data plays an important role in determining the personhood as well as the embodied experiences that people have. Data is something that is central to a person’s autonomy and sense of respect.</w:t>
      </w:r>
      <w:r>
        <w:rPr>
          <w:sz w:val="19"/>
          <w:vertAlign w:val="superscript"/>
        </w:rPr>
        <w:t>9</w:t>
      </w:r>
      <w:r>
        <w:t xml:space="preserve"> This emphasis on people’s agency confronts motivations of open data, where there is an emphasis on data sharing without adequate reflection on the power structures and historical conditions that underpin how data sharing and exchange has been constructed.</w:t>
      </w:r>
      <w:r>
        <w:rPr>
          <w:sz w:val="19"/>
          <w:vertAlign w:val="superscript"/>
        </w:rPr>
        <w:t>10</w:t>
      </w:r>
    </w:p>
    <w:p w14:paraId="1AC0BA7B" w14:textId="77777777" w:rsidR="00D90ED2" w:rsidRDefault="00000000">
      <w:pPr>
        <w:spacing w:after="72"/>
        <w:ind w:left="0" w:right="0" w:firstLine="240"/>
      </w:pPr>
      <w:r>
        <w:t>That data is not a resource that can be commodified is powerfully explained through the work of We Are Not Numbers, a Gazan youth group. The world often speaks about Palestinians in terms of numbers – ‘specifically, how many killed, injured, homeless and/or dependent on aid. But numbers are impersonal and often numbing. What they don’t convey are the daily personal struggles and triumphs, the tears and the laughter, and the aspirations that are so universal that if it weren’t for the context, they would immediately resonate with virtually everyone.’</w:t>
      </w:r>
      <w:r>
        <w:rPr>
          <w:sz w:val="19"/>
          <w:vertAlign w:val="superscript"/>
        </w:rPr>
        <w:t>11</w:t>
      </w:r>
      <w:r>
        <w:t xml:space="preserve"> This distinction is important because it situates how treating data as a resource detaches personhood and dehumanizes what is represented in that data into an objective, commensurable fact, devoid of nuance and context.</w:t>
      </w:r>
      <w:r>
        <w:rPr>
          <w:sz w:val="19"/>
          <w:vertAlign w:val="superscript"/>
        </w:rPr>
        <w:t>12</w:t>
      </w:r>
    </w:p>
    <w:p w14:paraId="6EBECEE8" w14:textId="77777777" w:rsidR="00D90ED2" w:rsidRDefault="00000000">
      <w:pPr>
        <w:spacing w:after="46"/>
        <w:ind w:left="0" w:right="0" w:firstLine="240"/>
      </w:pPr>
      <w:r>
        <w:t>Another understanding of data is that it is not something that just exists in nature,</w:t>
      </w:r>
      <w:r>
        <w:rPr>
          <w:sz w:val="19"/>
          <w:vertAlign w:val="superscript"/>
        </w:rPr>
        <w:t>13</w:t>
      </w:r>
      <w:r>
        <w:t xml:space="preserve"> but it is a consequence of labour that is put in by people, oftentimes in exploitative scenarios. We have seen recently how corporations around the world are exploiting economic conditions to find the cheapest labour to perform ‘data </w:t>
      </w:r>
      <w:r>
        <w:lastRenderedPageBreak/>
        <w:t>work’ such as in relation to labelling, curating, and sorting of data.</w:t>
      </w:r>
      <w:r>
        <w:rPr>
          <w:sz w:val="19"/>
          <w:vertAlign w:val="superscript"/>
        </w:rPr>
        <w:t>14</w:t>
      </w:r>
      <w:r>
        <w:t xml:space="preserve"> Such workers are paid measly amounts of money and often do not have safe working conditions when they deal with data about violent circumstances, as has been seen in a recent case of OpenAI in Kenya.</w:t>
      </w:r>
      <w:r>
        <w:rPr>
          <w:sz w:val="19"/>
          <w:vertAlign w:val="superscript"/>
        </w:rPr>
        <w:t>15</w:t>
      </w:r>
      <w:r>
        <w:t xml:space="preserve"> Amazon Mechanical Turk is an example of a crowdsourcing platform where companies are accessing digital labour at low costs without any obligations towards worker security and social protection.</w:t>
      </w:r>
      <w:r>
        <w:rPr>
          <w:sz w:val="19"/>
          <w:vertAlign w:val="superscript"/>
        </w:rPr>
        <w:t>16</w:t>
      </w:r>
    </w:p>
    <w:p w14:paraId="29148C66" w14:textId="0D9F2F3F" w:rsidR="00D90ED2" w:rsidRDefault="00000000">
      <w:pPr>
        <w:ind w:left="0" w:right="0" w:firstLine="240"/>
      </w:pPr>
      <w:r>
        <w:t>Data also does not just affect the individual person but also systematizes relations between people and/or objects and digital infrastructures.</w:t>
      </w:r>
      <w:r>
        <w:rPr>
          <w:sz w:val="19"/>
          <w:vertAlign w:val="superscript"/>
        </w:rPr>
        <w:t>17</w:t>
      </w:r>
      <w:r>
        <w:t xml:space="preserve"> As Salome Viljoen has argued, ‘[B]y engaging with datafied systems we place ourselves in relationships to others, which then make it possible to manipulate or monetise both parties, and the relationship itself.’</w:t>
      </w:r>
      <w:r>
        <w:rPr>
          <w:sz w:val="19"/>
          <w:vertAlign w:val="superscript"/>
        </w:rPr>
        <w:t>18</w:t>
      </w:r>
      <w:r>
        <w:t xml:space="preserve"> These relations can be between peers at the horizontal level but also at a vertical level between institutions and people. Therefore, if one is to think about data, can one also consider how data does not just affect individual autonomy but also creates social inequality? </w:t>
      </w:r>
    </w:p>
    <w:p w14:paraId="145AF11C" w14:textId="77777777" w:rsidR="00D90ED2" w:rsidRDefault="00000000">
      <w:pPr>
        <w:ind w:left="0" w:right="0" w:firstLine="240"/>
      </w:pPr>
      <w:r>
        <w:t>This brings us to the question of thinking about the concept of access.</w:t>
      </w:r>
      <w:r>
        <w:rPr>
          <w:sz w:val="19"/>
          <w:vertAlign w:val="superscript"/>
        </w:rPr>
        <w:t>19</w:t>
      </w:r>
      <w:r>
        <w:t xml:space="preserve"> If we are interested in thinking about access to data, it becomes important to unpack alternative visions of what access to such data can mean.</w:t>
      </w:r>
      <w:r>
        <w:rPr>
          <w:sz w:val="19"/>
          <w:vertAlign w:val="superscript"/>
        </w:rPr>
        <w:t>20</w:t>
      </w:r>
      <w:r>
        <w:t xml:space="preserve"> To make access not just something that is provided but something that is also meaningful, a useful starting point is to consider the pathways to access that people take.</w:t>
      </w:r>
      <w:r>
        <w:rPr>
          <w:sz w:val="19"/>
          <w:vertAlign w:val="superscript"/>
        </w:rPr>
        <w:t>21</w:t>
      </w:r>
      <w:r>
        <w:t xml:space="preserve"> Aligned to this is to consider that there are different reasons for which data access is required. Whereas we have discussed different meanings of data, we also argue that it is important to ascertain – data access for what? </w:t>
      </w:r>
    </w:p>
    <w:p w14:paraId="7FE080A8" w14:textId="77777777" w:rsidR="00D90ED2" w:rsidRDefault="00000000">
      <w:pPr>
        <w:spacing w:after="64"/>
        <w:ind w:left="0" w:right="0" w:firstLine="240"/>
      </w:pPr>
      <w:r>
        <w:t>The motivation(s) behind access can result in different manifestations, such as ‘public access’ where it is meant for consumption by the public and in the public interest; ‘regulator access’ where institutions require it in order to fulfil a bureaucratic function; ‘research access’ where it is necessary to be able to study the effects of digitally intermediated phenomenon; and ‘corporate access’ for pursuing of economic objectives. Looking at these different actors demonstrates how varied the purposes of data access can be.</w:t>
      </w:r>
      <w:r>
        <w:rPr>
          <w:sz w:val="19"/>
          <w:vertAlign w:val="superscript"/>
        </w:rPr>
        <w:t>22</w:t>
      </w:r>
      <w:r>
        <w:t xml:space="preserve"> At one level, an obvious intention of creating better data access is to ensure that there is greater transparency and accountability, notably of online platforms, for instance, such that one can understand the ways in which they function and operate. But at another level, the purposes are much broader, and entirely subjective, depending on who the person claiming access is. In this way, it is relational, and contextual, and emerges within the location of those making claims.</w:t>
      </w:r>
      <w:r>
        <w:rPr>
          <w:sz w:val="19"/>
          <w:vertAlign w:val="superscript"/>
        </w:rPr>
        <w:t>23</w:t>
      </w:r>
    </w:p>
    <w:p w14:paraId="62B4A3CA" w14:textId="2EE43770" w:rsidR="00D90ED2" w:rsidRDefault="00000000">
      <w:pPr>
        <w:ind w:left="0" w:right="0" w:firstLine="240"/>
      </w:pPr>
      <w:r>
        <w:t xml:space="preserve">In the context of this volume, we are interested in exploring data access for research in particular. Research is often defined as a systematic and scientific exercise to study phenomena. It results in the creation of new understandings of </w:t>
      </w:r>
      <w:r>
        <w:lastRenderedPageBreak/>
        <w:t>existing knowledge or in the creation of new knowledge on its own. The role of a researcher in carrying out such an enquiry is often bound by the constraints of a particular discipline, where scientific rigour becomes a necessary condition to what research is seen as appropriate or valid. However, as decolonial scholars have repeatedly argued, the construction of who a researcher is, and what is valid research, is a function of the political economy of knowledge and knowledge</w:t>
      </w:r>
      <w:r w:rsidR="00800A52">
        <w:t>-</w:t>
      </w:r>
      <w:r>
        <w:t>producing institutions.</w:t>
      </w:r>
      <w:r>
        <w:rPr>
          <w:sz w:val="19"/>
          <w:vertAlign w:val="superscript"/>
        </w:rPr>
        <w:t>24</w:t>
      </w:r>
      <w:r>
        <w:t xml:space="preserve"> For several years, the conditions of successful research are embedded in a Eurocentrism, where an othering takes places of people and contexts outside the core of the West.</w:t>
      </w:r>
      <w:r>
        <w:rPr>
          <w:sz w:val="19"/>
          <w:vertAlign w:val="superscript"/>
        </w:rPr>
        <w:t>25</w:t>
      </w:r>
      <w:r>
        <w:t xml:space="preserve"> This is an important consideration to keep in mind, even while we see the emergence of new regulations to facilitate data access to research digital infrastructures.</w:t>
      </w:r>
    </w:p>
    <w:p w14:paraId="46FC78D7" w14:textId="77777777" w:rsidR="00D90ED2" w:rsidRDefault="00000000">
      <w:pPr>
        <w:ind w:left="0" w:right="0" w:firstLine="240"/>
      </w:pPr>
      <w:r>
        <w:t>In thinking about the effects of data access on knowledge production, it is necessary to examine the bundle of rights that are affected because of a denial of data access.</w:t>
      </w:r>
      <w:r>
        <w:rPr>
          <w:sz w:val="19"/>
          <w:vertAlign w:val="superscript"/>
        </w:rPr>
        <w:t>26</w:t>
      </w:r>
      <w:r>
        <w:t xml:space="preserve"> For instance, constraints to data access not only limit one’s capacity to know and understand but it also affect the capacity and ability to participate and act. This is because data becomes a currency to make things knowable and countable. It is used as the predominant medium to describe phenomena, and thereby to make things commensurable.</w:t>
      </w:r>
      <w:r>
        <w:rPr>
          <w:sz w:val="19"/>
          <w:vertAlign w:val="superscript"/>
        </w:rPr>
        <w:t>27</w:t>
      </w:r>
      <w:r>
        <w:t xml:space="preserve"> Not engaging through this language therefore limits the agency and autonomy of people, whether individuals or groups, to take actions which are in their interest. </w:t>
      </w:r>
    </w:p>
    <w:p w14:paraId="5EB49EA1" w14:textId="77777777" w:rsidR="00D90ED2" w:rsidRDefault="00000000">
      <w:pPr>
        <w:spacing w:after="38"/>
        <w:ind w:left="0" w:right="0" w:firstLine="240"/>
      </w:pPr>
      <w:r>
        <w:t>A second aspect in relation to data access is to examine who has the capacity to make sense of the data once access is provided. For access to be meaningful, it also requires the technical know-how to be able to make sense of the data. Consequently, we see an emergence of power hierarchies in terms of not only the form of data that is being made available but also the emergence of those that then act as interpreters, interlocutors, and potentially gatekeepers of the knowledge of the data. In this regard, those that have data access become critical in terms of not just holding knowledge but also determining the governance of data.</w:t>
      </w:r>
      <w:r>
        <w:rPr>
          <w:sz w:val="19"/>
          <w:vertAlign w:val="superscript"/>
        </w:rPr>
        <w:t>28</w:t>
      </w:r>
    </w:p>
    <w:p w14:paraId="52366E1D" w14:textId="318D17C9" w:rsidR="00D90ED2" w:rsidRDefault="00000000">
      <w:pPr>
        <w:spacing w:after="489"/>
        <w:ind w:left="0" w:right="0" w:firstLine="240"/>
      </w:pPr>
      <w:r>
        <w:t>A third consequence of such an approach is about narratives around data.</w:t>
      </w:r>
      <w:r>
        <w:rPr>
          <w:sz w:val="19"/>
          <w:vertAlign w:val="superscript"/>
        </w:rPr>
        <w:t>29</w:t>
      </w:r>
      <w:r>
        <w:t xml:space="preserve"> This means that how they are interpreted, deployed, and actioned will depend on who controls not only their access but also their interpretation. As</w:t>
      </w:r>
      <w:r w:rsidR="00800A52">
        <w:t xml:space="preserve"> </w:t>
      </w:r>
      <w:r>
        <w:t>a consequence, it becomes imperative to examine who draws the ‘abyssal line’ between what is considered important, critical, and valid and what is consigned to an abyss and deemed irrelevant.</w:t>
      </w:r>
      <w:r>
        <w:rPr>
          <w:sz w:val="19"/>
          <w:vertAlign w:val="superscript"/>
        </w:rPr>
        <w:t>30</w:t>
      </w:r>
    </w:p>
    <w:p w14:paraId="0D2B3065" w14:textId="77777777" w:rsidR="00D90ED2" w:rsidRDefault="00000000" w:rsidP="00F45F8E">
      <w:pPr>
        <w:pStyle w:val="Heading2"/>
      </w:pPr>
      <w:r>
        <w:lastRenderedPageBreak/>
        <w:t>The Academic Data Gaze</w:t>
      </w:r>
    </w:p>
    <w:p w14:paraId="4CEC4EB5" w14:textId="77777777" w:rsidR="00D90ED2" w:rsidRDefault="00000000">
      <w:pPr>
        <w:ind w:left="0" w:right="0" w:firstLine="0"/>
      </w:pPr>
      <w:r>
        <w:t>The debate on (academic) researchers’ claim to data in, and about, digital infrastructures reveals deeper questions on the politics and economy of knowledge production. Underlying the growing efforts to improve researchers’ access to data in the digital society is a strong normative assumption that such access (and data) is generally beneficial. While we certainly sympathize with many such efforts, we believe it is important to critically engage with these underlying assumptions of the impacts of data access by also locating it in the political economy around it. Failing to do so may render academia complicit in a variety of problematic dimensions of digital technology and, in particular, its extractivist practices. Moreover, it may amplify a number of issues already inherent to dominant academic research practices, including the Matthew effect. For the purposes of this introductory chapter, we try to condense some of these issues into the notion of the ‘academic data gaze’.</w:t>
      </w:r>
    </w:p>
    <w:p w14:paraId="2094628D" w14:textId="77777777" w:rsidR="00D90ED2" w:rsidRDefault="00000000">
      <w:pPr>
        <w:ind w:left="0" w:right="0" w:firstLine="240"/>
      </w:pPr>
      <w:r>
        <w:t xml:space="preserve">The academic data gaze can be situated along a long trajectory of the hegemony of mainly Western academic research and its underlying logics. The term builds on the concept of the </w:t>
      </w:r>
      <w:r>
        <w:rPr>
          <w:i/>
        </w:rPr>
        <w:t>data gaze</w:t>
      </w:r>
      <w:r>
        <w:t xml:space="preserve"> as theorized by David Beer: ‘a concept that targets an understanding of the connections, structures, and performances of power within [data] analytics.… This data gaze, and the discourse that facilitates and informs it, is suggestive of how lives are viewed differently through data – in ever more forensic, strategic, predictive, and knowing ways.’</w:t>
      </w:r>
      <w:r>
        <w:rPr>
          <w:sz w:val="19"/>
          <w:vertAlign w:val="superscript"/>
        </w:rPr>
        <w:t>31</w:t>
      </w:r>
      <w:r>
        <w:t xml:space="preserve"> Importantly, we believe the data gaze is fundamentally intertwined with modern-day forms of (for example, platform,</w:t>
      </w:r>
      <w:r>
        <w:rPr>
          <w:sz w:val="19"/>
          <w:vertAlign w:val="superscript"/>
        </w:rPr>
        <w:t>32</w:t>
      </w:r>
      <w:r>
        <w:t xml:space="preserve"> informational,</w:t>
      </w:r>
      <w:r>
        <w:rPr>
          <w:sz w:val="19"/>
          <w:vertAlign w:val="superscript"/>
        </w:rPr>
        <w:t>33</w:t>
      </w:r>
      <w:r>
        <w:t xml:space="preserve"> and surveillance</w:t>
      </w:r>
      <w:r>
        <w:rPr>
          <w:sz w:val="19"/>
          <w:vertAlign w:val="superscript"/>
        </w:rPr>
        <w:t>34</w:t>
      </w:r>
      <w:r>
        <w:t>) capitalism and its deeply extractive logics. It acknowledges that data is not a natural element to be observed, but always artificially produced for specific goals in the eyes of the beholder.</w:t>
      </w:r>
    </w:p>
    <w:p w14:paraId="77958B2B" w14:textId="77777777" w:rsidR="00D90ED2" w:rsidRDefault="00000000">
      <w:pPr>
        <w:spacing w:after="55"/>
        <w:ind w:left="0" w:right="0" w:firstLine="240"/>
      </w:pPr>
      <w:r>
        <w:t>Despite the much-acknowledged critique that ‘raw data is an oxymoron’,</w:t>
      </w:r>
      <w:r>
        <w:rPr>
          <w:sz w:val="19"/>
          <w:vertAlign w:val="superscript"/>
        </w:rPr>
        <w:t>35</w:t>
      </w:r>
      <w:r>
        <w:t xml:space="preserve"> (digital) data is increasingly seen as the main source of valid ‘evidence’ in dominant research methods.</w:t>
      </w:r>
      <w:r>
        <w:rPr>
          <w:sz w:val="19"/>
          <w:vertAlign w:val="superscript"/>
        </w:rPr>
        <w:t>36</w:t>
      </w:r>
      <w:r>
        <w:t xml:space="preserve"> This may not come as a surprise considering the broader fetishization of ‘big data’ in (Euro-American) academia as well as its benefactors in the public and private sectors. Researchers’ calls for improved data access therefore cannot be detached from questioning the politics of </w:t>
      </w:r>
      <w:r>
        <w:rPr>
          <w:i/>
        </w:rPr>
        <w:t>knowledge</w:t>
      </w:r>
      <w:r>
        <w:t xml:space="preserve"> production more broadly. This means recognizing that knowledge is ‘socially constructed, and historically situated’, rationalized through research methodologies that are in themselves ‘historically produced social formations articulated through particular discourses and systems of signification’.</w:t>
      </w:r>
      <w:r>
        <w:rPr>
          <w:sz w:val="19"/>
          <w:vertAlign w:val="superscript"/>
        </w:rPr>
        <w:t>37</w:t>
      </w:r>
      <w:r>
        <w:t xml:space="preserve"> </w:t>
      </w:r>
    </w:p>
    <w:p w14:paraId="3F08E98E" w14:textId="6D681F83" w:rsidR="00D90ED2" w:rsidRDefault="00000000">
      <w:pPr>
        <w:spacing w:after="32"/>
        <w:ind w:left="0" w:right="0" w:firstLine="240"/>
      </w:pPr>
      <w:r>
        <w:t xml:space="preserve">By prefixing </w:t>
      </w:r>
      <w:r>
        <w:rPr>
          <w:i/>
        </w:rPr>
        <w:t>academic</w:t>
      </w:r>
      <w:r>
        <w:t xml:space="preserve"> to the </w:t>
      </w:r>
      <w:r>
        <w:rPr>
          <w:i/>
        </w:rPr>
        <w:t>data gaze</w:t>
      </w:r>
      <w:r>
        <w:t xml:space="preserve">, we wish to emphasize the complicity of academia in establishing the ‘data imaginary’ as a dominant paradigm structuring contemporary societies. The </w:t>
      </w:r>
      <w:r>
        <w:rPr>
          <w:i/>
        </w:rPr>
        <w:t>data imaginary</w:t>
      </w:r>
      <w:r>
        <w:t xml:space="preserve"> determines what is rendered (in)visible </w:t>
      </w:r>
      <w:r>
        <w:lastRenderedPageBreak/>
        <w:t>in data-led processes, ordering, and governance.</w:t>
      </w:r>
      <w:r>
        <w:rPr>
          <w:sz w:val="19"/>
          <w:vertAlign w:val="superscript"/>
        </w:rPr>
        <w:t>38</w:t>
      </w:r>
      <w:r>
        <w:t xml:space="preserve"> And while its risks and constraints have been amply debated in scholarship,</w:t>
      </w:r>
      <w:r>
        <w:rPr>
          <w:sz w:val="19"/>
          <w:vertAlign w:val="superscript"/>
        </w:rPr>
        <w:t>39</w:t>
      </w:r>
      <w:r>
        <w:t xml:space="preserve"> datafication processes have developed into constitutive elements of modern-day knowledge production.</w:t>
      </w:r>
      <w:r>
        <w:rPr>
          <w:sz w:val="19"/>
          <w:vertAlign w:val="superscript"/>
        </w:rPr>
        <w:t>40</w:t>
      </w:r>
      <w:r>
        <w:t xml:space="preserve"> In other words, we believe academia’s growing adoption of </w:t>
      </w:r>
      <w:r w:rsidR="008B7F6E">
        <w:t>data driven</w:t>
      </w:r>
      <w:r>
        <w:t xml:space="preserve"> research methods has significant political economic reverberations. It lends further legitimacy to the data gaze’s salient claims to objectivity, neutrality, rationality, and universality.</w:t>
      </w:r>
      <w:r>
        <w:rPr>
          <w:sz w:val="19"/>
          <w:vertAlign w:val="superscript"/>
        </w:rPr>
        <w:t>41</w:t>
      </w:r>
      <w:r>
        <w:t xml:space="preserve"> Yet it often forgoes how ever-expanding processes of metrification, extraction, and abstraction deprioritize or invisibilize certain modes of knowledge (production), reinforce a variety of power dynamics, and may even cause harm.</w:t>
      </w:r>
      <w:r>
        <w:rPr>
          <w:sz w:val="19"/>
          <w:vertAlign w:val="superscript"/>
        </w:rPr>
        <w:t>42</w:t>
      </w:r>
      <w:r>
        <w:t xml:space="preserve"> </w:t>
      </w:r>
    </w:p>
    <w:p w14:paraId="53F4CCDE" w14:textId="422A599B" w:rsidR="00D90ED2" w:rsidRDefault="00000000" w:rsidP="008B7F6E">
      <w:pPr>
        <w:ind w:left="0" w:right="0" w:firstLine="240"/>
      </w:pPr>
      <w:r>
        <w:t xml:space="preserve">Through her work on ‘missing datasets’, academic and artist Mimi </w:t>
      </w:r>
      <w:r w:rsidR="008B7F6E" w:rsidRPr="008B7F6E">
        <w:t>Ọnụọha</w:t>
      </w:r>
      <w:r w:rsidR="008B7F6E">
        <w:t xml:space="preserve"> </w:t>
      </w:r>
      <w:r>
        <w:t>cogently explains the important blind spots of the data imaginary.</w:t>
      </w:r>
      <w:r>
        <w:rPr>
          <w:sz w:val="19"/>
          <w:vertAlign w:val="superscript"/>
        </w:rPr>
        <w:t>43</w:t>
      </w:r>
      <w:r>
        <w:t xml:space="preserve"> First, those with the resources to produce or collect certain data often lack the incentives to do so (for example, law enforcement and military operations are some of the most data-driven public sectors, yet there is disproportionately little systematic data collected about police brutality and military abuse). Second, the data imaginary only allows for collecting things that fit its modes of collection, that is, through quantification and datafication processes (for example, some things may resist simple datafication, such as emotions or institutional racism). Third, the act of datafication may involve more effort or resources then the perceived benefits of datafication (for example, the benefit of reporting sexual harassment is often perceived lower than the cost of the process). Fourth, there might also be advantages to non-datafication (for example, protection of situationally disadvantaged groups).</w:t>
      </w:r>
      <w:r w:rsidR="008B7F6E">
        <w:t xml:space="preserve"> </w:t>
      </w:r>
      <w:r w:rsidR="008B7F6E" w:rsidRPr="008B7F6E">
        <w:t>Ọnụọha</w:t>
      </w:r>
      <w:r>
        <w:t xml:space="preserve"> reminds us that data will not solve all problems or scientific inquiries, and this is a good thing, especially as we may risk reductionism based on the choices made in collecting, ordering, and labelling data. </w:t>
      </w:r>
    </w:p>
    <w:p w14:paraId="71644A25" w14:textId="77777777" w:rsidR="00D90ED2" w:rsidRPr="008B7F6E" w:rsidRDefault="00000000">
      <w:pPr>
        <w:ind w:left="0" w:right="0" w:firstLine="240"/>
        <w:rPr>
          <w:szCs w:val="21"/>
        </w:rPr>
      </w:pPr>
      <w:r w:rsidRPr="008B7F6E">
        <w:rPr>
          <w:szCs w:val="21"/>
        </w:rPr>
        <w:t>Even so, it is increasingly recognized that surveillance and datafication processes – often (co-)constituted and adopted by academia – have very problematic roots indeed:</w:t>
      </w:r>
      <w:r w:rsidRPr="008B7F6E">
        <w:rPr>
          <w:szCs w:val="21"/>
          <w:vertAlign w:val="superscript"/>
        </w:rPr>
        <w:t>44</w:t>
      </w:r>
      <w:r w:rsidRPr="008B7F6E">
        <w:rPr>
          <w:szCs w:val="21"/>
        </w:rPr>
        <w:t xml:space="preserve"> from oppressive and racist regimes underpinning slavery</w:t>
      </w:r>
      <w:r w:rsidRPr="008B7F6E">
        <w:rPr>
          <w:szCs w:val="21"/>
          <w:vertAlign w:val="superscript"/>
        </w:rPr>
        <w:t>45</w:t>
      </w:r>
      <w:r w:rsidRPr="008B7F6E">
        <w:rPr>
          <w:szCs w:val="21"/>
        </w:rPr>
        <w:t xml:space="preserve"> and Nazi Germany</w:t>
      </w:r>
      <w:r w:rsidRPr="008B7F6E">
        <w:rPr>
          <w:szCs w:val="21"/>
          <w:vertAlign w:val="superscript"/>
        </w:rPr>
        <w:t>46</w:t>
      </w:r>
      <w:r w:rsidRPr="008B7F6E">
        <w:rPr>
          <w:szCs w:val="21"/>
        </w:rPr>
        <w:t xml:space="preserve"> to the persecution of black and brown people in the US,</w:t>
      </w:r>
      <w:r w:rsidRPr="008B7F6E">
        <w:rPr>
          <w:szCs w:val="21"/>
          <w:vertAlign w:val="superscript"/>
        </w:rPr>
        <w:t>47</w:t>
      </w:r>
      <w:r w:rsidRPr="008B7F6E">
        <w:rPr>
          <w:szCs w:val="21"/>
        </w:rPr>
        <w:t xml:space="preserve"> as well as centuries of colonial extractivist practices more broadly.</w:t>
      </w:r>
      <w:r w:rsidRPr="008B7F6E">
        <w:rPr>
          <w:szCs w:val="21"/>
          <w:vertAlign w:val="superscript"/>
        </w:rPr>
        <w:t>48</w:t>
      </w:r>
      <w:r w:rsidRPr="008B7F6E">
        <w:rPr>
          <w:szCs w:val="21"/>
        </w:rPr>
        <w:t xml:space="preserve"> Scientific research has played a crucial role in enabling and validating these regimes, reproducing social hierarchies.</w:t>
      </w:r>
      <w:r w:rsidRPr="008B7F6E">
        <w:rPr>
          <w:szCs w:val="21"/>
          <w:vertAlign w:val="superscript"/>
        </w:rPr>
        <w:t>49</w:t>
      </w:r>
      <w:r w:rsidRPr="008B7F6E">
        <w:rPr>
          <w:szCs w:val="21"/>
        </w:rPr>
        <w:t xml:space="preserve"> In the digital context, pioneering anthropologist and science and technology studies scholar Diane Forsythe already established the sexism and silencing of voices in artificial intelligence (AI) development in the 1990s.</w:t>
      </w:r>
      <w:r w:rsidRPr="008B7F6E">
        <w:rPr>
          <w:szCs w:val="21"/>
          <w:vertAlign w:val="superscript"/>
        </w:rPr>
        <w:t>50</w:t>
      </w:r>
      <w:r w:rsidRPr="008B7F6E">
        <w:rPr>
          <w:szCs w:val="21"/>
        </w:rPr>
        <w:t xml:space="preserve"> This historical trajectory of both science and datafication processes cannot simply be ignored and should actively factor into a constant self-reflective praxis.</w:t>
      </w:r>
    </w:p>
    <w:p w14:paraId="2F7D640E" w14:textId="77777777" w:rsidR="00D90ED2" w:rsidRDefault="00000000">
      <w:pPr>
        <w:spacing w:after="28"/>
        <w:ind w:left="0" w:right="0" w:firstLine="240"/>
      </w:pPr>
      <w:r>
        <w:lastRenderedPageBreak/>
        <w:t>More recently, an important strand of critique of the academic data gaze in the social sciences relates to so-called easy-data scholarship. Jean Burgess and Axel Bruns, for example, explain how social media platforms (deliberately) affect research agendas through their technical design.</w:t>
      </w:r>
      <w:r>
        <w:rPr>
          <w:sz w:val="19"/>
          <w:vertAlign w:val="superscript"/>
        </w:rPr>
        <w:t>51</w:t>
      </w:r>
      <w:r>
        <w:t xml:space="preserve"> Twitter (now X) in particular has proven to be the ‘most (over-) studied social media platform precisely because it offers relatively open data access.… Yet, the non-randomness of data captured via these APIs [application programming interfaces] means that, even in the best of times, many Twitter studies have drawn conclusions based on substantially biased inferences.’</w:t>
      </w:r>
      <w:r>
        <w:rPr>
          <w:sz w:val="19"/>
          <w:vertAlign w:val="superscript"/>
        </w:rPr>
        <w:t>52</w:t>
      </w:r>
      <w:r>
        <w:t xml:space="preserve"> This is not to say that all studies using ‘easy data’ are necessarily reductionist or unrepresentative,</w:t>
      </w:r>
      <w:r>
        <w:rPr>
          <w:sz w:val="19"/>
          <w:vertAlign w:val="superscript"/>
        </w:rPr>
        <w:t>53</w:t>
      </w:r>
      <w:r>
        <w:t xml:space="preserve"> but it is a reminder to acknowledge how the academic data gaze is shaped by the socio-economic conditions in which it occurs. New and upcoming legal frameworks will only amplify these external influences on academia’s data imaginary, especially in light of how transparency and data access requirements will be interpreted, operationalized, and enforced. Again, this raises questions on what information and research are prioritized/ invisibilized and on agenda-setting power more broadly.</w:t>
      </w:r>
      <w:r>
        <w:rPr>
          <w:sz w:val="19"/>
          <w:vertAlign w:val="superscript"/>
        </w:rPr>
        <w:t>54</w:t>
      </w:r>
      <w:r>
        <w:t xml:space="preserve"> </w:t>
      </w:r>
    </w:p>
    <w:p w14:paraId="7874353D" w14:textId="77777777" w:rsidR="00D90ED2" w:rsidRDefault="00000000">
      <w:pPr>
        <w:spacing w:after="43"/>
        <w:ind w:left="0" w:right="0" w:firstLine="240"/>
      </w:pPr>
      <w:r>
        <w:t>Ironically, the ample critique (often coming from academia) on the public and private sectors’ embrace of data-driven processes and the numerous issues it presents has not prevented many academic disciplines from going down the same path. All too often ‘more data’ is automatically seen as leading to ‘better research outcomes’, without a clear sense of what those outcomes ought to be in the first place or a reflection on alternative research methodologies.</w:t>
      </w:r>
      <w:r>
        <w:rPr>
          <w:sz w:val="19"/>
          <w:vertAlign w:val="superscript"/>
        </w:rPr>
        <w:t>55</w:t>
      </w:r>
      <w:r>
        <w:t xml:space="preserve"> This entails deeper questions on the merits, integrity, and ethics of academic research that we cannot tackle here. At the very least, there is a serious need for individual and collective self-reflection on questions relating to data-driven research methods and disciplines: when they are exploitative; what their blind spots are; how they relate to similar processes in industry or government; and how they affect structural inequalities, injustice, and power.</w:t>
      </w:r>
      <w:r>
        <w:rPr>
          <w:sz w:val="19"/>
          <w:vertAlign w:val="superscript"/>
        </w:rPr>
        <w:t>56</w:t>
      </w:r>
      <w:r>
        <w:t xml:space="preserve"> Academia must confront its ‘epistemology of ignorance’ – that is, academia’s ignorance of its own processes of reproduction – and continuously reflect on the emergence and use of dominant research methodologies.</w:t>
      </w:r>
      <w:r>
        <w:rPr>
          <w:sz w:val="19"/>
          <w:vertAlign w:val="superscript"/>
        </w:rPr>
        <w:t>57</w:t>
      </w:r>
    </w:p>
    <w:p w14:paraId="1D2B624B" w14:textId="77777777" w:rsidR="00D90ED2" w:rsidRDefault="00000000">
      <w:pPr>
        <w:spacing w:after="412"/>
        <w:ind w:left="0" w:right="0" w:firstLine="240"/>
      </w:pPr>
      <w:r>
        <w:t>In sum, the academic data gaze is ever-expanding and does not tolerate alternative means of knowledge production.</w:t>
      </w:r>
      <w:r>
        <w:rPr>
          <w:sz w:val="19"/>
          <w:vertAlign w:val="superscript"/>
        </w:rPr>
        <w:t>58</w:t>
      </w:r>
      <w:r>
        <w:t xml:space="preserve"> Its internal logics and outcomes are presented as indisputable truths. As such, academia is constitutive of dominant </w:t>
      </w:r>
      <w:r>
        <w:rPr>
          <w:i/>
        </w:rPr>
        <w:t>data assemblages</w:t>
      </w:r>
      <w:r>
        <w:t>, described by Rob Kitchin as complex socio-technical systems involving a multitude of actors and processes pursuing the production of data.</w:t>
      </w:r>
      <w:r>
        <w:rPr>
          <w:sz w:val="19"/>
          <w:vertAlign w:val="superscript"/>
        </w:rPr>
        <w:t>59</w:t>
      </w:r>
      <w:r>
        <w:t xml:space="preserve"> That is why claims more and better data access should be accompanied by critical inquiries into the underlying logics and rationales of data processes </w:t>
      </w:r>
      <w:r>
        <w:lastRenderedPageBreak/>
        <w:t>and their agenda-setting power. How, and at what expense, do legal data access frameworks and data-driven research methods reinforce or construct specific frames of truth and knowledge?</w:t>
      </w:r>
      <w:r>
        <w:rPr>
          <w:sz w:val="19"/>
          <w:vertAlign w:val="superscript"/>
        </w:rPr>
        <w:t>60</w:t>
      </w:r>
      <w:r>
        <w:t xml:space="preserve"> We see this volume as contributing to this vital broader discussion that we need to have on academic claims to researcher data access and the power dynamics it entails. </w:t>
      </w:r>
    </w:p>
    <w:p w14:paraId="246697C3" w14:textId="77777777" w:rsidR="00D90ED2" w:rsidRDefault="00000000" w:rsidP="00F45F8E">
      <w:pPr>
        <w:pStyle w:val="Heading2"/>
      </w:pPr>
      <w:r>
        <w:t>Power Dynamics in Data Access for Research</w:t>
      </w:r>
    </w:p>
    <w:p w14:paraId="0ED8D661" w14:textId="77777777" w:rsidR="00D90ED2" w:rsidRDefault="00000000">
      <w:pPr>
        <w:ind w:left="0" w:right="0" w:firstLine="0"/>
      </w:pPr>
      <w:r>
        <w:t>In this subsection, we explore some of the complex power dynamics underlying researcher data access debates. The incremental invasion of digital infrastructures into every part of society has accelerated the accumulation of power and established new forms of data-driven power asymmetries. A quintessential example of this is the emergence of online platforms as dominant actors in today’s information society and the focal point of many new legal frameworks.</w:t>
      </w:r>
    </w:p>
    <w:p w14:paraId="2FA5061B" w14:textId="77777777" w:rsidR="00D90ED2" w:rsidRDefault="00000000">
      <w:pPr>
        <w:spacing w:after="41"/>
        <w:ind w:left="0" w:right="0" w:firstLine="240"/>
      </w:pPr>
      <w:r>
        <w:t>The rise of platform power manifests primarily through the operational control that vests with Big Tech companies because of their dominance over computational infrastructures.</w:t>
      </w:r>
      <w:r>
        <w:rPr>
          <w:sz w:val="19"/>
          <w:vertAlign w:val="superscript"/>
        </w:rPr>
        <w:t>61</w:t>
      </w:r>
      <w:r>
        <w:t xml:space="preserve"> This control over infrastructure emerges in terms of determining which parts of the world can be made visible or legible through providing data access, what values and ideas must be given prominence in governance or policy settings, and how private–public relationships are being reshaped through increased dependency on Big Tech.</w:t>
      </w:r>
      <w:r>
        <w:rPr>
          <w:sz w:val="19"/>
          <w:vertAlign w:val="superscript"/>
        </w:rPr>
        <w:t>62</w:t>
      </w:r>
    </w:p>
    <w:p w14:paraId="68E7FC7E" w14:textId="77777777" w:rsidR="00D90ED2" w:rsidRDefault="00000000">
      <w:pPr>
        <w:spacing w:after="36"/>
        <w:ind w:left="0" w:right="0" w:firstLine="240"/>
      </w:pPr>
      <w:r>
        <w:t>Power takes on different forms. There is a technical power by virtue of platforms determining how one can operate within them or in relation to them. This technical power, however, does not operate on its own, because of their infrastructural power to also lobby for self-regulation and, in turn, reshape governance practices. In doing so, technical power gives way to shaping how sectors are being managed. Consider the case of the Oversight Board, which is an entity set up by Meta to decide on matters related to content on its platforms, including Facebook and Instagram. This is an example where an attempt is made to propose a regulatory architecture that informs how to uphold the right to freedom of expression online. However, as Chinmayi Arun has argued, Meta operates differently in different jurisdictions, engaging flexibly when it deals with states and publics that do not have the regulatory capacity to push back, and therefore ensuring that content moderation has different approaches depending on location.</w:t>
      </w:r>
      <w:r>
        <w:rPr>
          <w:sz w:val="19"/>
          <w:vertAlign w:val="superscript"/>
        </w:rPr>
        <w:t xml:space="preserve">63 </w:t>
      </w:r>
      <w:r>
        <w:t xml:space="preserve">This is relevant because it demonstrates the power that platforms have to mediate between different political and economic entities. More often than not, where it is to their economic benefit to side with states, over people, it is willing to make compromises. WhatsApp, for instance, attempted to change its privacy policy all over the world: whereas in the EU data would be shared </w:t>
      </w:r>
      <w:r>
        <w:lastRenderedPageBreak/>
        <w:t>only for WhatsApp’s purposes, in non-EU regions it could also be used for other Meta companies.</w:t>
      </w:r>
      <w:r>
        <w:rPr>
          <w:sz w:val="19"/>
          <w:vertAlign w:val="superscript"/>
        </w:rPr>
        <w:t>64</w:t>
      </w:r>
      <w:r>
        <w:t xml:space="preserve"> </w:t>
      </w:r>
    </w:p>
    <w:p w14:paraId="26CE60F1" w14:textId="77777777" w:rsidR="00D90ED2" w:rsidRDefault="00000000">
      <w:pPr>
        <w:spacing w:after="40"/>
        <w:ind w:left="0" w:right="0" w:firstLine="240"/>
      </w:pPr>
      <w:r>
        <w:t>This example demonstrates that along with computational power, regulatory power is mediated by the power of transnational markets, the capacity of institutions to be able to push back, as well as a societal power and awareness about the possibilities of alternative platforms.</w:t>
      </w:r>
      <w:r>
        <w:rPr>
          <w:sz w:val="19"/>
          <w:vertAlign w:val="superscript"/>
        </w:rPr>
        <w:t>65</w:t>
      </w:r>
      <w:r>
        <w:t xml:space="preserve"> For instance, Europe, despite priding itself on being at the forefront of tech regulation, has had innumerable challenges with implementation and enforcement. Ireland, which plays a vital role as a data protection regulator in the EU, recently proposed a law that renders confidential all matters before the data protection commissioner. This undertaking, as Amnesty International has argued, is a ‘blatant attempt not only to shield Big Tech from scrutiny but also to silence individuals and organizations that stand up for the right to privacy and data protection’.</w:t>
      </w:r>
      <w:r>
        <w:rPr>
          <w:sz w:val="19"/>
          <w:vertAlign w:val="superscript"/>
        </w:rPr>
        <w:t>66</w:t>
      </w:r>
    </w:p>
    <w:p w14:paraId="5669B7FE" w14:textId="77777777" w:rsidR="00D90ED2" w:rsidRDefault="00000000">
      <w:pPr>
        <w:spacing w:after="42"/>
        <w:ind w:left="0" w:right="0" w:firstLine="240"/>
      </w:pPr>
      <w:r>
        <w:t>These decisions by states in turn determine how regulation is perceived and what the capacity of civil society (including academia) is to engage, challenge, and resist. Platform power has increasingly affected the independence of academia which has long been complicit with accepting funding from corporations, including fossil fuel companies and those engaging in surveillance, without the necessary safeguards or institutional mechanisms to ensure transparency and accountability. A recent report of De Jonge Akademie in the Netherlands argues that there is a need for a greater overview of funding flows and how such funding affects researchers, what are the risks at play of accepting such funding while, at the same time, ensuring that institutions have the capacity to be able to report as well as audit funding relationships.</w:t>
      </w:r>
      <w:r>
        <w:rPr>
          <w:sz w:val="19"/>
          <w:vertAlign w:val="superscript"/>
        </w:rPr>
        <w:t>67</w:t>
      </w:r>
    </w:p>
    <w:p w14:paraId="30C47F30" w14:textId="762474DA" w:rsidR="00D90ED2" w:rsidRDefault="00E70639">
      <w:pPr>
        <w:spacing w:after="29"/>
        <w:ind w:left="0" w:right="0" w:firstLine="240"/>
      </w:pPr>
      <w:r w:rsidRPr="00E70639">
        <w:rPr>
          <w:rFonts w:eastAsiaTheme="minorEastAsia" w:cs="Helvetica"/>
          <w:color w:val="131212"/>
          <w:kern w:val="0"/>
          <w:szCs w:val="21"/>
          <w:lang w:bidi="ar-SA"/>
        </w:rPr>
        <w:t>Another telling example of platform power comes from the ongoing genocide in Palestinian territories</w:t>
      </w:r>
      <w:r>
        <w:t>.</w:t>
      </w:r>
      <w:r>
        <w:rPr>
          <w:sz w:val="19"/>
          <w:vertAlign w:val="superscript"/>
        </w:rPr>
        <w:t>68</w:t>
      </w:r>
      <w:r>
        <w:t xml:space="preserve"> On 27 October 2023, Israel cut access to phone and internet services for 34 hours, leaving a majority of over two million Palestinians who live in Gaza as well as aid organizations on the ground with no way to connect to the outside world.</w:t>
      </w:r>
      <w:r>
        <w:rPr>
          <w:sz w:val="19"/>
          <w:vertAlign w:val="superscript"/>
        </w:rPr>
        <w:t>69</w:t>
      </w:r>
      <w:r>
        <w:t xml:space="preserve"> It is a move that Israel has since used multiple times as a deliberate strategy, in particular before a military operation. The situation was so dire that, with no alternatives in sight, people appealed to Elon Musk who owns Starlink – a satellite internet venture – to provide internet.</w:t>
      </w:r>
      <w:r>
        <w:rPr>
          <w:sz w:val="19"/>
          <w:vertAlign w:val="superscript"/>
        </w:rPr>
        <w:t>70</w:t>
      </w:r>
      <w:r>
        <w:t xml:space="preserve"> This is not the only case. In Ukraine, during the ongoing war with Russia, Musk was asked by the Ukrainian authorities to provide Starlink as a service to keep people online in case the internet infrastructure was destroyed, which he did.</w:t>
      </w:r>
      <w:r>
        <w:rPr>
          <w:sz w:val="19"/>
          <w:vertAlign w:val="superscript"/>
        </w:rPr>
        <w:t>71</w:t>
      </w:r>
      <w:r>
        <w:t xml:space="preserve"> However, over the course of the conflict, Musk has variously threatened to withdraw access, at times stating that he cannot fund it, while at other moments making grand claims that, regardless of the financial situation of Starlink, he will keep Ukrainians online.</w:t>
      </w:r>
      <w:r>
        <w:rPr>
          <w:sz w:val="19"/>
          <w:vertAlign w:val="superscript"/>
        </w:rPr>
        <w:t>72</w:t>
      </w:r>
      <w:r>
        <w:t xml:space="preserve"> The absurdity that the only way for millions of besieged </w:t>
      </w:r>
      <w:r>
        <w:lastRenderedPageBreak/>
        <w:t>people to have internet access</w:t>
      </w:r>
      <w:r w:rsidR="007F10B6">
        <w:t xml:space="preserve"> </w:t>
      </w:r>
      <w:r>
        <w:t>is through appealing to one person’s largesse demonstrates the dangers that will emerge because of private corporations having control over critical infrastructures.</w:t>
      </w:r>
      <w:r>
        <w:rPr>
          <w:sz w:val="19"/>
          <w:vertAlign w:val="superscript"/>
        </w:rPr>
        <w:t>73</w:t>
      </w:r>
      <w:r>
        <w:t xml:space="preserve"> </w:t>
      </w:r>
    </w:p>
    <w:p w14:paraId="7D502E33" w14:textId="77777777" w:rsidR="00D90ED2" w:rsidRDefault="00000000">
      <w:pPr>
        <w:ind w:left="0" w:right="0" w:firstLine="240"/>
      </w:pPr>
      <w:r>
        <w:t>As this example demonstrates, this is not just technical power but power that manifests in terms of informational power, determining what narratives will be heard and what will be erased.</w:t>
      </w:r>
      <w:r>
        <w:rPr>
          <w:sz w:val="19"/>
          <w:vertAlign w:val="superscript"/>
        </w:rPr>
        <w:t>74</w:t>
      </w:r>
      <w:r>
        <w:t xml:space="preserve"> It is an institutional power because it intrinsically influences how emergency teams will be able to respond, ask for help, and document atrocities being committed. It is also societal power, shaping the ways in which people will know about these crises and how they make sense of their role in such a situation. </w:t>
      </w:r>
    </w:p>
    <w:p w14:paraId="08094B99" w14:textId="375AD540" w:rsidR="00D90ED2" w:rsidRDefault="00000000">
      <w:pPr>
        <w:spacing w:after="41"/>
        <w:ind w:left="0" w:right="0" w:firstLine="240"/>
      </w:pPr>
      <w:r>
        <w:t>The criticality of data access is even more apparent in the Palestinian context, when the</w:t>
      </w:r>
      <w:r w:rsidR="007F10B6">
        <w:t xml:space="preserve"> former</w:t>
      </w:r>
      <w:r>
        <w:t xml:space="preserve"> president of the United States (US), despite the vast amount of verified images and video material showing shocking amounts of human and material devastation, said, ‘I have no notion that Palestinians are telling the truth about how many people are killed.’</w:t>
      </w:r>
      <w:r>
        <w:rPr>
          <w:sz w:val="19"/>
          <w:vertAlign w:val="superscript"/>
        </w:rPr>
        <w:t>75</w:t>
      </w:r>
      <w:r>
        <w:t xml:space="preserve"> As Hala Alyan, a Palestinian American author states, this statement was made knowing the power that it would have: ‘It would quietly cleverly, delegitimize the dead. Even the dead. He said it and the saying was erasure.’ She goes on to say, ‘What counteracts erasure? Witnessing’, going on to show how a report was then released by the Palestinian Ministry of Health with 7,028 names, of which 2,913 were children.</w:t>
      </w:r>
      <w:r>
        <w:rPr>
          <w:sz w:val="19"/>
          <w:vertAlign w:val="superscript"/>
        </w:rPr>
        <w:t>76</w:t>
      </w:r>
      <w:r>
        <w:t xml:space="preserve"> At the time of finalizing this volume, the confirmed death toll stood at 34,367, of which more than 13,800 were children and over 100 were journalists.</w:t>
      </w:r>
      <w:r>
        <w:rPr>
          <w:sz w:val="19"/>
          <w:vertAlign w:val="superscript"/>
        </w:rPr>
        <w:t>77</w:t>
      </w:r>
    </w:p>
    <w:p w14:paraId="67A5E3CD" w14:textId="77777777" w:rsidR="00D90ED2" w:rsidRDefault="00000000">
      <w:pPr>
        <w:spacing w:after="273"/>
        <w:ind w:left="0" w:right="0" w:firstLine="240"/>
      </w:pPr>
      <w:r>
        <w:t>Witnessing is a critical component to counteracting the power of platforms. It is a fundamental component of access. Access is not passive; it is an opportunity to be able to challenge structures of power that constitute how platforms are designed and imagined. Having data access allows one to be able to understand what data is being collected, recorded, labelled, and a consequence distributed to offer provides perspective in terms of what information can be considered valid and which must be disregarded – an epistemic choice, which is used to silence those who are already oppressed.</w:t>
      </w:r>
      <w:r>
        <w:rPr>
          <w:sz w:val="19"/>
          <w:vertAlign w:val="superscript"/>
        </w:rPr>
        <w:t>78</w:t>
      </w:r>
      <w:r>
        <w:t xml:space="preserve"> As Omar Suleiman writes, </w:t>
      </w:r>
    </w:p>
    <w:p w14:paraId="62212AA7" w14:textId="77777777" w:rsidR="00D90ED2" w:rsidRDefault="00000000">
      <w:pPr>
        <w:spacing w:after="308"/>
        <w:ind w:left="240" w:right="0" w:firstLine="0"/>
      </w:pPr>
      <w:r>
        <w:t>Open Apple, Google, or any other digital map. Type ‘Palestine’. You won’t find it. You will only find Israel. If you’re lucky, you may be directed to a small patchwork of what is called ‘Palestinian Territories’ firmly embedded inside Israel lest anyone mistakenly think it is an independent nation-state. And of course, you will find nowhere on any map the keyword that precedes Palestinian Territories to lay bare the ugly, but necessary and harrowing truth: ‘Occupied’.</w:t>
      </w:r>
      <w:r>
        <w:rPr>
          <w:sz w:val="18"/>
          <w:vertAlign w:val="superscript"/>
        </w:rPr>
        <w:t>79</w:t>
      </w:r>
    </w:p>
    <w:p w14:paraId="2D6E3A30" w14:textId="77777777" w:rsidR="00D90ED2" w:rsidRDefault="00000000">
      <w:pPr>
        <w:ind w:left="0" w:right="0" w:firstLine="0"/>
      </w:pPr>
      <w:r>
        <w:lastRenderedPageBreak/>
        <w:t>This is but one example of how we are witness to the ways in which platforms construct identities, legitimize versions of history, and dominate the lenses through which we are to view the world. Palestinian erasure is continually supported by platforms with accusations of shadow bans and blocking of several pro-Palestinian accounts.</w:t>
      </w:r>
      <w:r>
        <w:rPr>
          <w:sz w:val="19"/>
          <w:vertAlign w:val="superscript"/>
        </w:rPr>
        <w:t>80</w:t>
      </w:r>
      <w:r>
        <w:t xml:space="preserve"> It would be complete without the challenge to platforms by Palestinian people and others across the world who must subvert platforms by interspersing content on dispossession of lands, homes, and people with humour, and the like, completely unrelated to the conflict. </w:t>
      </w:r>
    </w:p>
    <w:p w14:paraId="78BAFE07" w14:textId="77777777" w:rsidR="00D90ED2" w:rsidRDefault="00000000">
      <w:pPr>
        <w:spacing w:after="39"/>
        <w:ind w:left="0" w:right="0" w:firstLine="240"/>
      </w:pPr>
      <w:r>
        <w:t>This is where witnessing is also important to challenge the epistemic power of platforms. This power, to draw from Miranda Fricker, can manifest in terms of who has the power to bear testimony (testimonial power), and whether their words are believed and acted upon, and a hermeneutical power where people’s capacities to understand themselves are impacted because of being denied the vocabulary to voice their experiences.</w:t>
      </w:r>
      <w:r>
        <w:rPr>
          <w:sz w:val="19"/>
          <w:vertAlign w:val="superscript"/>
        </w:rPr>
        <w:t>81</w:t>
      </w:r>
      <w:r>
        <w:t xml:space="preserve"> This power does not emerge in a vacuum but is deeply embedded in the political economy of where platforms operate and what regulatory power they seek to influence, or abide by. Numerous incidents in the past have shown that platforms such as Zoom have actively participated in censoring different voices. Through regulation such as anti-terrorism laws, it has sought to prevent Palestinian activists from speaking on university campuses. In China, it has been accused of violating its own policies to censor discussions about Tiananmen Square at the Chinese government’s request.</w:t>
      </w:r>
      <w:r>
        <w:rPr>
          <w:sz w:val="19"/>
          <w:vertAlign w:val="superscript"/>
        </w:rPr>
        <w:t>82</w:t>
      </w:r>
      <w:r>
        <w:t xml:space="preserve"> Social platforms not only thereby become gatekeepers to knowledge but also supersede the expertise housed within different domains such as academia to make such decisions.</w:t>
      </w:r>
      <w:r>
        <w:rPr>
          <w:sz w:val="19"/>
          <w:vertAlign w:val="superscript"/>
        </w:rPr>
        <w:t>83</w:t>
      </w:r>
    </w:p>
    <w:p w14:paraId="38B05465" w14:textId="77777777" w:rsidR="00D90ED2" w:rsidRDefault="00000000">
      <w:pPr>
        <w:ind w:left="0" w:right="0" w:firstLine="240"/>
      </w:pPr>
      <w:r>
        <w:t>In these different attempts to constrain access to digital infrastructures, the consequences are significant. This is because these platforms’ power not only comes from determining who gets to see what, but also from their infrastructural power and how they prevent anyone from observing their scale or operations, such as the logics for which posts get censored, shadow-banned, or removed. It is these complex and multidimensional power dynamics that ought to be factored into any (policy) debate on researcher access to data.</w:t>
      </w:r>
    </w:p>
    <w:p w14:paraId="5FA27849" w14:textId="2CDAA6EC" w:rsidR="00D90ED2" w:rsidRDefault="00000000">
      <w:pPr>
        <w:spacing w:after="296"/>
        <w:ind w:left="0" w:right="0" w:firstLine="240"/>
      </w:pPr>
      <w:r>
        <w:t xml:space="preserve">This volume brings together </w:t>
      </w:r>
      <w:r w:rsidR="00EB65C5">
        <w:t>8</w:t>
      </w:r>
      <w:r>
        <w:t xml:space="preserve"> different chapters within the theme of researchers’ access to data in and about digital infrastructures. The collection of chapters also demonstrates the wide variety of angles and issues involved when it comes to the governance and regulation of data access for research. Because of this diversity in angles, the chapters are distributed along three main parts: imaginations, limitations, and promises.</w:t>
      </w:r>
    </w:p>
    <w:p w14:paraId="76ED814D" w14:textId="77777777" w:rsidR="00D90ED2" w:rsidRDefault="00000000" w:rsidP="00F45F8E">
      <w:pPr>
        <w:pStyle w:val="Heading3"/>
      </w:pPr>
      <w:r>
        <w:lastRenderedPageBreak/>
        <w:t xml:space="preserve">Imaginations </w:t>
      </w:r>
    </w:p>
    <w:p w14:paraId="10865FAF" w14:textId="77777777" w:rsidR="00D90ED2" w:rsidRDefault="00000000">
      <w:pPr>
        <w:ind w:left="0" w:right="0" w:firstLine="0"/>
      </w:pPr>
      <w:r>
        <w:t>We do not take the contours of what data access is to be a given. Instead, we recognize that what it is and how it is understood are unique in the different chapters in this volume. The chapters in this part offer distinct imaginations of data access by exploring its relationship to research and, as a result, also adjacent issues related to governance, autonomy, rights, and practice. In chapter 2, ‘Re-Conceptualizing Governance Policies on Data Access for Research’, Carolina Aguerre helps us make sense of the plethora of national and international approaches to govern data access (for research), taking a polycentric governance lens. Her analysis reaches beyond traditional Euro-American perspectives, highlighting majority-of-the-world angles on two specific policy arenas: open science and AI strategies. The following chapter, ‘Violent Plains’, by Frank Kwaku Agyei, Lawrence Kwabena Brobbey, Paul Osei-Tutu, and Boateng Kyereh, pushes our imagination even further, exploring challenges and strategies for access to pastoralists’ data in Ghana. It offers a very concrete and gripping account of the many issues underlying the collection of data about (groups of) individuals in the first place. We see the chapter as an invitation to the academic community to self-reflect on over-reliance on available data, what is invisibilized, as well as various assumptions about data quality and universality.</w:t>
      </w:r>
    </w:p>
    <w:p w14:paraId="0E118808" w14:textId="6F305CEF" w:rsidR="00D90ED2" w:rsidRDefault="00000000">
      <w:pPr>
        <w:ind w:left="0" w:right="0" w:firstLine="240"/>
      </w:pPr>
      <w:r>
        <w:t>Through these different imaginations, the chapters in this part challenge us to think of ways of describing, categorizing, and institutionalizing what researchers can do in different contexts. The last chapter in this part also demonstrates this quite well. In chapter 4, ‘From Rights to Skills’, Midas Nouwens reflect</w:t>
      </w:r>
      <w:r w:rsidR="006D7C81">
        <w:t>s</w:t>
      </w:r>
      <w:r>
        <w:t xml:space="preserve"> on data access rights in relation to their role as </w:t>
      </w:r>
      <w:r w:rsidR="006D7C81">
        <w:t xml:space="preserve">an </w:t>
      </w:r>
      <w:r>
        <w:t>educator in higher education. Based on their teaching experiences, they propose a variety of ways for students to work with and critically reflect on data access rights, helping them to navigate and co-shape digital societies.</w:t>
      </w:r>
    </w:p>
    <w:p w14:paraId="519C4B02" w14:textId="77777777" w:rsidR="00D90ED2" w:rsidRDefault="00000000">
      <w:pPr>
        <w:spacing w:after="296"/>
        <w:ind w:left="0" w:right="0" w:firstLine="240"/>
      </w:pPr>
      <w:r>
        <w:t>In sum, the imaginations presented in the first part of the volume highlight multifarious aspects of the debate around data access in academic contexts. They invite us to reflect on who owes data access on the one hand and who is owed data access on the other. They help discuss the political economies within which such relations are created, the challenges of enabling and sustaining such access, and who benefits as a result of such data access, and they do so at different scales – from local in focus to transnational in scale – as well as speak to different epistemic communities such as universities, transnational organizations, pastoralists, and regulators.</w:t>
      </w:r>
    </w:p>
    <w:p w14:paraId="73F67D17" w14:textId="77777777" w:rsidR="00D90ED2" w:rsidRDefault="00000000" w:rsidP="00F45F8E">
      <w:pPr>
        <w:pStyle w:val="Heading3"/>
      </w:pPr>
      <w:r>
        <w:lastRenderedPageBreak/>
        <w:t>Limitations</w:t>
      </w:r>
    </w:p>
    <w:p w14:paraId="5229D4BD" w14:textId="77777777" w:rsidR="00D90ED2" w:rsidRDefault="00000000">
      <w:pPr>
        <w:ind w:left="0" w:right="0" w:firstLine="0"/>
      </w:pPr>
      <w:r>
        <w:t>Critical to our understanding of data access is the reality that just providing such access is insufficient. Access requires an enabling environment where people have the capacity, resources, skills, and time to use such access to achieve desirable outcomes. This part of the volume discusses various challenges both to the EU conceptualization of data access rights and more generally in terms of the challenges of researching digital platforms and infrastructures. It explores across contexts, both jurisdictional as well as domain-wide, how using data access for accountability and transparency requires more than just access rights and instead requires institutional capacity. Such capacity oftentimes is not available in academic and civil society institutions, and the chapters caution us whether access rights create dependencies on actors who do not have the capacity to be able to make use of the rights.</w:t>
      </w:r>
    </w:p>
    <w:p w14:paraId="29D33A64" w14:textId="14C6C27E" w:rsidR="00D90ED2" w:rsidRDefault="008E26BD">
      <w:pPr>
        <w:ind w:left="0" w:right="0" w:firstLine="240"/>
      </w:pPr>
      <w:r w:rsidRPr="008E26BD">
        <w:t>Chapter 5 looks at transparency and data access in the context of accountability of public authorities, specifically law enforcement and intelligence agencies. André Ramiro, Pedro Amaral, and Marcos César M. Pereira in chapter 6, ‘Keys Thrown Away?’, reflect on their own experience of conducting an empirical research project involving the strategic use of freedom of information laws in Brazil. This self-reflective study exposes important limitations to research into government surveillance infrastructures, through convoluted claims to secrecy. As such, the chapter</w:t>
      </w:r>
      <w:r w:rsidRPr="008E26BD">
        <w:rPr>
          <w:i/>
        </w:rPr>
        <w:t xml:space="preserve"> </w:t>
      </w:r>
      <w:r w:rsidRPr="008E26BD">
        <w:t>also shows us the dangers of ‘pretend-transparency’ for democratic oversight.</w:t>
      </w:r>
    </w:p>
    <w:p w14:paraId="2773DF1A" w14:textId="007AACEE" w:rsidR="00D90ED2" w:rsidRDefault="00000000" w:rsidP="008E26BD">
      <w:pPr>
        <w:ind w:left="0" w:right="0" w:firstLine="240"/>
      </w:pPr>
      <w:r>
        <w:t xml:space="preserve">While chapter </w:t>
      </w:r>
      <w:r w:rsidR="008E26BD">
        <w:t xml:space="preserve">5 </w:t>
      </w:r>
      <w:r>
        <w:t>focus</w:t>
      </w:r>
      <w:r w:rsidR="008E26BD">
        <w:t>es</w:t>
      </w:r>
      <w:r>
        <w:t xml:space="preserve"> on how researchers relate to accountability and democratic oversight dimensions of data access rules, the following chapter zooms in on the market-driven aspects of these rules. Chapter </w:t>
      </w:r>
      <w:r w:rsidR="008E26BD">
        <w:t>6</w:t>
      </w:r>
      <w:r>
        <w:t>, ‘Digging into the EU Data Laws and Their Impact on African Researchers’, by Paul Esselaar, explains the EU internal market focus of many new provisions, at the expense of researchers, especially those based outside the EU. Exploring the issues and constraints of a whole raft of new EU data access provisions, specifically in relation to African researchers, Esselaar reveals a darker side of the EU’s extraterritorial reach and the potentially perverse effects of these rules on data and research originating in the African continent.</w:t>
      </w:r>
    </w:p>
    <w:p w14:paraId="2342BAF2" w14:textId="1A67F226" w:rsidR="00D90ED2" w:rsidRDefault="00D90ED2" w:rsidP="008E26BD">
      <w:pPr>
        <w:spacing w:after="296"/>
        <w:ind w:left="0" w:right="0" w:firstLine="0"/>
      </w:pPr>
    </w:p>
    <w:p w14:paraId="520A88DD" w14:textId="77777777" w:rsidR="00D90ED2" w:rsidRDefault="00000000">
      <w:pPr>
        <w:pStyle w:val="Heading2"/>
        <w:ind w:left="-5"/>
      </w:pPr>
      <w:r>
        <w:t>Promises</w:t>
      </w:r>
    </w:p>
    <w:p w14:paraId="793173E7" w14:textId="77777777" w:rsidR="00D90ED2" w:rsidRDefault="00000000">
      <w:pPr>
        <w:ind w:left="0" w:right="0" w:firstLine="0"/>
      </w:pPr>
      <w:r>
        <w:t xml:space="preserve">In the last part of the volume, we are interested in unpacking various promises that emerge because of providing data access for research. The dominant presumption with data access is that it will have beneficial consequences for increased transparency, oversight, and accountability to the wider publics, </w:t>
      </w:r>
      <w:r>
        <w:lastRenderedPageBreak/>
        <w:t>especially when it comes to online platforms. As a result, such access would not only challenge informational asymmetries but also encourage more a meaningful understanding of, and participation in, the digital society. That also appears in much of the debate surrounding the barrage of new policy frameworks tackling the data economy. The chapters in this part take a closer look at different EU policy initiatives involving transparency and data access provisions. While hopeful in their outlook, the authors in these chapters also provide necessary nuance to policymakers’ claims. Importantly, they help us think through important issues and pitfalls, tracing concrete methods and practices for overcoming them.</w:t>
      </w:r>
    </w:p>
    <w:p w14:paraId="79385B27" w14:textId="7AC4B06C" w:rsidR="00D90ED2" w:rsidRDefault="00000000">
      <w:pPr>
        <w:ind w:left="0" w:right="0" w:firstLine="240"/>
      </w:pPr>
      <w:r>
        <w:t xml:space="preserve">Chapter </w:t>
      </w:r>
      <w:r w:rsidR="008E26BD">
        <w:t>7</w:t>
      </w:r>
      <w:r>
        <w:t xml:space="preserve">, ‘A Subject Access Request, Then What?’ by Jake Stein and Reuben Binns, does so by zooming in on data access promises in the context of platform workers. The chapter draws on participatory action research, incorporating legal and technical insights, to build a data architecture for platform worker empowerment. The authors are driven by an aspiration to design public-service data infrastructures, tackling hard questions on how workers, researchers, or other public-interest-driven groups may confront data structures that are imposed by powerful actors such as platform companies. In light of new and upcoming transparency requirements, notably in the EU, Stein and Binns turn the discussion towards lowering the barriers to data analytics for advocates in low-resource environments and propose a lightweight, queryable data institution which relies on existing open-source, unstructured data analytics infrastructures. Such data institutions form the focal point of the next chapter: chapter </w:t>
      </w:r>
      <w:r w:rsidR="008E26BD">
        <w:t>8</w:t>
      </w:r>
      <w:r>
        <w:t>, ‘Data Intermediaries for Good’, in which Matteo Nebbiai zooms in on the emergence of a particular type of data institution that emerged as a new legal category of actors in the EU’s Data Governance Act (DGA). So-called data intermediation services are hailed by the legislator as enabling data sharing between an undetermined number of data holders and users. Through a systematic analysis of 54 already existing data intermediary services, Nebbiai explores to what extent these actors also contribute to better access for research in particular.</w:t>
      </w:r>
    </w:p>
    <w:p w14:paraId="020DD923" w14:textId="7B051A2F" w:rsidR="00D90ED2" w:rsidRDefault="00000000">
      <w:pPr>
        <w:ind w:left="0" w:right="0" w:firstLine="240"/>
      </w:pPr>
      <w:r w:rsidRPr="008E26BD">
        <w:t>The next chapter take</w:t>
      </w:r>
      <w:r w:rsidR="008E26BD" w:rsidRPr="008E26BD">
        <w:t>s</w:t>
      </w:r>
      <w:r w:rsidRPr="008E26BD">
        <w:t xml:space="preserve"> a closer look at questions of researcher data access in the online platform context. Chapter </w:t>
      </w:r>
      <w:r w:rsidR="008E26BD" w:rsidRPr="008E26BD">
        <w:t>9</w:t>
      </w:r>
      <w:r w:rsidRPr="008E26BD">
        <w:t>, ‘From Discretion to Obligation?’ by Michalina Kowala, traces the legislative development of the EU’s 2018 and 2022 codes of practice on disinformation. Kowala autoethnographically identifies the key issues and shortcomings of researcher data access provisions in the code(s). As such, the chapter demonstrates the gap between theory and praxis when it comes to regulating data access for research, in a very concrete context.</w:t>
      </w:r>
      <w:r>
        <w:t xml:space="preserve"> </w:t>
      </w:r>
    </w:p>
    <w:p w14:paraId="684FD1D4" w14:textId="77777777" w:rsidR="00D90ED2" w:rsidRDefault="00000000">
      <w:pPr>
        <w:spacing w:after="252"/>
        <w:ind w:left="0" w:right="0" w:firstLine="240"/>
      </w:pPr>
      <w:r>
        <w:t xml:space="preserve">In sum, this part offers various ways in which the promises of data access regulation can be operationalized, for instance, by framing such access as a right </w:t>
      </w:r>
      <w:r>
        <w:lastRenderedPageBreak/>
        <w:t>to ensure that there are guarantees, but also by creating new institutional frameworks to encourage participation and collaborative communities for research. This part therefore provides pathways with which the goals and values associated with data access can be realized.</w:t>
      </w:r>
    </w:p>
    <w:p w14:paraId="5931A21C" w14:textId="77777777" w:rsidR="00D90ED2" w:rsidRDefault="00000000">
      <w:pPr>
        <w:spacing w:after="263" w:line="259" w:lineRule="auto"/>
        <w:ind w:left="0" w:firstLine="0"/>
        <w:jc w:val="center"/>
      </w:pPr>
      <w:r>
        <w:t>***</w:t>
      </w:r>
    </w:p>
    <w:p w14:paraId="6024F2D2" w14:textId="77777777" w:rsidR="00D90ED2" w:rsidRDefault="00000000">
      <w:pPr>
        <w:spacing w:after="338"/>
        <w:ind w:left="0" w:right="0" w:firstLine="0"/>
      </w:pPr>
      <w:r>
        <w:t>Finally, we hope this volume may provoke and incite readers to consider the many dimensions of researcher data access. Recent policy discussions have lauded the potential of the data economy, with little attention to deeper questions relating to data access in non-economic contexts or to broader political economy implications and shifting power dynamics. In this introductory chapter, we aimed to lift the veil on some of these broader issues that merit more attention. Notably, what are the underlying assumptions of ‘access’ and how does it inform how we think about data access in research contexts? How may academia – from the individual to the institutional levels – be complicit in structures of power and oppression? And what do these structures look like in the first place? As such, this chapter invites you, the reader, to reflect on your own positionality in relation to existing data access claims as well. We believe this to be a great starting point to peruse through the chapters in this book. Rather than giving a coherent or comprehensive account of the debate – which we do not deem possible in the first place! – the chapters expose us to very diverse perspectives and approaches: from the specific to the general, the local to the international, technical to legal, doctrinal to empirical. May they inspire you in your own academic practice.</w:t>
      </w:r>
    </w:p>
    <w:p w14:paraId="04845CA7" w14:textId="77777777" w:rsidR="00D90ED2" w:rsidRDefault="00000000" w:rsidP="00F45F8E">
      <w:pPr>
        <w:pStyle w:val="Heading3"/>
      </w:pPr>
      <w:r>
        <w:t>Notes</w:t>
      </w:r>
    </w:p>
    <w:p w14:paraId="64E31788" w14:textId="77777777" w:rsidR="00D90ED2" w:rsidRDefault="00000000">
      <w:pPr>
        <w:numPr>
          <w:ilvl w:val="0"/>
          <w:numId w:val="1"/>
        </w:numPr>
        <w:ind w:right="0" w:hanging="411"/>
      </w:pPr>
      <w:r>
        <w:t xml:space="preserve">See Axel Bruns, ‘After the “APIcalypse”: Social Media Platforms and Their Fight against Critical Scholarly Research’, </w:t>
      </w:r>
      <w:r>
        <w:rPr>
          <w:i/>
        </w:rPr>
        <w:t>Information, Communication and Society</w:t>
      </w:r>
      <w:r>
        <w:t xml:space="preserve"> 22, no. 11 (19 September 2019): 1544–1566; Daphne Keller and Paddy Leerssen, ‘Facts and Where to Find Them: Empirical Research on Internet Platforms and Content Moderation’, in </w:t>
      </w:r>
      <w:r>
        <w:rPr>
          <w:i/>
        </w:rPr>
        <w:t>Social Media and Democracy: The State of the Field and Prospects for Reform</w:t>
      </w:r>
      <w:r>
        <w:t xml:space="preserve">, ed. N. Persily and J. Tucker, 220–251 (Cambridge University Press, 2020); Jef Ausloos, Paddy Leerssen, and Pim ten Thije, </w:t>
      </w:r>
      <w:r>
        <w:rPr>
          <w:i/>
        </w:rPr>
        <w:t>Operationalizing Research Access in Platform Governance: What to Learn from Other Industries?</w:t>
      </w:r>
      <w:r>
        <w:t xml:space="preserve"> (Algoritm Watch, 2020); Eszter Hargittai, </w:t>
      </w:r>
      <w:r>
        <w:rPr>
          <w:i/>
        </w:rPr>
        <w:t>Research Exposed: How Empirical Social Science Gets Done in the Digital Age</w:t>
      </w:r>
      <w:r>
        <w:t xml:space="preserve"> (Columbia University Press, 2021).</w:t>
      </w:r>
    </w:p>
    <w:p w14:paraId="770AA454" w14:textId="77777777" w:rsidR="00D90ED2" w:rsidRDefault="00000000">
      <w:pPr>
        <w:numPr>
          <w:ilvl w:val="0"/>
          <w:numId w:val="1"/>
        </w:numPr>
        <w:ind w:right="0" w:hanging="411"/>
      </w:pPr>
      <w:r>
        <w:t xml:space="preserve">For a detailed overview of transparency and data access provisions in recent EU ‘data law’, see Jef Ausloos, Arlette Meiring, Doris Buijs, Mireille </w:t>
      </w:r>
      <w:r>
        <w:lastRenderedPageBreak/>
        <w:t xml:space="preserve">van Eechoud, Stefanie Boss, and Joanna Strycharz, </w:t>
      </w:r>
      <w:r>
        <w:rPr>
          <w:i/>
        </w:rPr>
        <w:t>Information Law and the Digital Transformation of the University</w:t>
      </w:r>
      <w:r>
        <w:t xml:space="preserve">, pt 2: </w:t>
      </w:r>
      <w:r>
        <w:rPr>
          <w:i/>
        </w:rPr>
        <w:t>Access to Data for Research</w:t>
      </w:r>
      <w:r>
        <w:t>, 15 September 2023 (Institute for Information Law, University of Amsterdam), https://www.uva.nl/en/about-the-uva/policy-and-regulations/ general/preserving-digital-sovereignty-of-universities-and-researchers/ preserving-digital-sovereignty-of-universities-and-researchers.html (27 November 2024).</w:t>
      </w:r>
    </w:p>
    <w:p w14:paraId="6E4F283E" w14:textId="77777777" w:rsidR="00D90ED2" w:rsidRDefault="00000000">
      <w:pPr>
        <w:numPr>
          <w:ilvl w:val="0"/>
          <w:numId w:val="1"/>
        </w:numPr>
        <w:ind w:right="0" w:hanging="411"/>
      </w:pPr>
      <w:r>
        <w:t xml:space="preserve">See, in this regard, also Celine-Marie Pascale, ‘Epistemology and the Politics of Knowledge’, </w:t>
      </w:r>
      <w:r>
        <w:rPr>
          <w:i/>
        </w:rPr>
        <w:t>Sociological Review</w:t>
      </w:r>
      <w:r>
        <w:t xml:space="preserve"> 154, no. 58 (2010): 154–165, 163.</w:t>
      </w:r>
    </w:p>
    <w:p w14:paraId="6DC7CAC8" w14:textId="77777777" w:rsidR="00D90ED2" w:rsidRDefault="00000000">
      <w:pPr>
        <w:numPr>
          <w:ilvl w:val="0"/>
          <w:numId w:val="1"/>
        </w:numPr>
        <w:spacing w:after="8" w:line="268" w:lineRule="auto"/>
        <w:ind w:right="0" w:hanging="411"/>
      </w:pPr>
      <w:r>
        <w:t xml:space="preserve">Diana E. Forsythe and David J. Hess, </w:t>
      </w:r>
      <w:r>
        <w:rPr>
          <w:i/>
        </w:rPr>
        <w:t>Studying Those Who Study Us: An Anthropologist in the World of Artificial Intelligence</w:t>
      </w:r>
      <w:r>
        <w:t xml:space="preserve"> (Stanford University Press, 2001), xix.</w:t>
      </w:r>
    </w:p>
    <w:p w14:paraId="24BB4907" w14:textId="77777777" w:rsidR="00D90ED2" w:rsidRDefault="00000000">
      <w:pPr>
        <w:numPr>
          <w:ilvl w:val="0"/>
          <w:numId w:val="1"/>
        </w:numPr>
        <w:ind w:right="0" w:hanging="411"/>
      </w:pPr>
      <w:r>
        <w:t xml:space="preserve">Joan Lopez Solano, Aaron Martin, Siddharth de Souza, and Linnet Taylor, </w:t>
      </w:r>
      <w:r>
        <w:rPr>
          <w:i/>
        </w:rPr>
        <w:t>Governing Data and Artificial Intelligence for All: Models for Sustainable and Just Data Governance</w:t>
      </w:r>
      <w:r>
        <w:t xml:space="preserve"> (European Parliament, 2022); Amber Sinha and Arindrajit Basu, ‘Why Metaphors for Data Matter’, Bot Populi, 13 August 2021, https://botpopuli.net/?post_type=post&amp;p=4069 (accessed 11 September 2023).</w:t>
      </w:r>
    </w:p>
    <w:p w14:paraId="3FED5A73" w14:textId="77777777" w:rsidR="00D90ED2" w:rsidRDefault="00000000">
      <w:pPr>
        <w:numPr>
          <w:ilvl w:val="0"/>
          <w:numId w:val="1"/>
        </w:numPr>
        <w:ind w:right="0" w:hanging="411"/>
      </w:pPr>
      <w:r>
        <w:t>Nadezhda Purtova and Gijs van Maanen, ‘Data as an Economic Good, Data as a Commons, and Data Governance’, arXiv, 18 April 2023, http://arxiv. org/abs/2212.10244 (accessed 15 November 2023); Anita Gurumurthy and Nandini Chami, ‘Governing the Resource of Data: To What End and for Whom? Conceptual Building Blocks of a Semi-Commons Approach’, Data Governance Network Working Paper 23, 2022, https://itforchange.net/sites/ default/files/1741/WP23-Governing-the-Resource-of-Data-AG-NC.pdf (accessed 19 December 2024).</w:t>
      </w:r>
    </w:p>
    <w:p w14:paraId="0FB3BD81" w14:textId="77777777" w:rsidR="00D90ED2" w:rsidRDefault="00000000">
      <w:pPr>
        <w:numPr>
          <w:ilvl w:val="0"/>
          <w:numId w:val="1"/>
        </w:numPr>
        <w:ind w:right="0" w:hanging="411"/>
      </w:pPr>
      <w:r>
        <w:t xml:space="preserve">Solano, Martin, de Souza, and Taylor, </w:t>
      </w:r>
      <w:r>
        <w:rPr>
          <w:i/>
        </w:rPr>
        <w:t xml:space="preserve">Governing Data and Artificial </w:t>
      </w:r>
    </w:p>
    <w:p w14:paraId="7D79BB87" w14:textId="77777777" w:rsidR="00D90ED2" w:rsidRDefault="00000000">
      <w:pPr>
        <w:spacing w:after="8" w:line="268" w:lineRule="auto"/>
        <w:ind w:left="460" w:right="0" w:firstLine="0"/>
      </w:pPr>
      <w:r>
        <w:rPr>
          <w:i/>
        </w:rPr>
        <w:t>Intelligence for All</w:t>
      </w:r>
      <w:r>
        <w:t xml:space="preserve">. </w:t>
      </w:r>
    </w:p>
    <w:p w14:paraId="421C16B0" w14:textId="77777777" w:rsidR="00D90ED2" w:rsidRDefault="00000000">
      <w:pPr>
        <w:numPr>
          <w:ilvl w:val="0"/>
          <w:numId w:val="1"/>
        </w:numPr>
        <w:ind w:right="0" w:hanging="411"/>
      </w:pPr>
      <w:r>
        <w:t xml:space="preserve">Tahu Kukutai and John Taylor, </w:t>
      </w:r>
      <w:r>
        <w:rPr>
          <w:i/>
        </w:rPr>
        <w:t>Indigenous Data Sovereignty: Toward an Agenda</w:t>
      </w:r>
      <w:r>
        <w:t xml:space="preserve"> (ANU Press, 2016).</w:t>
      </w:r>
    </w:p>
    <w:p w14:paraId="4A9F4650" w14:textId="77777777" w:rsidR="00D90ED2" w:rsidRDefault="00000000">
      <w:pPr>
        <w:numPr>
          <w:ilvl w:val="0"/>
          <w:numId w:val="1"/>
        </w:numPr>
        <w:ind w:right="0" w:hanging="411"/>
      </w:pPr>
      <w:r>
        <w:t xml:space="preserve">Stephanie Russo Carroll, Ibrahim Garba, Oscar L. Figueroa-Rodríguez, Jarita Holbrook, Raymond Lovett, Simeon Materechera, Mark Parsons, Kay Raseroka, Desi Rodriguez-Lonebear, Robyn Rowe, Rodrigo Sara, Jennifer D. Walker, Jane Anderson, and Maui Hudson, ‘The CARE Principles for Indigenous Data Governance’, </w:t>
      </w:r>
      <w:r>
        <w:rPr>
          <w:i/>
        </w:rPr>
        <w:t>Data Science Journal</w:t>
      </w:r>
      <w:r>
        <w:t xml:space="preserve"> 43, no. 19 (2020) 1–12, DOI: https://doi.org/10.5334/dsj-2020-043. </w:t>
      </w:r>
    </w:p>
    <w:p w14:paraId="5B5945E0" w14:textId="77777777" w:rsidR="00D90ED2" w:rsidRDefault="00000000">
      <w:pPr>
        <w:numPr>
          <w:ilvl w:val="0"/>
          <w:numId w:val="1"/>
        </w:numPr>
        <w:ind w:right="0" w:hanging="411"/>
      </w:pPr>
      <w:r>
        <w:t xml:space="preserve">Tahu Kukutai, ‘Indigenous Data Sovereignty: A New Take on an Old Theme’, </w:t>
      </w:r>
    </w:p>
    <w:p w14:paraId="0ADA81EA" w14:textId="77777777" w:rsidR="00D90ED2" w:rsidRDefault="00000000">
      <w:pPr>
        <w:ind w:left="460" w:right="0" w:firstLine="0"/>
      </w:pPr>
      <w:r>
        <w:rPr>
          <w:i/>
        </w:rPr>
        <w:lastRenderedPageBreak/>
        <w:t xml:space="preserve">Science </w:t>
      </w:r>
      <w:r>
        <w:t>382, no. 6674, DOI: 10.1126/science.adl4664.</w:t>
      </w:r>
    </w:p>
    <w:p w14:paraId="7BB691D2" w14:textId="77777777" w:rsidR="00D90ED2" w:rsidRDefault="00000000">
      <w:pPr>
        <w:numPr>
          <w:ilvl w:val="0"/>
          <w:numId w:val="1"/>
        </w:numPr>
        <w:ind w:right="0" w:hanging="411"/>
      </w:pPr>
      <w:r>
        <w:t>We Are Not Numbers, ‘About’, https://wearenotnumbers.org/about (accessed 15 November 2023).</w:t>
      </w:r>
    </w:p>
    <w:p w14:paraId="26051EC0" w14:textId="77777777" w:rsidR="00D90ED2" w:rsidRDefault="00000000">
      <w:pPr>
        <w:numPr>
          <w:ilvl w:val="0"/>
          <w:numId w:val="1"/>
        </w:numPr>
        <w:ind w:right="0" w:hanging="411"/>
      </w:pPr>
      <w:r>
        <w:t xml:space="preserve">Yuval Abaraham discusses how artificial intelligence (AI) is being used to identify assassination targets amongst people in Gaza, with little human oversight, creating a mass killing machine. Yuval Abraham, ‘“Lavender”: The AI Machine Directing Israel’s Bombing Spree in Gaza’, </w:t>
      </w:r>
      <w:r>
        <w:rPr>
          <w:i/>
        </w:rPr>
        <w:t>+972 Magazine</w:t>
      </w:r>
      <w:r>
        <w:t>, 3 April 2024, https://www.972mag.com/lavender-ai-israeli-army-gaza (accessed 12 May 2024).</w:t>
      </w:r>
    </w:p>
    <w:p w14:paraId="2D797029" w14:textId="77777777" w:rsidR="00D90ED2" w:rsidRDefault="00000000">
      <w:pPr>
        <w:numPr>
          <w:ilvl w:val="0"/>
          <w:numId w:val="1"/>
        </w:numPr>
        <w:ind w:right="0" w:hanging="411"/>
      </w:pPr>
      <w:r>
        <w:t xml:space="preserve">Lisa Gitelman, </w:t>
      </w:r>
      <w:r>
        <w:rPr>
          <w:i/>
        </w:rPr>
        <w:t>‘Raw Data’ Is an Oxymoron</w:t>
      </w:r>
      <w:r>
        <w:t xml:space="preserve"> (MIT Press, 2013).</w:t>
      </w:r>
    </w:p>
    <w:p w14:paraId="26D0A884" w14:textId="77777777" w:rsidR="00D90ED2" w:rsidRDefault="00000000">
      <w:pPr>
        <w:numPr>
          <w:ilvl w:val="0"/>
          <w:numId w:val="1"/>
        </w:numPr>
        <w:ind w:right="0" w:hanging="411"/>
      </w:pPr>
      <w:r>
        <w:t>Julian Alberto Posada Gutierrez, ‘The Coloniality of Data Work: Power and Inequality in Outsourced Data Production for Machine Learning’, thesis, University of Toronto, November 2022, https://tspace.library.utoronto.ca/ handle/1807/126388 (accessed 9 October 2023).</w:t>
      </w:r>
    </w:p>
    <w:p w14:paraId="2DDD9EB4" w14:textId="77777777" w:rsidR="00D90ED2" w:rsidRDefault="00000000">
      <w:pPr>
        <w:numPr>
          <w:ilvl w:val="0"/>
          <w:numId w:val="1"/>
        </w:numPr>
        <w:ind w:right="0" w:hanging="411"/>
      </w:pPr>
      <w:r>
        <w:t xml:space="preserve">Billy Perrigo, ‘OpenAI Used Kenyan Workers on Less than $2 Per Hour: Exclusive’, </w:t>
      </w:r>
      <w:r>
        <w:rPr>
          <w:i/>
        </w:rPr>
        <w:t>Time</w:t>
      </w:r>
      <w:r>
        <w:t>, 18 January 2023, https://time.com/6247678/openaichatgpt-kenya-workers (accessed 8 August 2023).</w:t>
      </w:r>
    </w:p>
    <w:p w14:paraId="2A1E358F" w14:textId="77777777" w:rsidR="00D90ED2" w:rsidRDefault="00000000">
      <w:pPr>
        <w:numPr>
          <w:ilvl w:val="0"/>
          <w:numId w:val="1"/>
        </w:numPr>
        <w:ind w:right="0" w:hanging="411"/>
      </w:pPr>
      <w:r>
        <w:t xml:space="preserve">Birgitta Bergvall-Kåreborn and Debra Howcroft, ‘Amazon Mechanical Turk and the Commodification of Labour’ </w:t>
      </w:r>
      <w:r>
        <w:rPr>
          <w:i/>
        </w:rPr>
        <w:t>New Technology, Work and Employment</w:t>
      </w:r>
      <w:r>
        <w:t xml:space="preserve"> 213, no. 29 (2014): 213–223.</w:t>
      </w:r>
    </w:p>
    <w:p w14:paraId="63F98471" w14:textId="77777777" w:rsidR="00D90ED2" w:rsidRDefault="00000000">
      <w:pPr>
        <w:numPr>
          <w:ilvl w:val="0"/>
          <w:numId w:val="1"/>
        </w:numPr>
        <w:ind w:right="0" w:hanging="411"/>
      </w:pPr>
      <w:r>
        <w:t xml:space="preserve">Linnet Taylor, Luciano Floridi and Bart van der Sloot (eds.), </w:t>
      </w:r>
      <w:r>
        <w:rPr>
          <w:i/>
        </w:rPr>
        <w:t>Group Privacy: New Challenges of Data Technologies</w:t>
      </w:r>
      <w:r>
        <w:t xml:space="preserve"> (Springer International Publishing, 2017).</w:t>
      </w:r>
    </w:p>
    <w:p w14:paraId="765AC68D" w14:textId="77777777" w:rsidR="00D90ED2" w:rsidRDefault="00000000">
      <w:pPr>
        <w:numPr>
          <w:ilvl w:val="0"/>
          <w:numId w:val="1"/>
        </w:numPr>
        <w:ind w:right="0" w:hanging="411"/>
      </w:pPr>
      <w:r>
        <w:t xml:space="preserve">Salome Viljoen, ‘A Relational Theory of Data Governance’, SSRN Scholarly Paper ID 3727562, Social Science Research Network, https://papers.ssrn. com/abstract=3727562 (accessed 19 October 2021). </w:t>
      </w:r>
    </w:p>
    <w:p w14:paraId="138017D2" w14:textId="77777777" w:rsidR="00D90ED2" w:rsidRDefault="00000000">
      <w:pPr>
        <w:numPr>
          <w:ilvl w:val="0"/>
          <w:numId w:val="1"/>
        </w:numPr>
        <w:ind w:right="0" w:hanging="411"/>
      </w:pPr>
      <w:r>
        <w:t xml:space="preserve">Daniel M. Brinks, ‘Access to What? Legal Agency and Access to Justice for Indigenous Peoples in Latin America’, </w:t>
      </w:r>
      <w:r>
        <w:rPr>
          <w:i/>
        </w:rPr>
        <w:t>Journal of Development Studies</w:t>
      </w:r>
      <w:r>
        <w:t xml:space="preserve"> 348, no. 55 (2019): 348–365; Siddharth Peter de Souza, ‘A Capability Approach to Access to Justice in Plural Legal Systems’, in </w:t>
      </w:r>
      <w:r>
        <w:rPr>
          <w:i/>
        </w:rPr>
        <w:t>Designing Indicators for a Plural Legal World</w:t>
      </w:r>
      <w:r>
        <w:t xml:space="preserve">, by Siddharth Peter de Souza, 164–203 (Cambridge University Press, 2022). </w:t>
      </w:r>
    </w:p>
    <w:p w14:paraId="341E8BDC" w14:textId="77777777" w:rsidR="00D90ED2" w:rsidRDefault="00000000">
      <w:pPr>
        <w:numPr>
          <w:ilvl w:val="0"/>
          <w:numId w:val="1"/>
        </w:numPr>
        <w:ind w:right="0" w:hanging="411"/>
      </w:pPr>
      <w:r>
        <w:t xml:space="preserve">Miranda Fricker, ‘Introduction’, in </w:t>
      </w:r>
      <w:r>
        <w:rPr>
          <w:i/>
        </w:rPr>
        <w:t>Epistemic Injustice: Power and the Ethics of Knowing</w:t>
      </w:r>
      <w:r>
        <w:t xml:space="preserve">, by Miranda Fricker, 1–8 (Oxford University Press, 2007); Sabelo J. Ndlovu-Gatsheni, ‘Introduction: Seek Ye Epistemic Freedom First’, in </w:t>
      </w:r>
      <w:r>
        <w:rPr>
          <w:i/>
        </w:rPr>
        <w:t>Epistemic Freedom in Africa</w:t>
      </w:r>
      <w:r>
        <w:t>, by Sabelo J. Ndlovu-Gatsheni, 1–41 (Routledge 2018).</w:t>
      </w:r>
    </w:p>
    <w:p w14:paraId="12E85615" w14:textId="77777777" w:rsidR="00D90ED2" w:rsidRDefault="00000000">
      <w:pPr>
        <w:numPr>
          <w:ilvl w:val="0"/>
          <w:numId w:val="1"/>
        </w:numPr>
        <w:ind w:right="0" w:hanging="411"/>
      </w:pPr>
      <w:r>
        <w:lastRenderedPageBreak/>
        <w:t xml:space="preserve">Hazel Genn, ‘The Landscape of Justiciable Problems’, in </w:t>
      </w:r>
      <w:r>
        <w:rPr>
          <w:i/>
        </w:rPr>
        <w:t>Paths to Justice: What People Do and Think about Going to Law</w:t>
      </w:r>
      <w:r>
        <w:t xml:space="preserve">, by Hazel Genn and Sarah Beinart, 21–66 (Hart Publishing, 1999); Pascoe Pleasence, Nigel Balmer, and Rebecca Sandefur, ‘Paths to Justice: A Past, Present and Future Roadmap’, Nuffield Foundation, 2013, https://www.nuffieldfoundation.org/sites/ default/files/files/PTJ%20Roadmap%20NUFFIELD%20Published.pdf (accessed 19 December 2024). </w:t>
      </w:r>
    </w:p>
    <w:p w14:paraId="763B3154" w14:textId="77777777" w:rsidR="00D90ED2" w:rsidRDefault="00000000">
      <w:pPr>
        <w:numPr>
          <w:ilvl w:val="0"/>
          <w:numId w:val="1"/>
        </w:numPr>
        <w:spacing w:after="8" w:line="268" w:lineRule="auto"/>
        <w:ind w:right="0" w:hanging="411"/>
      </w:pPr>
      <w:r>
        <w:t>See, for example, Ausloos, Meiring, Buijs, van Eechoud, Boss, and Strycharz</w:t>
      </w:r>
      <w:r>
        <w:rPr>
          <w:i/>
        </w:rPr>
        <w:t>, Information Law and the Digital Transformation of the University</w:t>
      </w:r>
      <w:r>
        <w:t xml:space="preserve">, pt 2: </w:t>
      </w:r>
      <w:r>
        <w:rPr>
          <w:i/>
        </w:rPr>
        <w:t>Access to Data for Research</w:t>
      </w:r>
      <w:r>
        <w:t>.</w:t>
      </w:r>
    </w:p>
    <w:p w14:paraId="57E04B37" w14:textId="77777777" w:rsidR="00D90ED2" w:rsidRDefault="00000000">
      <w:pPr>
        <w:numPr>
          <w:ilvl w:val="0"/>
          <w:numId w:val="1"/>
        </w:numPr>
        <w:ind w:right="0" w:hanging="411"/>
      </w:pPr>
      <w:r>
        <w:t xml:space="preserve">Jef Ausloos and Pierre Dewitte, ‘Shattering One-Way Mirrors: Data Subject Access Rights in Practice’, </w:t>
      </w:r>
      <w:r>
        <w:rPr>
          <w:i/>
        </w:rPr>
        <w:t>International Data Privacy Law</w:t>
      </w:r>
      <w:r>
        <w:t xml:space="preserve"> 4, no. 8 (2018): 4–28; René Mahieu, Jef Ausloos, and Michael Veale, ‘Getting Data Subject Rights Right’, LawArXiv, 2019, preprint, https://osf.io/e2thg (accessed 15 November 2023).</w:t>
      </w:r>
    </w:p>
    <w:p w14:paraId="52B265CE" w14:textId="77777777" w:rsidR="00D90ED2" w:rsidRDefault="00000000">
      <w:pPr>
        <w:numPr>
          <w:ilvl w:val="0"/>
          <w:numId w:val="1"/>
        </w:numPr>
        <w:ind w:right="0" w:hanging="411"/>
      </w:pPr>
      <w:r>
        <w:t xml:space="preserve">Linda Tuhiwai Smith, ‘Introduction’, in </w:t>
      </w:r>
      <w:r>
        <w:rPr>
          <w:i/>
        </w:rPr>
        <w:t>Decolonizing Methodologies: Research and Indigenous Peoples</w:t>
      </w:r>
      <w:r>
        <w:t>, by Linda Tuhiwai Smith, 1–18 (ZED Books 2012).</w:t>
      </w:r>
    </w:p>
    <w:p w14:paraId="20F86E19" w14:textId="77777777" w:rsidR="00D90ED2" w:rsidRDefault="00000000">
      <w:pPr>
        <w:numPr>
          <w:ilvl w:val="0"/>
          <w:numId w:val="1"/>
        </w:numPr>
        <w:ind w:right="0" w:hanging="411"/>
      </w:pPr>
      <w:r>
        <w:t xml:space="preserve">Edward W. Said, </w:t>
      </w:r>
      <w:r>
        <w:rPr>
          <w:i/>
        </w:rPr>
        <w:t>Orientalism</w:t>
      </w:r>
      <w:r>
        <w:t xml:space="preserve"> (Knopf Doubleday, 2014).</w:t>
      </w:r>
    </w:p>
    <w:p w14:paraId="75A47BE3" w14:textId="77777777" w:rsidR="00D90ED2" w:rsidRDefault="00000000">
      <w:pPr>
        <w:numPr>
          <w:ilvl w:val="0"/>
          <w:numId w:val="1"/>
        </w:numPr>
        <w:ind w:right="0" w:hanging="411"/>
      </w:pPr>
      <w:r>
        <w:t xml:space="preserve">Amartya Sen, </w:t>
      </w:r>
      <w:r>
        <w:rPr>
          <w:i/>
        </w:rPr>
        <w:t>The Idea of Justice</w:t>
      </w:r>
      <w:r>
        <w:t xml:space="preserve"> (Harvard University Press, 2011); Amartya Sen, ‘Human Rights and Capabilities’, </w:t>
      </w:r>
      <w:r>
        <w:rPr>
          <w:i/>
        </w:rPr>
        <w:t>Journal of Human Development</w:t>
      </w:r>
      <w:r>
        <w:t xml:space="preserve"> 151, no. 6 (2005): 151–166.</w:t>
      </w:r>
    </w:p>
    <w:p w14:paraId="4231A641" w14:textId="77777777" w:rsidR="00D90ED2" w:rsidRDefault="00000000">
      <w:pPr>
        <w:numPr>
          <w:ilvl w:val="0"/>
          <w:numId w:val="1"/>
        </w:numPr>
        <w:ind w:right="0" w:hanging="411"/>
      </w:pPr>
      <w:r>
        <w:t xml:space="preserve">Wendy Nelson Espeland and Mitchell L. Stevens, ‘Commensuration as a Social Process’, </w:t>
      </w:r>
      <w:r>
        <w:rPr>
          <w:i/>
        </w:rPr>
        <w:t>Annual Review of Sociology</w:t>
      </w:r>
      <w:r>
        <w:t xml:space="preserve"> 313, no. 24 (1998): 313–343; </w:t>
      </w:r>
    </w:p>
    <w:p w14:paraId="05C3EFF2" w14:textId="77777777" w:rsidR="00D90ED2" w:rsidRDefault="00000000">
      <w:pPr>
        <w:ind w:left="460" w:right="0" w:firstLine="0"/>
      </w:pPr>
      <w:r>
        <w:t xml:space="preserve">Sally Engle Merry, </w:t>
      </w:r>
      <w:r>
        <w:rPr>
          <w:i/>
        </w:rPr>
        <w:t>The Seductions of Quantification: Measuring Human Rights, Gender Violence, and Sex Trafficking</w:t>
      </w:r>
      <w:r>
        <w:t xml:space="preserve"> (University of Chicago Press, 2016); Siddharth Peter de Souza, ‘“Meanings”, “Trust” and “Power”: Critical Perspectives on Legal Indicators’, in </w:t>
      </w:r>
      <w:r>
        <w:rPr>
          <w:i/>
        </w:rPr>
        <w:t>Designing Indicators for a Plural Legal World</w:t>
      </w:r>
      <w:r>
        <w:t>, by Siddharth Peter de Souza, 20–50 (Cambridge University Press, 2022).</w:t>
      </w:r>
    </w:p>
    <w:p w14:paraId="48D8D2B5" w14:textId="77777777" w:rsidR="00D90ED2" w:rsidRDefault="00000000">
      <w:pPr>
        <w:numPr>
          <w:ilvl w:val="0"/>
          <w:numId w:val="1"/>
        </w:numPr>
        <w:ind w:right="0" w:hanging="411"/>
      </w:pPr>
      <w:r>
        <w:t xml:space="preserve">Sally Engle Merry, ‘Measuring the World: Indicators, Human Rights, and Global Governance’, </w:t>
      </w:r>
      <w:r>
        <w:rPr>
          <w:i/>
        </w:rPr>
        <w:t>Current Anthropology</w:t>
      </w:r>
      <w:r>
        <w:t xml:space="preserve"> S83, no. 52 (2011): S83–S95.</w:t>
      </w:r>
    </w:p>
    <w:p w14:paraId="411841A5" w14:textId="77777777" w:rsidR="00D90ED2" w:rsidRDefault="00000000">
      <w:pPr>
        <w:numPr>
          <w:ilvl w:val="0"/>
          <w:numId w:val="1"/>
        </w:numPr>
        <w:ind w:right="0" w:hanging="411"/>
      </w:pPr>
      <w:r>
        <w:t xml:space="preserve">Wendy Espeland, ‘Narrating Numbers’, in </w:t>
      </w:r>
      <w:r>
        <w:rPr>
          <w:i/>
        </w:rPr>
        <w:t>The World of Indicators: The Making of Governmental Knowledge through Quantification</w:t>
      </w:r>
      <w:r>
        <w:t>, ed. Richard Rottenburg, Sally E. Merry, Sung-Joon Park, and Johanna Mugler, 56–75 (Cambridge University Press, 2015).</w:t>
      </w:r>
    </w:p>
    <w:p w14:paraId="5A9B3340" w14:textId="77777777" w:rsidR="00D90ED2" w:rsidRDefault="00000000">
      <w:pPr>
        <w:numPr>
          <w:ilvl w:val="0"/>
          <w:numId w:val="1"/>
        </w:numPr>
        <w:ind w:right="0" w:hanging="411"/>
      </w:pPr>
      <w:r>
        <w:t xml:space="preserve">Boaventura de Sousa Santos, ‘Introduction: Why the Epistemologies of the South? Artisanal Paths for Artisanal Futures’, in </w:t>
      </w:r>
      <w:r>
        <w:rPr>
          <w:i/>
        </w:rPr>
        <w:t xml:space="preserve">The End of the Cognitive </w:t>
      </w:r>
      <w:r>
        <w:rPr>
          <w:i/>
        </w:rPr>
        <w:lastRenderedPageBreak/>
        <w:t>Empire:The Coming of Age of Epistemologies of the South</w:t>
      </w:r>
      <w:r>
        <w:t>, by Boaventura de Sousa Santos, 1–16 (Duke University Press, 2018).</w:t>
      </w:r>
    </w:p>
    <w:p w14:paraId="0F0A1610" w14:textId="77777777" w:rsidR="00D90ED2" w:rsidRDefault="00000000">
      <w:pPr>
        <w:numPr>
          <w:ilvl w:val="0"/>
          <w:numId w:val="1"/>
        </w:numPr>
        <w:spacing w:after="8" w:line="268" w:lineRule="auto"/>
        <w:ind w:right="0" w:hanging="411"/>
      </w:pPr>
      <w:r>
        <w:t xml:space="preserve">David Beer, </w:t>
      </w:r>
      <w:r>
        <w:rPr>
          <w:i/>
        </w:rPr>
        <w:t>The Data Gaze: Capitalism, Power and Perception</w:t>
      </w:r>
      <w:r>
        <w:t xml:space="preserve"> (Sage Publishing, 2019).</w:t>
      </w:r>
    </w:p>
    <w:p w14:paraId="10FD284D" w14:textId="77777777" w:rsidR="00D90ED2" w:rsidRDefault="00000000">
      <w:pPr>
        <w:numPr>
          <w:ilvl w:val="0"/>
          <w:numId w:val="1"/>
        </w:numPr>
        <w:ind w:right="0" w:hanging="411"/>
      </w:pPr>
      <w:r>
        <w:t xml:space="preserve">Nick Srnicek, </w:t>
      </w:r>
      <w:r>
        <w:rPr>
          <w:i/>
        </w:rPr>
        <w:t>Platform Capitalism</w:t>
      </w:r>
      <w:r>
        <w:t xml:space="preserve"> (John Wiley &amp; Sons, 2017).</w:t>
      </w:r>
    </w:p>
    <w:p w14:paraId="5AFFC632" w14:textId="77777777" w:rsidR="00D90ED2" w:rsidRDefault="00000000">
      <w:pPr>
        <w:numPr>
          <w:ilvl w:val="0"/>
          <w:numId w:val="1"/>
        </w:numPr>
        <w:spacing w:after="8" w:line="268" w:lineRule="auto"/>
        <w:ind w:right="0" w:hanging="411"/>
      </w:pPr>
      <w:r>
        <w:t xml:space="preserve">Julie E. Cohen, </w:t>
      </w:r>
      <w:r>
        <w:rPr>
          <w:i/>
        </w:rPr>
        <w:t>Between Truth and Power: The Legal Constructions of Informational Capitalism</w:t>
      </w:r>
      <w:r>
        <w:t xml:space="preserve"> (Oxford University Press, 2019).</w:t>
      </w:r>
    </w:p>
    <w:p w14:paraId="21635D28" w14:textId="77777777" w:rsidR="00D90ED2" w:rsidRDefault="00000000">
      <w:pPr>
        <w:numPr>
          <w:ilvl w:val="0"/>
          <w:numId w:val="1"/>
        </w:numPr>
        <w:spacing w:after="8" w:line="268" w:lineRule="auto"/>
        <w:ind w:right="0" w:hanging="411"/>
      </w:pPr>
      <w:r>
        <w:t xml:space="preserve">Shoshana Zuboff, </w:t>
      </w:r>
      <w:r>
        <w:rPr>
          <w:i/>
        </w:rPr>
        <w:t>The Age of Surveillance Capitalism: The Fight for a Human Future at the New Frontier of Power</w:t>
      </w:r>
      <w:r>
        <w:t xml:space="preserve"> (Profile Books, 2019). </w:t>
      </w:r>
    </w:p>
    <w:p w14:paraId="7BF99E12" w14:textId="77777777" w:rsidR="00D90ED2" w:rsidRDefault="00000000">
      <w:pPr>
        <w:numPr>
          <w:ilvl w:val="0"/>
          <w:numId w:val="1"/>
        </w:numPr>
        <w:ind w:right="0" w:hanging="411"/>
      </w:pPr>
      <w:r>
        <w:t>Gitelman,</w:t>
      </w:r>
      <w:r>
        <w:rPr>
          <w:i/>
        </w:rPr>
        <w:t>‘Raw Data’ is an Oxymoron</w:t>
      </w:r>
      <w:r>
        <w:t xml:space="preserve">; Rob Kitchin and Tracey Lauriault, ‘Towards Critical Data Studies: Charting and Unpacking Data Assemblages and Their Work’, in </w:t>
      </w:r>
      <w:r>
        <w:rPr>
          <w:i/>
        </w:rPr>
        <w:t>Thinking Big Data in Geography</w:t>
      </w:r>
      <w:r>
        <w:t xml:space="preserve">, ed. J. Thatcher, J. Eckert, and A. Shears, 3–20 (University of Nebraska Press, 2018). </w:t>
      </w:r>
    </w:p>
    <w:p w14:paraId="323210E0" w14:textId="77777777" w:rsidR="00D90ED2" w:rsidRDefault="00000000">
      <w:pPr>
        <w:numPr>
          <w:ilvl w:val="0"/>
          <w:numId w:val="1"/>
        </w:numPr>
        <w:ind w:right="0" w:hanging="411"/>
      </w:pPr>
      <w:r>
        <w:t>Pascale, ‘Epistemology and the Politics of Knowledge’, 154, 157.</w:t>
      </w:r>
    </w:p>
    <w:p w14:paraId="45BE3046" w14:textId="77777777" w:rsidR="00D90ED2" w:rsidRDefault="00000000">
      <w:pPr>
        <w:numPr>
          <w:ilvl w:val="0"/>
          <w:numId w:val="1"/>
        </w:numPr>
        <w:ind w:right="0" w:hanging="411"/>
      </w:pPr>
      <w:r>
        <w:t xml:space="preserve">Pascale, ‘Epistemology and the Politics of Knowledge’, 163. See also Linda Tuhiwai Smith, </w:t>
      </w:r>
      <w:r>
        <w:rPr>
          <w:i/>
        </w:rPr>
        <w:t>Decolonizing Methodologies: Research and Indigenous Peoples</w:t>
      </w:r>
      <w:r>
        <w:t xml:space="preserve"> (Bloomsbury Academic, 2023).</w:t>
      </w:r>
    </w:p>
    <w:p w14:paraId="2C4ED189" w14:textId="77777777" w:rsidR="00D90ED2" w:rsidRDefault="00000000">
      <w:pPr>
        <w:numPr>
          <w:ilvl w:val="0"/>
          <w:numId w:val="1"/>
        </w:numPr>
        <w:spacing w:after="8" w:line="268" w:lineRule="auto"/>
        <w:ind w:right="0" w:hanging="411"/>
      </w:pPr>
      <w:r>
        <w:t xml:space="preserve">Beer, </w:t>
      </w:r>
      <w:r>
        <w:rPr>
          <w:i/>
        </w:rPr>
        <w:t>The Data Gaze.</w:t>
      </w:r>
      <w:r>
        <w:t xml:space="preserve"> </w:t>
      </w:r>
    </w:p>
    <w:p w14:paraId="66C94205" w14:textId="77777777" w:rsidR="00D90ED2" w:rsidRDefault="00000000">
      <w:pPr>
        <w:numPr>
          <w:ilvl w:val="0"/>
          <w:numId w:val="1"/>
        </w:numPr>
        <w:ind w:right="0" w:hanging="411"/>
      </w:pPr>
      <w:r>
        <w:t xml:space="preserve">See ample references in Rob Kitchin, </w:t>
      </w:r>
      <w:r>
        <w:rPr>
          <w:i/>
        </w:rPr>
        <w:t>The Data Revolution: Big Data, Open Data, Data Infrastructures and Their Consequences</w:t>
      </w:r>
      <w:r>
        <w:t xml:space="preserve"> (Sage Publishing, 2014); Safiya Umoja Noble, </w:t>
      </w:r>
      <w:r>
        <w:rPr>
          <w:i/>
        </w:rPr>
        <w:t>Algorithms of Oppression: How Search Engines Reinforce Racism</w:t>
      </w:r>
      <w:r>
        <w:t xml:space="preserve"> (NYU Press, 2018); Virginia Eubanks, </w:t>
      </w:r>
      <w:r>
        <w:rPr>
          <w:i/>
        </w:rPr>
        <w:t>Automating Inequality: How High-Tech Tools Profile, Police, and Punish the Poor</w:t>
      </w:r>
      <w:r>
        <w:t xml:space="preserve"> (St Martin’s Press, 2018); Andreas Hepp, Juliane Jarke, and Leif Kramp, ‘New Perspectives in Critical Data Studies: The Ambivalences of Data Power—An Introduction’, in </w:t>
      </w:r>
      <w:r>
        <w:rPr>
          <w:i/>
        </w:rPr>
        <w:t>New Perspectives in Critical Data Studies: The Ambivalences of Data Power</w:t>
      </w:r>
      <w:r>
        <w:t>, ed. Andreas Hepp, Juliane Jarke, and Leif Kramp (Springer International Publishing, 2022).</w:t>
      </w:r>
    </w:p>
    <w:p w14:paraId="51F69E12" w14:textId="77777777" w:rsidR="00D90ED2" w:rsidRDefault="00000000">
      <w:pPr>
        <w:numPr>
          <w:ilvl w:val="0"/>
          <w:numId w:val="1"/>
        </w:numPr>
        <w:ind w:right="0" w:hanging="411"/>
      </w:pPr>
      <w:r>
        <w:t xml:space="preserve">See, for example, Bernhard Rieder and Theo Röhle, ‘Digital Methods: Five Challenges’, in </w:t>
      </w:r>
      <w:r>
        <w:rPr>
          <w:i/>
        </w:rPr>
        <w:t>Understanding Digital Humanities</w:t>
      </w:r>
      <w:r>
        <w:t>, ed. David M. Berry, 67–84 (Palgrave Macmillan, 2012).</w:t>
      </w:r>
    </w:p>
    <w:p w14:paraId="7D1AF3B9" w14:textId="77777777" w:rsidR="00D90ED2" w:rsidRDefault="00000000">
      <w:pPr>
        <w:numPr>
          <w:ilvl w:val="0"/>
          <w:numId w:val="1"/>
        </w:numPr>
        <w:ind w:right="0" w:hanging="411"/>
      </w:pPr>
      <w:r>
        <w:t xml:space="preserve">Stefania Milan and Emiliano Treré, ‘Big Data from the South(s): Beyond Data Universalism, Television and New Media’, </w:t>
      </w:r>
      <w:r>
        <w:rPr>
          <w:i/>
        </w:rPr>
        <w:t>Television and New Media</w:t>
      </w:r>
      <w:r>
        <w:t xml:space="preserve"> 20, no. 4, DOI: https://doi.org/10.1177/1527476419837; Rieder and Röhle, ‘Digital Methods’.</w:t>
      </w:r>
    </w:p>
    <w:p w14:paraId="0E050296" w14:textId="77777777" w:rsidR="00D90ED2" w:rsidRDefault="00000000">
      <w:pPr>
        <w:numPr>
          <w:ilvl w:val="0"/>
          <w:numId w:val="1"/>
        </w:numPr>
        <w:ind w:right="0" w:hanging="411"/>
      </w:pPr>
      <w:r>
        <w:t xml:space="preserve">See, in this regard, also David Beer, </w:t>
      </w:r>
      <w:r>
        <w:rPr>
          <w:i/>
        </w:rPr>
        <w:t>Metric Power</w:t>
      </w:r>
      <w:r>
        <w:t xml:space="preserve"> (Palgrave Macmillan, 2016); Kitchin and Lauriault, ‘Towards Critical Data Studies’, 7.</w:t>
      </w:r>
    </w:p>
    <w:p w14:paraId="7140EA10" w14:textId="0012F0B0" w:rsidR="00D90ED2" w:rsidRDefault="00000000">
      <w:pPr>
        <w:numPr>
          <w:ilvl w:val="0"/>
          <w:numId w:val="1"/>
        </w:numPr>
        <w:ind w:right="0" w:hanging="411"/>
      </w:pPr>
      <w:r>
        <w:lastRenderedPageBreak/>
        <w:t xml:space="preserve">Mimi </w:t>
      </w:r>
      <w:r w:rsidR="008B7F6E" w:rsidRPr="008B7F6E">
        <w:t>Ọnụọha</w:t>
      </w:r>
      <w:r>
        <w:t>, ‘An Overview and Exploration of the Concept of Missing Datasets’, GitHub, 3 February 2016, https://github.com/MimiOnuoha/ missing-datasets (accessed 12 October 2023).</w:t>
      </w:r>
    </w:p>
    <w:p w14:paraId="62606325" w14:textId="77777777" w:rsidR="00D90ED2" w:rsidRDefault="00000000">
      <w:pPr>
        <w:numPr>
          <w:ilvl w:val="0"/>
          <w:numId w:val="1"/>
        </w:numPr>
        <w:ind w:right="0" w:hanging="411"/>
      </w:pPr>
      <w:r>
        <w:t xml:space="preserve">Meredith Whittaker, ‘Origin Stories: Plantations, Computers, and Industrial Control’, </w:t>
      </w:r>
      <w:r>
        <w:rPr>
          <w:i/>
        </w:rPr>
        <w:t>Logic(s) Magazine</w:t>
      </w:r>
      <w:r>
        <w:t>, 17 May 2023.</w:t>
      </w:r>
    </w:p>
    <w:p w14:paraId="26C85B88" w14:textId="77777777" w:rsidR="00D90ED2" w:rsidRDefault="00000000">
      <w:pPr>
        <w:numPr>
          <w:ilvl w:val="0"/>
          <w:numId w:val="1"/>
        </w:numPr>
        <w:ind w:right="0" w:hanging="411"/>
      </w:pPr>
      <w:r>
        <w:t xml:space="preserve">Caitlin Rosenthal, </w:t>
      </w:r>
      <w:r>
        <w:rPr>
          <w:i/>
        </w:rPr>
        <w:t>Accounting for Slavery: Masters and Management</w:t>
      </w:r>
      <w:r>
        <w:t xml:space="preserve"> (Harvard University Press, 2018).</w:t>
      </w:r>
    </w:p>
    <w:p w14:paraId="6F6C491E" w14:textId="77777777" w:rsidR="00D90ED2" w:rsidRDefault="00000000">
      <w:pPr>
        <w:numPr>
          <w:ilvl w:val="0"/>
          <w:numId w:val="1"/>
        </w:numPr>
        <w:spacing w:after="8" w:line="268" w:lineRule="auto"/>
        <w:ind w:right="0" w:hanging="411"/>
      </w:pPr>
      <w:r>
        <w:t xml:space="preserve">Edwin Black, </w:t>
      </w:r>
      <w:r>
        <w:rPr>
          <w:i/>
        </w:rPr>
        <w:t>IBM and the Holocaust: The Strategic Alliance between Nazi Germany and America’s Most Powerful Corporation</w:t>
      </w:r>
      <w:r>
        <w:t xml:space="preserve"> (Crown Publishers, 2001).</w:t>
      </w:r>
    </w:p>
    <w:p w14:paraId="283E0680" w14:textId="77777777" w:rsidR="00D90ED2" w:rsidRDefault="00000000">
      <w:pPr>
        <w:numPr>
          <w:ilvl w:val="0"/>
          <w:numId w:val="1"/>
        </w:numPr>
        <w:ind w:right="0" w:hanging="411"/>
      </w:pPr>
      <w:r>
        <w:t xml:space="preserve">Simone Browne, </w:t>
      </w:r>
      <w:r>
        <w:rPr>
          <w:i/>
        </w:rPr>
        <w:t>Dark Matters: On the Surveillance of Blackness</w:t>
      </w:r>
      <w:r>
        <w:t xml:space="preserve"> (Duke University Press, 2015).</w:t>
      </w:r>
    </w:p>
    <w:p w14:paraId="6E8C270D" w14:textId="77777777" w:rsidR="00D90ED2" w:rsidRDefault="00000000">
      <w:pPr>
        <w:numPr>
          <w:ilvl w:val="0"/>
          <w:numId w:val="1"/>
        </w:numPr>
        <w:ind w:right="0" w:hanging="411"/>
      </w:pPr>
      <w:r>
        <w:t xml:space="preserve">Donna Cormack and Tahu Kukutai, ‘Indigenous Peoples, Data, and the Coloniality of Surveillance’, in </w:t>
      </w:r>
      <w:r>
        <w:rPr>
          <w:i/>
        </w:rPr>
        <w:t>New Perspectives in Critical Data Studies: The Ambivalences of Data Power</w:t>
      </w:r>
      <w:r>
        <w:t>, ed. Andreas Hepp, Juliane Jarke, and Leif Kramp (Springer International Publishing, 2022), 126–127.</w:t>
      </w:r>
    </w:p>
    <w:p w14:paraId="11C313AA" w14:textId="77777777" w:rsidR="00D90ED2" w:rsidRDefault="00000000">
      <w:pPr>
        <w:numPr>
          <w:ilvl w:val="0"/>
          <w:numId w:val="1"/>
        </w:numPr>
        <w:ind w:right="0" w:hanging="411"/>
      </w:pPr>
      <w:r>
        <w:t xml:space="preserve">For example, academic work on eugenics and early psychoanalysis have been constitutive of systemic racism and sexism across society. See notably Pascale, ‘Epistemology and the Politics of Knowledge’, 154, 157. See also Smith, </w:t>
      </w:r>
      <w:r>
        <w:rPr>
          <w:i/>
        </w:rPr>
        <w:t>Decolonizing Methodologies</w:t>
      </w:r>
      <w:r>
        <w:t>.</w:t>
      </w:r>
    </w:p>
    <w:p w14:paraId="03D6107E" w14:textId="77777777" w:rsidR="00D90ED2" w:rsidRDefault="00000000">
      <w:pPr>
        <w:numPr>
          <w:ilvl w:val="0"/>
          <w:numId w:val="1"/>
        </w:numPr>
        <w:spacing w:after="8" w:line="268" w:lineRule="auto"/>
        <w:ind w:right="0" w:hanging="411"/>
      </w:pPr>
      <w:r>
        <w:t xml:space="preserve">Forsythe and Hess, </w:t>
      </w:r>
      <w:r>
        <w:rPr>
          <w:i/>
        </w:rPr>
        <w:t>Studying Those Who Study Us</w:t>
      </w:r>
      <w:r>
        <w:t xml:space="preserve">. </w:t>
      </w:r>
    </w:p>
    <w:p w14:paraId="464359EF" w14:textId="77777777" w:rsidR="00D90ED2" w:rsidRDefault="00000000">
      <w:pPr>
        <w:numPr>
          <w:ilvl w:val="0"/>
          <w:numId w:val="1"/>
        </w:numPr>
        <w:ind w:right="0" w:hanging="411"/>
      </w:pPr>
      <w:r>
        <w:t xml:space="preserve">Jean Burgess and Axel Bruns, ‘Easy Data, Hard Data: The Politics and Pragmatics of Twitter Research after the Computational Turn’, in </w:t>
      </w:r>
      <w:r>
        <w:rPr>
          <w:i/>
        </w:rPr>
        <w:t>Compromised Data: From Social Media to Big Data</w:t>
      </w:r>
      <w:r>
        <w:t>, ed. Ganaele Langlois, Joanna Redden, and Greg Elmer, 93–111 (Bloomsbury Academic, 2015).</w:t>
      </w:r>
    </w:p>
    <w:p w14:paraId="20DE0D74" w14:textId="77777777" w:rsidR="00D90ED2" w:rsidRDefault="00000000">
      <w:pPr>
        <w:numPr>
          <w:ilvl w:val="0"/>
          <w:numId w:val="1"/>
        </w:numPr>
        <w:ind w:right="0" w:hanging="411"/>
      </w:pPr>
      <w:r>
        <w:t xml:space="preserve">Rebekah Tromble, ‘Where Have All the Data Gone? A Critical Reflection on Academic Digital Research in the Post-API Age’, </w:t>
      </w:r>
      <w:r>
        <w:rPr>
          <w:i/>
        </w:rPr>
        <w:t>Social Media + Society</w:t>
      </w:r>
      <w:r>
        <w:t xml:space="preserve"> 7 (2021): 1–18. Similarly, see Kevin Driscoll and Shawn Walker, ‘Working within a Black Box: Transparency in the Collection and Production of Big Twitter Data’, </w:t>
      </w:r>
      <w:r>
        <w:rPr>
          <w:i/>
        </w:rPr>
        <w:t>International Journal of Communication</w:t>
      </w:r>
      <w:r>
        <w:t xml:space="preserve"> 8 (2014): 1745–1764; David Gunnarsson Lorentzen and Jan Nolin, ‘Approaching Completeness’, </w:t>
      </w:r>
      <w:r>
        <w:rPr>
          <w:i/>
        </w:rPr>
        <w:t>Social Science Computer Review</w:t>
      </w:r>
      <w:r>
        <w:t xml:space="preserve"> 38 (2015): 10–24; Eszter Hargittai, ‘Potential Biases in Big Data: Omitted Voices on Social Media’, </w:t>
      </w:r>
      <w:r>
        <w:rPr>
          <w:i/>
        </w:rPr>
        <w:t>Social Science Computer Review</w:t>
      </w:r>
      <w:r>
        <w:t xml:space="preserve"> (2018), DOI: 10.1177/089443931878832; Cornelius Puschmann, ‘An End to the Wild West of Social Media Research: A Response to Axel Bruns’, </w:t>
      </w:r>
      <w:r>
        <w:rPr>
          <w:i/>
        </w:rPr>
        <w:t>Information, Communication and Society</w:t>
      </w:r>
      <w:r>
        <w:t xml:space="preserve"> 22, no. 11 (2019): 1582–1589. </w:t>
      </w:r>
    </w:p>
    <w:p w14:paraId="01B6D6A3" w14:textId="77777777" w:rsidR="00D90ED2" w:rsidRDefault="00000000">
      <w:pPr>
        <w:numPr>
          <w:ilvl w:val="0"/>
          <w:numId w:val="1"/>
        </w:numPr>
        <w:ind w:right="0" w:hanging="411"/>
      </w:pPr>
      <w:r>
        <w:t xml:space="preserve">Suay M. Özkula, Paul J. Reilly, and Jenny Hayes, ‘Easy Data, Same Old Platforms? A Systematic Review of Digital Activism Methodologies’, </w:t>
      </w:r>
      <w:r>
        <w:rPr>
          <w:i/>
        </w:rPr>
        <w:t>Information, Communication and Society</w:t>
      </w:r>
      <w:r>
        <w:t xml:space="preserve"> 1, no. 15 (2022): 1–20. </w:t>
      </w:r>
    </w:p>
    <w:p w14:paraId="5E54E73B" w14:textId="77777777" w:rsidR="00D90ED2" w:rsidRDefault="00000000">
      <w:pPr>
        <w:numPr>
          <w:ilvl w:val="0"/>
          <w:numId w:val="1"/>
        </w:numPr>
        <w:spacing w:after="8" w:line="268" w:lineRule="auto"/>
        <w:ind w:right="0" w:hanging="411"/>
      </w:pPr>
      <w:r>
        <w:lastRenderedPageBreak/>
        <w:t xml:space="preserve">Beer, </w:t>
      </w:r>
      <w:r>
        <w:rPr>
          <w:i/>
        </w:rPr>
        <w:t>The Data Gaze</w:t>
      </w:r>
      <w:r>
        <w:t>.</w:t>
      </w:r>
    </w:p>
    <w:p w14:paraId="7A37AF3B" w14:textId="77777777" w:rsidR="00D90ED2" w:rsidRDefault="00000000">
      <w:pPr>
        <w:numPr>
          <w:ilvl w:val="0"/>
          <w:numId w:val="1"/>
        </w:numPr>
        <w:ind w:right="0" w:hanging="411"/>
      </w:pPr>
      <w:r>
        <w:t xml:space="preserve">See, for example, Arielle Hesse, Leland Glenna, Clare Hinrichs, Robert Chiles, and Carolyn Sachs, ‘Qualitative Research Ethics in the Big Data Era’, </w:t>
      </w:r>
      <w:r>
        <w:rPr>
          <w:i/>
        </w:rPr>
        <w:t>American Behavioral Scientist</w:t>
      </w:r>
      <w:r>
        <w:t xml:space="preserve"> (2018), DOI: https://doi. org/10.1177/0002764218805806; Ausloos, Meiring, Buijs, van Eechoud, Boss, and Strycharz</w:t>
      </w:r>
      <w:r>
        <w:rPr>
          <w:i/>
        </w:rPr>
        <w:t>, Information Law and the Digital Transformation of the University</w:t>
      </w:r>
      <w:r>
        <w:t xml:space="preserve">, pt 2: </w:t>
      </w:r>
      <w:r>
        <w:rPr>
          <w:i/>
        </w:rPr>
        <w:t>Access to Data for Research</w:t>
      </w:r>
      <w:r>
        <w:t>.</w:t>
      </w:r>
    </w:p>
    <w:p w14:paraId="454A5163" w14:textId="77777777" w:rsidR="00D90ED2" w:rsidRDefault="00000000">
      <w:pPr>
        <w:numPr>
          <w:ilvl w:val="0"/>
          <w:numId w:val="1"/>
        </w:numPr>
        <w:ind w:right="0" w:hanging="411"/>
      </w:pPr>
      <w:r>
        <w:t xml:space="preserve">Sebastián Lehuedé calls for </w:t>
      </w:r>
      <w:r>
        <w:rPr>
          <w:i/>
        </w:rPr>
        <w:t>radicalizing</w:t>
      </w:r>
      <w:r>
        <w:t xml:space="preserve"> reflexivity in critical data studies in ‘The Double Helix of Data Extraction: Radicalising Reflexivity in Critical Data Studies’, </w:t>
      </w:r>
      <w:r>
        <w:rPr>
          <w:i/>
        </w:rPr>
        <w:t>Technology and Regulation</w:t>
      </w:r>
      <w:r>
        <w:t xml:space="preserve"> (22 March 2024): 89–91, DOI: https://doi.org/10.26116/techreg.2024.009.</w:t>
      </w:r>
    </w:p>
    <w:p w14:paraId="4F210C78" w14:textId="77777777" w:rsidR="00D90ED2" w:rsidRDefault="00000000">
      <w:pPr>
        <w:numPr>
          <w:ilvl w:val="0"/>
          <w:numId w:val="1"/>
        </w:numPr>
        <w:ind w:right="0" w:hanging="411"/>
      </w:pPr>
      <w:r>
        <w:t>Pascale, ‘Epistemology and the Politics of Knowledge’, 154, 158. In the context of digital methods, see Burgess and Bruns, ‘Easy Data, Hard Data’. For humanities and social sciences research, see also the work of Bernhard Rieder and, in particular, Rieder and Röhle, ‘Digital Methods’.</w:t>
      </w:r>
    </w:p>
    <w:p w14:paraId="41E838B3" w14:textId="77777777" w:rsidR="00D90ED2" w:rsidRDefault="00000000">
      <w:pPr>
        <w:numPr>
          <w:ilvl w:val="0"/>
          <w:numId w:val="1"/>
        </w:numPr>
        <w:spacing w:after="8" w:line="268" w:lineRule="auto"/>
        <w:ind w:right="0" w:hanging="411"/>
      </w:pPr>
      <w:r>
        <w:t xml:space="preserve">See Beer, </w:t>
      </w:r>
      <w:r>
        <w:rPr>
          <w:i/>
        </w:rPr>
        <w:t>The Data Gaze</w:t>
      </w:r>
      <w:r>
        <w:t xml:space="preserve">, 220; Smith, </w:t>
      </w:r>
      <w:r>
        <w:rPr>
          <w:i/>
        </w:rPr>
        <w:t>Decolonizing Methodologies</w:t>
      </w:r>
      <w:r>
        <w:t>.</w:t>
      </w:r>
    </w:p>
    <w:p w14:paraId="04D41475" w14:textId="77777777" w:rsidR="00D90ED2" w:rsidRDefault="00000000">
      <w:pPr>
        <w:numPr>
          <w:ilvl w:val="0"/>
          <w:numId w:val="1"/>
        </w:numPr>
        <w:ind w:right="0" w:hanging="411"/>
      </w:pPr>
      <w:r>
        <w:t xml:space="preserve">Kitchin, </w:t>
      </w:r>
      <w:r>
        <w:rPr>
          <w:i/>
        </w:rPr>
        <w:t>The Data Revolution</w:t>
      </w:r>
      <w:r>
        <w:t>; Kitchin and Lauriault, ‘Towards Critical Data Studies’, 6–7; Hepp, Jarke, and Kramp, ‘New Perspectives in Critical Data Studies’, 5.</w:t>
      </w:r>
    </w:p>
    <w:p w14:paraId="57216F6B" w14:textId="77777777" w:rsidR="00D90ED2" w:rsidRDefault="00000000">
      <w:pPr>
        <w:numPr>
          <w:ilvl w:val="0"/>
          <w:numId w:val="1"/>
        </w:numPr>
        <w:ind w:right="0" w:hanging="411"/>
      </w:pPr>
      <w:r>
        <w:t xml:space="preserve">Beer, </w:t>
      </w:r>
      <w:r>
        <w:rPr>
          <w:i/>
        </w:rPr>
        <w:t>The Data Gaze</w:t>
      </w:r>
      <w:r>
        <w:t>, ch. 1.</w:t>
      </w:r>
    </w:p>
    <w:p w14:paraId="38BC4E70" w14:textId="77777777" w:rsidR="00D90ED2" w:rsidRPr="00F45F8E" w:rsidRDefault="00000000">
      <w:pPr>
        <w:numPr>
          <w:ilvl w:val="0"/>
          <w:numId w:val="1"/>
        </w:numPr>
        <w:ind w:right="0" w:hanging="411"/>
        <w:rPr>
          <w:lang w:val="fr-FR"/>
        </w:rPr>
      </w:pPr>
      <w:r w:rsidRPr="00F45F8E">
        <w:rPr>
          <w:lang w:val="fr-FR"/>
        </w:rPr>
        <w:t>‘Programmable Infrastructures’, TU Delft, https://www.tudelft.nl/tbm/ programmable-infrastructures (accessed 29 June 2022).</w:t>
      </w:r>
    </w:p>
    <w:p w14:paraId="2B19EE1D" w14:textId="77777777" w:rsidR="00D90ED2" w:rsidRDefault="00000000">
      <w:pPr>
        <w:numPr>
          <w:ilvl w:val="0"/>
          <w:numId w:val="1"/>
        </w:numPr>
        <w:ind w:right="0" w:hanging="411"/>
      </w:pPr>
      <w:r>
        <w:t xml:space="preserve">Joan Lopez Solano, A. Martin, F. Ohai, S. P. de Souza, and I. Taylor, ‘Digital Disruption or Crisis Capitalism? Technology, Power and the Pandemic’, </w:t>
      </w:r>
      <w:r>
        <w:rPr>
          <w:i/>
        </w:rPr>
        <w:t>Global Data Justice</w:t>
      </w:r>
      <w:r>
        <w:t xml:space="preserve"> (2022), DOI: https://doi.org/10.26116/gdj-euaifund</w:t>
      </w:r>
      <w:r>
        <w:rPr>
          <w:color w:val="0563C1"/>
          <w:u w:val="single" w:color="0563C1"/>
        </w:rPr>
        <w:t>.</w:t>
      </w:r>
    </w:p>
    <w:p w14:paraId="1CD096B2" w14:textId="77777777" w:rsidR="00D90ED2" w:rsidRDefault="00000000">
      <w:pPr>
        <w:numPr>
          <w:ilvl w:val="0"/>
          <w:numId w:val="1"/>
        </w:numPr>
        <w:ind w:right="0" w:hanging="411"/>
      </w:pPr>
      <w:r>
        <w:t>Chinmayi Arun, ‘Facebook’s Faces’, 15 March 2021, https://papers.ssrn. com/abstract=3805210 (accessed 15 November 2023).</w:t>
      </w:r>
    </w:p>
    <w:p w14:paraId="0931DB12" w14:textId="77777777" w:rsidR="00D90ED2" w:rsidRDefault="00000000">
      <w:pPr>
        <w:numPr>
          <w:ilvl w:val="0"/>
          <w:numId w:val="1"/>
        </w:numPr>
        <w:ind w:right="0" w:hanging="411"/>
      </w:pPr>
      <w:r>
        <w:t xml:space="preserve">‘We Knew India Was Going to Be a Big Place for Signal: Brian Acton’, </w:t>
      </w:r>
      <w:r>
        <w:rPr>
          <w:i/>
        </w:rPr>
        <w:t>Business Standard</w:t>
      </w:r>
      <w:r>
        <w:t>, 13 January 2021, https://www.business-standard.com/ article/technology/we-knew-india-was-going-to-be-a-big-place-for-signalbrian-acton-121011300189_1.html (accessed 11 March 2023).</w:t>
      </w:r>
    </w:p>
    <w:p w14:paraId="58AE020D" w14:textId="77777777" w:rsidR="00D90ED2" w:rsidRDefault="00000000">
      <w:pPr>
        <w:numPr>
          <w:ilvl w:val="0"/>
          <w:numId w:val="1"/>
        </w:numPr>
        <w:ind w:right="0" w:hanging="411"/>
      </w:pPr>
      <w:r>
        <w:t>See the work of the Non-aligned Technologies Movement, which argues for why we need to pursue alternative platforms. Ulises Ali Mejias, ‘To Fight Data Colonialism, We Need a Non-Aligned Tech Movement’, Al Jazeera, 8 September 2020, https://www.aljazeera.com/opinions/2020/9/8/to- fight-data-colonialism-we-need-a-non-aligned-tech-movement (accessed 16 April 2024).</w:t>
      </w:r>
    </w:p>
    <w:p w14:paraId="269195A0" w14:textId="77777777" w:rsidR="00D90ED2" w:rsidRDefault="00000000">
      <w:pPr>
        <w:numPr>
          <w:ilvl w:val="0"/>
          <w:numId w:val="1"/>
        </w:numPr>
        <w:ind w:right="0" w:hanging="411"/>
      </w:pPr>
      <w:r>
        <w:lastRenderedPageBreak/>
        <w:t>‘Ireland: Draconian Law to Make Data Protection Procedures Confidential’, Amnesty International, 28 June 2023, https://www.amnesty.org/en/latest/ news/2023/06/ireland-draconian-law-to-make-data-protection-proceduresconfidential (accessed 15 November 2023).</w:t>
      </w:r>
    </w:p>
    <w:p w14:paraId="3A25D9FE" w14:textId="77777777" w:rsidR="00D90ED2" w:rsidRDefault="00000000">
      <w:pPr>
        <w:numPr>
          <w:ilvl w:val="0"/>
          <w:numId w:val="1"/>
        </w:numPr>
        <w:ind w:right="0" w:hanging="411"/>
      </w:pPr>
      <w:r>
        <w:t>‘Space to Think: An Analysis of Structural Threats to Academic Freedom and Integrity’, De Jonge Akademie, 20 June 2023, https://www.dejongeakademie.</w:t>
      </w:r>
    </w:p>
    <w:p w14:paraId="5928A7F5" w14:textId="77777777" w:rsidR="00D90ED2" w:rsidRDefault="00000000">
      <w:pPr>
        <w:ind w:left="460" w:right="0" w:firstLine="0"/>
      </w:pPr>
      <w:r>
        <w:t>nl/en/publications/2495737.aspx (accessed 15 November 2023).</w:t>
      </w:r>
    </w:p>
    <w:p w14:paraId="07C0552C" w14:textId="77777777" w:rsidR="00D90ED2" w:rsidRDefault="00000000">
      <w:pPr>
        <w:numPr>
          <w:ilvl w:val="0"/>
          <w:numId w:val="1"/>
        </w:numPr>
        <w:ind w:right="0" w:hanging="411"/>
      </w:pPr>
      <w:r>
        <w:t xml:space="preserve">‘Public Statement: Scholars Warn of Potential Genocide in Gaza’, </w:t>
      </w:r>
      <w:r>
        <w:rPr>
          <w:i/>
        </w:rPr>
        <w:t>TWAILR: Third World Approaches to International Law Review</w:t>
      </w:r>
      <w:r>
        <w:t>, 17 October 2023, https://twailr.com/public-statement-scholars-warn-of-potential-genocide-ingaza (accessed 15 November 2023).</w:t>
      </w:r>
    </w:p>
    <w:p w14:paraId="7890336D" w14:textId="77777777" w:rsidR="00D90ED2" w:rsidRDefault="00000000">
      <w:pPr>
        <w:numPr>
          <w:ilvl w:val="0"/>
          <w:numId w:val="1"/>
        </w:numPr>
        <w:ind w:right="0" w:hanging="411"/>
      </w:pPr>
      <w:r>
        <w:t xml:space="preserve">Abu Bakr Bashir, Iyad Abuheweila, Vivian Nereim, and Yousur Al-Hlou, ‘Gaza Blackout Cut Palestinians’ Internet and Phone Service for 34 Hours’, </w:t>
      </w:r>
      <w:r>
        <w:rPr>
          <w:i/>
        </w:rPr>
        <w:t>New York Times</w:t>
      </w:r>
      <w:r>
        <w:t>, 29 October 2023, https://www.nytimes.com/2023/10/29/ world/middleeast/gaza-blackout-internet-israel.html (accessed 15 November 2023).</w:t>
      </w:r>
    </w:p>
    <w:p w14:paraId="4F11D083" w14:textId="77777777" w:rsidR="00D90ED2" w:rsidRDefault="00000000">
      <w:pPr>
        <w:numPr>
          <w:ilvl w:val="0"/>
          <w:numId w:val="1"/>
        </w:numPr>
        <w:ind w:right="0" w:hanging="411"/>
      </w:pPr>
      <w:r>
        <w:t>Priyanka Shankar, ‘Can Elon Musk’s Starlink Provide Internet Service to Gaza?’ Al Jazeera, 29 October 2023, https://www.aljazeera.com/ news/2023/10/29/can-elon-musks-starlink-provide-internet-service-to-gaza (accessed 15 November 2023).</w:t>
      </w:r>
    </w:p>
    <w:p w14:paraId="79790B6D" w14:textId="77777777" w:rsidR="00D90ED2" w:rsidRDefault="00000000">
      <w:pPr>
        <w:numPr>
          <w:ilvl w:val="0"/>
          <w:numId w:val="1"/>
        </w:numPr>
        <w:ind w:right="0" w:hanging="411"/>
      </w:pPr>
      <w:r>
        <w:t xml:space="preserve">‘Elon Musk Activates Starlink Satellites to Give Ukraine Data Backup’, </w:t>
      </w:r>
      <w:r>
        <w:rPr>
          <w:i/>
        </w:rPr>
        <w:t>Politico</w:t>
      </w:r>
      <w:r>
        <w:t>, 26 February 2022, https://www.politico.eu/article/elon-muskactivates-starlink-satellites-to-give-ukraine-data-backup (accessed 17 April 2024).</w:t>
      </w:r>
    </w:p>
    <w:p w14:paraId="33B84CA2" w14:textId="77777777" w:rsidR="00D90ED2" w:rsidRDefault="00000000">
      <w:pPr>
        <w:numPr>
          <w:ilvl w:val="0"/>
          <w:numId w:val="1"/>
        </w:numPr>
        <w:ind w:right="0" w:hanging="411"/>
      </w:pPr>
      <w:r>
        <w:t>‘Elon Musk U-Turns, Says Will Keep Funding Starlink in Ukraine’, Al Jazeera, 15 October 2022, https://www.aljazeera.com/news/2022/10/15/inreversal-musk-says-will-continue-funding-starlink-in-ukraine (accessed 17 April 2024).</w:t>
      </w:r>
    </w:p>
    <w:p w14:paraId="4060BC3E" w14:textId="77777777" w:rsidR="00D90ED2" w:rsidRDefault="00000000">
      <w:pPr>
        <w:numPr>
          <w:ilvl w:val="0"/>
          <w:numId w:val="1"/>
        </w:numPr>
        <w:ind w:right="0" w:hanging="411"/>
      </w:pPr>
      <w:r>
        <w:t xml:space="preserve">Adam Satariano, Scott Reinhard, Cade Metz, Sheera Frenkel, and Malika Khurana, ‘With Starlink, Elon Musk’s Satellite Dominance Is Raising Global Alarms’, </w:t>
      </w:r>
      <w:r>
        <w:rPr>
          <w:i/>
        </w:rPr>
        <w:t>New York Times</w:t>
      </w:r>
      <w:r>
        <w:t>, 28 July 2023, https://www.nytimes.com/ interactive/2023/07/28/business/starlink.html (accessed 15 November 2023).</w:t>
      </w:r>
    </w:p>
    <w:p w14:paraId="5A2264BF" w14:textId="77777777" w:rsidR="00D90ED2" w:rsidRDefault="00000000">
      <w:pPr>
        <w:numPr>
          <w:ilvl w:val="0"/>
          <w:numId w:val="1"/>
        </w:numPr>
        <w:ind w:right="0" w:hanging="411"/>
      </w:pPr>
      <w:r>
        <w:t>Ndlovu-Gatsheni, ‘Introduction’.</w:t>
      </w:r>
    </w:p>
    <w:p w14:paraId="747FE580" w14:textId="77777777" w:rsidR="00D90ED2" w:rsidRDefault="00000000">
      <w:pPr>
        <w:numPr>
          <w:ilvl w:val="0"/>
          <w:numId w:val="1"/>
        </w:numPr>
        <w:ind w:right="0" w:hanging="411"/>
      </w:pPr>
      <w:r>
        <w:t>‘Biden Says He Has “No Confidence” in Palestinian Death Count’, Reuters, 26 October 2023, https://www.reuters.com/world/middle-</w:t>
      </w:r>
      <w:r>
        <w:lastRenderedPageBreak/>
        <w:t>east/biden-sayshe-has-no-confidence-palestinian-death-count-2023-10-26 (accessed 15 November 2023).</w:t>
      </w:r>
    </w:p>
    <w:p w14:paraId="699451D7" w14:textId="77777777" w:rsidR="00D90ED2" w:rsidRDefault="00000000">
      <w:pPr>
        <w:numPr>
          <w:ilvl w:val="0"/>
          <w:numId w:val="1"/>
        </w:numPr>
        <w:ind w:right="0" w:hanging="411"/>
      </w:pPr>
      <w:r>
        <w:t>Hala Alyan on Instagram: ‘On Witnessing [</w:t>
      </w:r>
      <w:r>
        <w:rPr>
          <w:i/>
        </w:rPr>
        <w:t>sic</w:t>
      </w:r>
      <w:r>
        <w:t>] Second Slide Is from @ dianabuttu’, Instagram, 26 October 2023, https://www.instagram.com/p/ Cy4KUAOvkjy (accessed 15 November 2023).</w:t>
      </w:r>
    </w:p>
    <w:p w14:paraId="7A1485FC" w14:textId="77777777" w:rsidR="00D90ED2" w:rsidRDefault="00000000">
      <w:pPr>
        <w:numPr>
          <w:ilvl w:val="0"/>
          <w:numId w:val="1"/>
        </w:numPr>
        <w:spacing w:after="0" w:line="273" w:lineRule="auto"/>
        <w:ind w:right="0" w:hanging="411"/>
      </w:pPr>
      <w:r>
        <w:t>‘Israel-Gaza War in Maps and Charts: Live Tracker’, Al Jazeera, https://www. aljazeera.com/news/longform/2023/10/9/israel-hamas-war-in-maps-andcharts-live-tracker (accessed 17 April 2024).</w:t>
      </w:r>
    </w:p>
    <w:p w14:paraId="00650F6F" w14:textId="77777777" w:rsidR="00D90ED2" w:rsidRDefault="00000000">
      <w:pPr>
        <w:numPr>
          <w:ilvl w:val="0"/>
          <w:numId w:val="1"/>
        </w:numPr>
        <w:spacing w:after="8" w:line="268" w:lineRule="auto"/>
        <w:ind w:right="0" w:hanging="411"/>
      </w:pPr>
      <w:r>
        <w:t xml:space="preserve">Boaventura de Sousa Santos, </w:t>
      </w:r>
      <w:r>
        <w:rPr>
          <w:i/>
        </w:rPr>
        <w:t>Epistemologies of the South: Justice Against Epistemicide</w:t>
      </w:r>
      <w:r>
        <w:t xml:space="preserve"> (Routledge, 2015).</w:t>
      </w:r>
    </w:p>
    <w:p w14:paraId="400DC49B" w14:textId="77777777" w:rsidR="00D90ED2" w:rsidRDefault="00000000">
      <w:pPr>
        <w:numPr>
          <w:ilvl w:val="0"/>
          <w:numId w:val="1"/>
        </w:numPr>
        <w:ind w:right="0" w:hanging="411"/>
      </w:pPr>
      <w:r>
        <w:t>Omar Suleiman, ‘Erasing Palestine’, Al Jazeera, 19 Oct 2023, https:// www.aljazeera.com/opinions/2023/10/19/erasing-palestine-2 (accessed 15 November 2023).</w:t>
      </w:r>
    </w:p>
    <w:p w14:paraId="00727358" w14:textId="76E24815" w:rsidR="00D90ED2" w:rsidRDefault="00000000" w:rsidP="00223581">
      <w:pPr>
        <w:numPr>
          <w:ilvl w:val="0"/>
          <w:numId w:val="1"/>
        </w:numPr>
        <w:ind w:right="0" w:hanging="411"/>
      </w:pPr>
      <w:r>
        <w:t>‘Platforms Must Stop Unjustified Takedowns of Posts by and about Palestinians’, Electronic Frontier Foundation, 8 November 2023, https:// www.eff.org/deeplinks/2023/11/platforms-must-stop</w:t>
      </w:r>
      <w:r w:rsidR="00223581">
        <w:t>-</w:t>
      </w:r>
      <w:r>
        <w:t xml:space="preserve">unjustifiedtakedowns-posts-and-about-palestinians (accessed 15 November 2023); ‘Digital Blackout: Systematic Censorship of Palestinian Voices’, Global Voices, </w:t>
      </w:r>
      <w:r>
        <w:tab/>
        <w:t xml:space="preserve">8 </w:t>
      </w:r>
      <w:r>
        <w:tab/>
        <w:t xml:space="preserve">November </w:t>
      </w:r>
      <w:r>
        <w:tab/>
        <w:t>2023,</w:t>
      </w:r>
      <w:r w:rsidR="00223581">
        <w:t xml:space="preserve"> </w:t>
      </w:r>
      <w:r>
        <w:t xml:space="preserve">https://globalvoices.org/2023/11/08/digital-blackout-systematic-censorship-of-palestinian-voices (accessed 15 November 2023); Kari Paul, ‘Instagram Users Accuse Platform of Censoring Posts Supporting Palestine’, </w:t>
      </w:r>
      <w:r w:rsidRPr="00223581">
        <w:rPr>
          <w:i/>
        </w:rPr>
        <w:t>The Guardian</w:t>
      </w:r>
      <w:r>
        <w:t>, 18 October 2023, https:// www.theguardian.com/technology/2023/oct/18/instagram-palestine-postscensorship-accusations (accessed 15 November 2023); Priyanka Shankar, Pranav Dixit, and Usaid Siddiqui, ‘Are Social Media Giants Censoring ProPalestine Voices Amid Israel’s War?’ Al Jazeera, 24 October 2023, https:// www.aljazeera.com/features/2023/10/24/shadowbanning-are-social-mediagiants-censoring-pro-palestine-voices (accessed 15 November 2023).</w:t>
      </w:r>
    </w:p>
    <w:p w14:paraId="41BFAB7E" w14:textId="77777777" w:rsidR="00D90ED2" w:rsidRDefault="00000000">
      <w:pPr>
        <w:numPr>
          <w:ilvl w:val="0"/>
          <w:numId w:val="1"/>
        </w:numPr>
        <w:ind w:right="0" w:hanging="411"/>
      </w:pPr>
      <w:r>
        <w:t>Fricker, ‘Introduction’.</w:t>
      </w:r>
    </w:p>
    <w:p w14:paraId="7122E746" w14:textId="77777777" w:rsidR="00D90ED2" w:rsidRDefault="00000000">
      <w:pPr>
        <w:numPr>
          <w:ilvl w:val="0"/>
          <w:numId w:val="1"/>
        </w:numPr>
        <w:ind w:right="0" w:hanging="411"/>
      </w:pPr>
      <w:r>
        <w:t>‘How Zoom Violated Its Own Terms of Service for Access to China’s Market’, Human Rights Watch, 22 December 2020, https://www.hrw.org/ news/2020/12/22/how-zoom-violated-its-own-terms-service-access-chinasmarket (accessed 17 April 2024).</w:t>
      </w:r>
    </w:p>
    <w:p w14:paraId="630F6050" w14:textId="77777777" w:rsidR="00D90ED2" w:rsidRDefault="00000000">
      <w:pPr>
        <w:numPr>
          <w:ilvl w:val="0"/>
          <w:numId w:val="1"/>
        </w:numPr>
        <w:ind w:right="0" w:hanging="411"/>
      </w:pPr>
      <w:r>
        <w:t xml:space="preserve">Alice Speri and Sam Biddle, ‘Zoom Censorship of Palestine Seminars Sparks Fight over Academic Freedom’, </w:t>
      </w:r>
      <w:r>
        <w:rPr>
          <w:i/>
        </w:rPr>
        <w:t>The Intercept</w:t>
      </w:r>
      <w:r>
        <w:t xml:space="preserve">, 14 November 2020, </w:t>
      </w:r>
      <w:r>
        <w:lastRenderedPageBreak/>
        <w:t>https:// theintercept.com/2020/11/14/zoom-censorship-leila-khaled-palestine (accessed 29 June 2022).</w:t>
      </w:r>
    </w:p>
    <w:sectPr w:rsidR="00D90ED2">
      <w:headerReference w:type="even" r:id="rId7"/>
      <w:headerReference w:type="default" r:id="rId8"/>
      <w:footerReference w:type="even" r:id="rId9"/>
      <w:footerReference w:type="default" r:id="rId10"/>
      <w:headerReference w:type="first" r:id="rId11"/>
      <w:footerReference w:type="first" r:id="rId12"/>
      <w:pgSz w:w="9480" w:h="13800"/>
      <w:pgMar w:top="1847" w:right="1496" w:bottom="1426" w:left="15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148B44" w14:textId="77777777" w:rsidR="00360337" w:rsidRDefault="00360337">
      <w:pPr>
        <w:spacing w:after="0" w:line="240" w:lineRule="auto"/>
      </w:pPr>
      <w:r>
        <w:separator/>
      </w:r>
    </w:p>
  </w:endnote>
  <w:endnote w:type="continuationSeparator" w:id="0">
    <w:p w14:paraId="64AA7DFA" w14:textId="77777777" w:rsidR="00360337" w:rsidRDefault="003603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B85B83" w14:textId="77777777" w:rsidR="00D90ED2" w:rsidRDefault="00000000">
    <w:pPr>
      <w:spacing w:after="0" w:line="259" w:lineRule="auto"/>
      <w:ind w:left="-1500" w:right="7984" w:firstLine="0"/>
      <w:jc w:val="left"/>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6C49DDE0" wp14:editId="68D1BA0E">
              <wp:simplePos x="0" y="0"/>
              <wp:positionH relativeFrom="page">
                <wp:posOffset>0</wp:posOffset>
              </wp:positionH>
              <wp:positionV relativeFrom="page">
                <wp:posOffset>8496300</wp:posOffset>
              </wp:positionV>
              <wp:extent cx="266700" cy="266700"/>
              <wp:effectExtent l="0" t="0" r="0" b="0"/>
              <wp:wrapSquare wrapText="bothSides"/>
              <wp:docPr id="21053" name="Group 2105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1054" name="Shape 21054"/>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1055" name="Shape 21055"/>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21053" style="width:21pt;height:21pt;position:absolute;mso-position-horizontal-relative:page;mso-position-horizontal:absolute;margin-left:0pt;mso-position-vertical-relative:page;margin-top:669pt;" coordsize="2667,2667">
              <v:shape id="Shape 21054" style="position:absolute;width:1905;height:0;left:0;top:0;" coordsize="190500,0" path="m190500,0l0,0">
                <v:stroke weight="0.25pt" endcap="flat" joinstyle="miter" miterlimit="10" on="true" color="#000000"/>
                <v:fill on="false" color="#000000" opacity="0"/>
              </v:shape>
              <v:shape id="Shape 21055"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50DBA9A4" wp14:editId="1607CA67">
              <wp:simplePos x="0" y="0"/>
              <wp:positionH relativeFrom="page">
                <wp:posOffset>5753100</wp:posOffset>
              </wp:positionH>
              <wp:positionV relativeFrom="page">
                <wp:posOffset>8496300</wp:posOffset>
              </wp:positionV>
              <wp:extent cx="266700" cy="266700"/>
              <wp:effectExtent l="0" t="0" r="0" b="0"/>
              <wp:wrapSquare wrapText="bothSides"/>
              <wp:docPr id="21056" name="Group 2105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1057" name="Shape 21057"/>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1058" name="Shape 21058"/>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21056" style="width:21pt;height:21pt;position:absolute;mso-position-horizontal-relative:page;mso-position-horizontal:absolute;margin-left:453pt;mso-position-vertical-relative:page;margin-top:669pt;" coordsize="2667,2667">
              <v:shape id="Shape 21057" style="position:absolute;width:1905;height:0;left:762;top:0;" coordsize="190500,0" path="m0,0l190500,0">
                <v:stroke weight="0.25pt" endcap="flat" joinstyle="miter" miterlimit="10" on="true" color="#000000"/>
                <v:fill on="false" color="#000000" opacity="0"/>
              </v:shape>
              <v:shape id="Shape 21058"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9C77DB" w14:textId="77777777" w:rsidR="00D90ED2" w:rsidRDefault="00000000">
    <w:pPr>
      <w:spacing w:after="0" w:line="259" w:lineRule="auto"/>
      <w:ind w:left="-1500" w:right="7984" w:firstLine="0"/>
      <w:jc w:val="left"/>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43EC9262" wp14:editId="65B87F95">
              <wp:simplePos x="0" y="0"/>
              <wp:positionH relativeFrom="page">
                <wp:posOffset>0</wp:posOffset>
              </wp:positionH>
              <wp:positionV relativeFrom="page">
                <wp:posOffset>8496300</wp:posOffset>
              </wp:positionV>
              <wp:extent cx="266700" cy="266700"/>
              <wp:effectExtent l="0" t="0" r="0" b="0"/>
              <wp:wrapSquare wrapText="bothSides"/>
              <wp:docPr id="21029" name="Group 2102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1030" name="Shape 21030"/>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1031" name="Shape 21031"/>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21029" style="width:21pt;height:21pt;position:absolute;mso-position-horizontal-relative:page;mso-position-horizontal:absolute;margin-left:0pt;mso-position-vertical-relative:page;margin-top:669pt;" coordsize="2667,2667">
              <v:shape id="Shape 21030" style="position:absolute;width:1905;height:0;left:0;top:0;" coordsize="190500,0" path="m190500,0l0,0">
                <v:stroke weight="0.25pt" endcap="flat" joinstyle="miter" miterlimit="10" on="true" color="#000000"/>
                <v:fill on="false" color="#000000" opacity="0"/>
              </v:shape>
              <v:shape id="Shape 21031"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720369FE" wp14:editId="08062093">
              <wp:simplePos x="0" y="0"/>
              <wp:positionH relativeFrom="page">
                <wp:posOffset>5753100</wp:posOffset>
              </wp:positionH>
              <wp:positionV relativeFrom="page">
                <wp:posOffset>8496300</wp:posOffset>
              </wp:positionV>
              <wp:extent cx="266700" cy="266700"/>
              <wp:effectExtent l="0" t="0" r="0" b="0"/>
              <wp:wrapSquare wrapText="bothSides"/>
              <wp:docPr id="21032" name="Group 21032"/>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1033" name="Shape 21033"/>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1034" name="Shape 21034"/>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21032" style="width:21pt;height:21pt;position:absolute;mso-position-horizontal-relative:page;mso-position-horizontal:absolute;margin-left:453pt;mso-position-vertical-relative:page;margin-top:669pt;" coordsize="2667,2667">
              <v:shape id="Shape 21033" style="position:absolute;width:1905;height:0;left:762;top:0;" coordsize="190500,0" path="m0,0l190500,0">
                <v:stroke weight="0.25pt" endcap="flat" joinstyle="miter" miterlimit="10" on="true" color="#000000"/>
                <v:fill on="false" color="#000000" opacity="0"/>
              </v:shape>
              <v:shape id="Shape 21034"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8C9CF0" w14:textId="77777777" w:rsidR="00D90ED2" w:rsidRDefault="00000000">
    <w:pPr>
      <w:spacing w:after="0" w:line="259" w:lineRule="auto"/>
      <w:ind w:left="-1500" w:right="7984" w:firstLine="0"/>
      <w:jc w:val="left"/>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45DA240E" wp14:editId="5CA5F611">
              <wp:simplePos x="0" y="0"/>
              <wp:positionH relativeFrom="page">
                <wp:posOffset>0</wp:posOffset>
              </wp:positionH>
              <wp:positionV relativeFrom="page">
                <wp:posOffset>8496300</wp:posOffset>
              </wp:positionV>
              <wp:extent cx="266700" cy="266700"/>
              <wp:effectExtent l="0" t="0" r="0" b="0"/>
              <wp:wrapSquare wrapText="bothSides"/>
              <wp:docPr id="21005" name="Group 2100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1006" name="Shape 21006"/>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1007" name="Shape 21007"/>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21005" style="width:21pt;height:21pt;position:absolute;mso-position-horizontal-relative:page;mso-position-horizontal:absolute;margin-left:0pt;mso-position-vertical-relative:page;margin-top:669pt;" coordsize="2667,2667">
              <v:shape id="Shape 21006" style="position:absolute;width:1905;height:0;left:0;top:0;" coordsize="190500,0" path="m190500,0l0,0">
                <v:stroke weight="0.25pt" endcap="flat" joinstyle="miter" miterlimit="10" on="true" color="#000000"/>
                <v:fill on="false" color="#000000" opacity="0"/>
              </v:shape>
              <v:shape id="Shape 21007"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65DDC0DE" wp14:editId="073CE48F">
              <wp:simplePos x="0" y="0"/>
              <wp:positionH relativeFrom="page">
                <wp:posOffset>5753100</wp:posOffset>
              </wp:positionH>
              <wp:positionV relativeFrom="page">
                <wp:posOffset>8496300</wp:posOffset>
              </wp:positionV>
              <wp:extent cx="266700" cy="266700"/>
              <wp:effectExtent l="0" t="0" r="0" b="0"/>
              <wp:wrapSquare wrapText="bothSides"/>
              <wp:docPr id="21008" name="Group 2100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1009" name="Shape 21009"/>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1010" name="Shape 21010"/>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21008" style="width:21pt;height:21pt;position:absolute;mso-position-horizontal-relative:page;mso-position-horizontal:absolute;margin-left:453pt;mso-position-vertical-relative:page;margin-top:669pt;" coordsize="2667,2667">
              <v:shape id="Shape 21009" style="position:absolute;width:1905;height:0;left:762;top:0;" coordsize="190500,0" path="m0,0l190500,0">
                <v:stroke weight="0.25pt" endcap="flat" joinstyle="miter" miterlimit="10" on="true" color="#000000"/>
                <v:fill on="false" color="#000000" opacity="0"/>
              </v:shape>
              <v:shape id="Shape 21010"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87F40A" w14:textId="77777777" w:rsidR="00360337" w:rsidRDefault="00360337">
      <w:pPr>
        <w:spacing w:after="0" w:line="240" w:lineRule="auto"/>
      </w:pPr>
      <w:r>
        <w:separator/>
      </w:r>
    </w:p>
  </w:footnote>
  <w:footnote w:type="continuationSeparator" w:id="0">
    <w:p w14:paraId="484D7B81" w14:textId="77777777" w:rsidR="00360337" w:rsidRDefault="003603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3A81E5" w14:textId="77777777" w:rsidR="00D90ED2" w:rsidRDefault="00000000">
    <w:pPr>
      <w:tabs>
        <w:tab w:val="right" w:pos="6484"/>
      </w:tabs>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0352E260" wp14:editId="1DC324BD">
              <wp:simplePos x="0" y="0"/>
              <wp:positionH relativeFrom="page">
                <wp:posOffset>0</wp:posOffset>
              </wp:positionH>
              <wp:positionV relativeFrom="page">
                <wp:posOffset>0</wp:posOffset>
              </wp:positionV>
              <wp:extent cx="266700" cy="266700"/>
              <wp:effectExtent l="0" t="0" r="0" b="0"/>
              <wp:wrapSquare wrapText="bothSides"/>
              <wp:docPr id="21043" name="Group 2104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1044" name="Shape 21044"/>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1045" name="Shape 21045"/>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21043" style="width:21pt;height:21pt;position:absolute;mso-position-horizontal-relative:page;mso-position-horizontal:absolute;margin-left:0pt;mso-position-vertical-relative:page;margin-top:0pt;" coordsize="2667,2667">
              <v:shape id="Shape 21044" style="position:absolute;width:1905;height:0;left:0;top:2667;" coordsize="190500,0" path="m190500,0l0,0">
                <v:stroke weight="0.25pt" endcap="flat" joinstyle="miter" miterlimit="10" on="true" color="#000000"/>
                <v:fill on="false" color="#000000" opacity="0"/>
              </v:shape>
              <v:shape id="Shape 21045"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6265326A" wp14:editId="5F4BEF7D">
              <wp:simplePos x="0" y="0"/>
              <wp:positionH relativeFrom="page">
                <wp:posOffset>5753100</wp:posOffset>
              </wp:positionH>
              <wp:positionV relativeFrom="page">
                <wp:posOffset>0</wp:posOffset>
              </wp:positionV>
              <wp:extent cx="266700" cy="266700"/>
              <wp:effectExtent l="0" t="0" r="0" b="0"/>
              <wp:wrapSquare wrapText="bothSides"/>
              <wp:docPr id="21046" name="Group 2104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1047" name="Shape 21047"/>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1048" name="Shape 21048"/>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21046" style="width:21pt;height:21pt;position:absolute;mso-position-horizontal-relative:page;mso-position-horizontal:absolute;margin-left:453pt;mso-position-vertical-relative:page;margin-top:0pt;" coordsize="2667,2667">
              <v:shape id="Shape 21047" style="position:absolute;width:1905;height:0;left:762;top:2667;" coordsize="190500,0" path="m0,0l190500,0">
                <v:stroke weight="0.25pt" endcap="flat" joinstyle="miter" miterlimit="10" on="true" color="#000000"/>
                <v:fill on="false" color="#000000" opacity="0"/>
              </v:shape>
              <v:shape id="Shape 21048" style="position:absolute;width:0;height:1905;left:0;top:0;" coordsize="0,190500" path="m0,1905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b/>
        <w:sz w:val="19"/>
      </w:rPr>
      <w:t>2</w:t>
    </w:r>
    <w:r>
      <w:rPr>
        <w:rFonts w:ascii="Times New Roman" w:eastAsia="Times New Roman" w:hAnsi="Times New Roman" w:cs="Times New Roman"/>
        <w:b/>
        <w:sz w:val="19"/>
      </w:rPr>
      <w:fldChar w:fldCharType="end"/>
    </w:r>
    <w:r>
      <w:rPr>
        <w:rFonts w:ascii="Times New Roman" w:eastAsia="Times New Roman" w:hAnsi="Times New Roman" w:cs="Times New Roman"/>
        <w:b/>
        <w:sz w:val="19"/>
      </w:rPr>
      <w:tab/>
    </w:r>
    <w:r>
      <w:rPr>
        <w:rFonts w:ascii="Times New Roman" w:eastAsia="Times New Roman" w:hAnsi="Times New Roman" w:cs="Times New Roman"/>
        <w:sz w:val="19"/>
      </w:rPr>
      <w:t>Jef Ausloos and Siddharth Peter de Souza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0EBAFE" w14:textId="77777777" w:rsidR="00D90ED2" w:rsidRDefault="00000000">
    <w:pPr>
      <w:tabs>
        <w:tab w:val="right" w:pos="6484"/>
      </w:tabs>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7F2F6639" wp14:editId="5871946A">
              <wp:simplePos x="0" y="0"/>
              <wp:positionH relativeFrom="page">
                <wp:posOffset>0</wp:posOffset>
              </wp:positionH>
              <wp:positionV relativeFrom="page">
                <wp:posOffset>0</wp:posOffset>
              </wp:positionV>
              <wp:extent cx="266700" cy="266700"/>
              <wp:effectExtent l="0" t="0" r="0" b="0"/>
              <wp:wrapSquare wrapText="bothSides"/>
              <wp:docPr id="21019" name="Group 2101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1020" name="Shape 21020"/>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1021" name="Shape 21021"/>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21019" style="width:21pt;height:21pt;position:absolute;mso-position-horizontal-relative:page;mso-position-horizontal:absolute;margin-left:0pt;mso-position-vertical-relative:page;margin-top:0pt;" coordsize="2667,2667">
              <v:shape id="Shape 21020" style="position:absolute;width:1905;height:0;left:0;top:2667;" coordsize="190500,0" path="m190500,0l0,0">
                <v:stroke weight="0.25pt" endcap="flat" joinstyle="miter" miterlimit="10" on="true" color="#000000"/>
                <v:fill on="false" color="#000000" opacity="0"/>
              </v:shape>
              <v:shape id="Shape 21021"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18577C27" wp14:editId="6F42AF3E">
              <wp:simplePos x="0" y="0"/>
              <wp:positionH relativeFrom="page">
                <wp:posOffset>5753100</wp:posOffset>
              </wp:positionH>
              <wp:positionV relativeFrom="page">
                <wp:posOffset>0</wp:posOffset>
              </wp:positionV>
              <wp:extent cx="266700" cy="266700"/>
              <wp:effectExtent l="0" t="0" r="0" b="0"/>
              <wp:wrapSquare wrapText="bothSides"/>
              <wp:docPr id="21022" name="Group 21022"/>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1023" name="Shape 21023"/>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1024" name="Shape 21024"/>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21022" style="width:21pt;height:21pt;position:absolute;mso-position-horizontal-relative:page;mso-position-horizontal:absolute;margin-left:453pt;mso-position-vertical-relative:page;margin-top:0pt;" coordsize="2667,2667">
              <v:shape id="Shape 21023" style="position:absolute;width:1905;height:0;left:762;top:2667;" coordsize="190500,0" path="m0,0l190500,0">
                <v:stroke weight="0.25pt" endcap="flat" joinstyle="miter" miterlimit="10" on="true" color="#000000"/>
                <v:fill on="false" color="#000000" opacity="0"/>
              </v:shape>
              <v:shape id="Shape 21024" style="position:absolute;width:0;height:1905;left:0;top:0;" coordsize="0,190500" path="m0,190500l0,0">
                <v:stroke weight="0.25pt" endcap="flat" joinstyle="miter" miterlimit="10" on="true" color="#000000"/>
                <v:fill on="false" color="#000000" opacity="0"/>
              </v:shape>
              <w10:wrap type="square"/>
            </v:group>
          </w:pict>
        </mc:Fallback>
      </mc:AlternateContent>
    </w:r>
    <w:r>
      <w:rPr>
        <w:rFonts w:ascii="Times New Roman" w:eastAsia="Times New Roman" w:hAnsi="Times New Roman" w:cs="Times New Roman"/>
        <w:sz w:val="19"/>
      </w:rPr>
      <w:t>Introduction</w:t>
    </w:r>
    <w:r>
      <w:rPr>
        <w:rFonts w:ascii="Times New Roman" w:eastAsia="Times New Roman" w:hAnsi="Times New Roman" w:cs="Times New Roman"/>
        <w:sz w:val="19"/>
      </w:rPr>
      <w:tab/>
    </w:r>
    <w:r>
      <w:fldChar w:fldCharType="begin"/>
    </w:r>
    <w:r>
      <w:instrText xml:space="preserve"> PAGE   \* MERGEFORMAT </w:instrText>
    </w:r>
    <w:r>
      <w:fldChar w:fldCharType="separate"/>
    </w:r>
    <w:r>
      <w:rPr>
        <w:rFonts w:ascii="Times New Roman" w:eastAsia="Times New Roman" w:hAnsi="Times New Roman" w:cs="Times New Roman"/>
        <w:b/>
        <w:sz w:val="19"/>
      </w:rPr>
      <w:t>3</w:t>
    </w:r>
    <w:r>
      <w:rPr>
        <w:rFonts w:ascii="Times New Roman" w:eastAsia="Times New Roman" w:hAnsi="Times New Roman" w:cs="Times New Roman"/>
        <w:b/>
        <w:sz w:val="19"/>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170B1" w14:textId="77777777" w:rsidR="00D90ED2" w:rsidRDefault="00000000">
    <w:pPr>
      <w:spacing w:after="0" w:line="259" w:lineRule="auto"/>
      <w:ind w:left="-1500" w:right="7984"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6E1C5F12" wp14:editId="5178342B">
              <wp:simplePos x="0" y="0"/>
              <wp:positionH relativeFrom="page">
                <wp:posOffset>0</wp:posOffset>
              </wp:positionH>
              <wp:positionV relativeFrom="page">
                <wp:posOffset>0</wp:posOffset>
              </wp:positionV>
              <wp:extent cx="266700" cy="266700"/>
              <wp:effectExtent l="0" t="0" r="0" b="0"/>
              <wp:wrapSquare wrapText="bothSides"/>
              <wp:docPr id="20995" name="Group 2099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996" name="Shape 20996"/>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997" name="Shape 20997"/>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20995" style="width:21pt;height:21pt;position:absolute;mso-position-horizontal-relative:page;mso-position-horizontal:absolute;margin-left:0pt;mso-position-vertical-relative:page;margin-top:0pt;" coordsize="2667,2667">
              <v:shape id="Shape 20996" style="position:absolute;width:1905;height:0;left:0;top:2667;" coordsize="190500,0" path="m190500,0l0,0">
                <v:stroke weight="0.25pt" endcap="flat" joinstyle="miter" miterlimit="10" on="true" color="#000000"/>
                <v:fill on="false" color="#000000" opacity="0"/>
              </v:shape>
              <v:shape id="Shape 20997"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0B762E6A" wp14:editId="4FDF5559">
              <wp:simplePos x="0" y="0"/>
              <wp:positionH relativeFrom="page">
                <wp:posOffset>5753100</wp:posOffset>
              </wp:positionH>
              <wp:positionV relativeFrom="page">
                <wp:posOffset>0</wp:posOffset>
              </wp:positionV>
              <wp:extent cx="266700" cy="266700"/>
              <wp:effectExtent l="0" t="0" r="0" b="0"/>
              <wp:wrapSquare wrapText="bothSides"/>
              <wp:docPr id="20998" name="Group 2099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999" name="Shape 20999"/>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1000" name="Shape 21000"/>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20998" style="width:21pt;height:21pt;position:absolute;mso-position-horizontal-relative:page;mso-position-horizontal:absolute;margin-left:453pt;mso-position-vertical-relative:page;margin-top:0pt;" coordsize="2667,2667">
              <v:shape id="Shape 20999" style="position:absolute;width:1905;height:0;left:762;top:2667;" coordsize="190500,0" path="m0,0l190500,0">
                <v:stroke weight="0.25pt" endcap="flat" joinstyle="miter" miterlimit="10" on="true" color="#000000"/>
                <v:fill on="false" color="#000000" opacity="0"/>
              </v:shape>
              <v:shape id="Shape 21000"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9964820"/>
    <w:multiLevelType w:val="hybridMultilevel"/>
    <w:tmpl w:val="5FF0D0CC"/>
    <w:lvl w:ilvl="0" w:tplc="A2E25CCA">
      <w:start w:val="1"/>
      <w:numFmt w:val="decimal"/>
      <w:lvlText w:val="%1."/>
      <w:lvlJc w:val="left"/>
      <w:pPr>
        <w:ind w:left="496"/>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1" w:tplc="12989EAA">
      <w:start w:val="1"/>
      <w:numFmt w:val="lowerLetter"/>
      <w:lvlText w:val="%2"/>
      <w:lvlJc w:val="left"/>
      <w:pPr>
        <w:ind w:left="1095"/>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2" w:tplc="793EC0A8">
      <w:start w:val="1"/>
      <w:numFmt w:val="lowerRoman"/>
      <w:lvlText w:val="%3"/>
      <w:lvlJc w:val="left"/>
      <w:pPr>
        <w:ind w:left="1815"/>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3" w:tplc="99281FD8">
      <w:start w:val="1"/>
      <w:numFmt w:val="decimal"/>
      <w:lvlText w:val="%4"/>
      <w:lvlJc w:val="left"/>
      <w:pPr>
        <w:ind w:left="2535"/>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4" w:tplc="15E2C6AC">
      <w:start w:val="1"/>
      <w:numFmt w:val="lowerLetter"/>
      <w:lvlText w:val="%5"/>
      <w:lvlJc w:val="left"/>
      <w:pPr>
        <w:ind w:left="3255"/>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5" w:tplc="45342EAC">
      <w:start w:val="1"/>
      <w:numFmt w:val="lowerRoman"/>
      <w:lvlText w:val="%6"/>
      <w:lvlJc w:val="left"/>
      <w:pPr>
        <w:ind w:left="3975"/>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6" w:tplc="D11CD590">
      <w:start w:val="1"/>
      <w:numFmt w:val="decimal"/>
      <w:lvlText w:val="%7"/>
      <w:lvlJc w:val="left"/>
      <w:pPr>
        <w:ind w:left="4695"/>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7" w:tplc="8C508162">
      <w:start w:val="1"/>
      <w:numFmt w:val="lowerLetter"/>
      <w:lvlText w:val="%8"/>
      <w:lvlJc w:val="left"/>
      <w:pPr>
        <w:ind w:left="5415"/>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8" w:tplc="246CA85E">
      <w:start w:val="1"/>
      <w:numFmt w:val="lowerRoman"/>
      <w:lvlText w:val="%9"/>
      <w:lvlJc w:val="left"/>
      <w:pPr>
        <w:ind w:left="6135"/>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abstractNum>
  <w:num w:numId="1" w16cid:durableId="1763262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ED2"/>
    <w:rsid w:val="00065E49"/>
    <w:rsid w:val="00172EBF"/>
    <w:rsid w:val="001A61EF"/>
    <w:rsid w:val="001C5938"/>
    <w:rsid w:val="001D234A"/>
    <w:rsid w:val="001E3AF4"/>
    <w:rsid w:val="00216879"/>
    <w:rsid w:val="00223581"/>
    <w:rsid w:val="00360337"/>
    <w:rsid w:val="00430623"/>
    <w:rsid w:val="0053243D"/>
    <w:rsid w:val="00533073"/>
    <w:rsid w:val="00646DE1"/>
    <w:rsid w:val="00676561"/>
    <w:rsid w:val="006D7C81"/>
    <w:rsid w:val="007F10B6"/>
    <w:rsid w:val="00800A52"/>
    <w:rsid w:val="008B7F6E"/>
    <w:rsid w:val="008E26BD"/>
    <w:rsid w:val="00B1757D"/>
    <w:rsid w:val="00C115C7"/>
    <w:rsid w:val="00D90ED2"/>
    <w:rsid w:val="00DC13E2"/>
    <w:rsid w:val="00DF5F0D"/>
    <w:rsid w:val="00E6348C"/>
    <w:rsid w:val="00E70639"/>
    <w:rsid w:val="00EB65C5"/>
    <w:rsid w:val="00F13FCD"/>
    <w:rsid w:val="00F45F8E"/>
    <w:rsid w:val="00FD3E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96C0729"/>
  <w15:docId w15:val="{DAF6378A-451D-C34B-8293-49E3CDA94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0" w:lineRule="auto"/>
      <w:ind w:left="370" w:right="4" w:hanging="370"/>
      <w:jc w:val="both"/>
    </w:pPr>
    <w:rPr>
      <w:rFonts w:ascii="Garamond" w:eastAsia="Garamond" w:hAnsi="Garamond" w:cs="Garamond"/>
      <w:color w:val="181717"/>
      <w:sz w:val="21"/>
      <w:lang w:bidi="en-GB"/>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181717"/>
      <w:sz w:val="30"/>
    </w:rPr>
  </w:style>
  <w:style w:type="paragraph" w:styleId="Heading2">
    <w:name w:val="heading 2"/>
    <w:next w:val="Normal"/>
    <w:link w:val="Heading2Char"/>
    <w:uiPriority w:val="9"/>
    <w:unhideWhenUsed/>
    <w:qFormat/>
    <w:pPr>
      <w:keepNext/>
      <w:keepLines/>
      <w:spacing w:after="12" w:line="259" w:lineRule="auto"/>
      <w:ind w:left="10" w:hanging="10"/>
      <w:outlineLvl w:val="1"/>
    </w:pPr>
    <w:rPr>
      <w:rFonts w:ascii="Times New Roman" w:eastAsia="Times New Roman" w:hAnsi="Times New Roman" w:cs="Times New Roman"/>
      <w:i/>
      <w:color w:val="181717"/>
      <w:sz w:val="27"/>
    </w:rPr>
  </w:style>
  <w:style w:type="paragraph" w:styleId="Heading3">
    <w:name w:val="heading 3"/>
    <w:basedOn w:val="Normal"/>
    <w:next w:val="Normal"/>
    <w:link w:val="Heading3Char"/>
    <w:uiPriority w:val="9"/>
    <w:unhideWhenUsed/>
    <w:qFormat/>
    <w:rsid w:val="00F45F8E"/>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i/>
      <w:color w:val="181717"/>
      <w:sz w:val="27"/>
    </w:rPr>
  </w:style>
  <w:style w:type="character" w:customStyle="1" w:styleId="Heading1Char">
    <w:name w:val="Heading 1 Char"/>
    <w:link w:val="Heading1"/>
    <w:rPr>
      <w:rFonts w:ascii="Times New Roman" w:eastAsia="Times New Roman" w:hAnsi="Times New Roman" w:cs="Times New Roman"/>
      <w:b/>
      <w:color w:val="181717"/>
      <w:sz w:val="30"/>
    </w:rPr>
  </w:style>
  <w:style w:type="character" w:styleId="CommentReference">
    <w:name w:val="annotation reference"/>
    <w:basedOn w:val="DefaultParagraphFont"/>
    <w:uiPriority w:val="99"/>
    <w:semiHidden/>
    <w:unhideWhenUsed/>
    <w:rsid w:val="007F10B6"/>
    <w:rPr>
      <w:sz w:val="16"/>
      <w:szCs w:val="16"/>
    </w:rPr>
  </w:style>
  <w:style w:type="paragraph" w:styleId="CommentText">
    <w:name w:val="annotation text"/>
    <w:basedOn w:val="Normal"/>
    <w:link w:val="CommentTextChar"/>
    <w:uiPriority w:val="99"/>
    <w:semiHidden/>
    <w:unhideWhenUsed/>
    <w:rsid w:val="007F10B6"/>
    <w:pPr>
      <w:spacing w:line="240" w:lineRule="auto"/>
    </w:pPr>
    <w:rPr>
      <w:sz w:val="20"/>
      <w:szCs w:val="20"/>
    </w:rPr>
  </w:style>
  <w:style w:type="character" w:customStyle="1" w:styleId="CommentTextChar">
    <w:name w:val="Comment Text Char"/>
    <w:basedOn w:val="DefaultParagraphFont"/>
    <w:link w:val="CommentText"/>
    <w:uiPriority w:val="99"/>
    <w:semiHidden/>
    <w:rsid w:val="007F10B6"/>
    <w:rPr>
      <w:rFonts w:ascii="Garamond" w:eastAsia="Garamond" w:hAnsi="Garamond" w:cs="Garamond"/>
      <w:color w:val="181717"/>
      <w:sz w:val="20"/>
      <w:szCs w:val="20"/>
      <w:lang w:bidi="en-GB"/>
    </w:rPr>
  </w:style>
  <w:style w:type="paragraph" w:styleId="CommentSubject">
    <w:name w:val="annotation subject"/>
    <w:basedOn w:val="CommentText"/>
    <w:next w:val="CommentText"/>
    <w:link w:val="CommentSubjectChar"/>
    <w:uiPriority w:val="99"/>
    <w:semiHidden/>
    <w:unhideWhenUsed/>
    <w:rsid w:val="007F10B6"/>
    <w:rPr>
      <w:b/>
      <w:bCs/>
    </w:rPr>
  </w:style>
  <w:style w:type="character" w:customStyle="1" w:styleId="CommentSubjectChar">
    <w:name w:val="Comment Subject Char"/>
    <w:basedOn w:val="CommentTextChar"/>
    <w:link w:val="CommentSubject"/>
    <w:uiPriority w:val="99"/>
    <w:semiHidden/>
    <w:rsid w:val="007F10B6"/>
    <w:rPr>
      <w:rFonts w:ascii="Garamond" w:eastAsia="Garamond" w:hAnsi="Garamond" w:cs="Garamond"/>
      <w:b/>
      <w:bCs/>
      <w:color w:val="181717"/>
      <w:sz w:val="20"/>
      <w:szCs w:val="20"/>
      <w:lang w:bidi="en-GB"/>
    </w:rPr>
  </w:style>
  <w:style w:type="character" w:customStyle="1" w:styleId="Heading3Char">
    <w:name w:val="Heading 3 Char"/>
    <w:basedOn w:val="DefaultParagraphFont"/>
    <w:link w:val="Heading3"/>
    <w:uiPriority w:val="9"/>
    <w:rsid w:val="00F45F8E"/>
    <w:rPr>
      <w:rFonts w:asciiTheme="majorHAnsi" w:eastAsiaTheme="majorEastAsia" w:hAnsiTheme="majorHAnsi" w:cstheme="majorBidi"/>
      <w:color w:val="0A2F40" w:themeColor="accent1" w:themeShade="7F"/>
      <w:lang w:bidi="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9840</Words>
  <Characters>56090</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Souza, Siddharth</dc:creator>
  <cp:keywords/>
  <cp:lastModifiedBy>Klaudia Wiktoria Orczykowska</cp:lastModifiedBy>
  <cp:revision>6</cp:revision>
  <dcterms:created xsi:type="dcterms:W3CDTF">2025-12-15T14:25:00Z</dcterms:created>
  <dcterms:modified xsi:type="dcterms:W3CDTF">2026-01-07T12:22:00Z</dcterms:modified>
</cp:coreProperties>
</file>