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C5AA1" w14:textId="7AFF522D" w:rsidR="007832C4" w:rsidRDefault="007832C4" w:rsidP="00315452">
      <w:pPr>
        <w:spacing w:after="0" w:line="259" w:lineRule="auto"/>
        <w:ind w:left="0" w:firstLine="0"/>
      </w:pPr>
    </w:p>
    <w:p w14:paraId="5E4DBE89" w14:textId="77777777" w:rsidR="007832C4" w:rsidRDefault="00000000">
      <w:pPr>
        <w:spacing w:after="71" w:line="259" w:lineRule="auto"/>
        <w:ind w:left="0" w:firstLine="0"/>
        <w:jc w:val="center"/>
      </w:pPr>
      <w:r>
        <w:rPr>
          <w:rFonts w:ascii="Calibri" w:eastAsia="Calibri" w:hAnsi="Calibri" w:cs="Calibri"/>
          <w:b/>
          <w:sz w:val="34"/>
        </w:rPr>
        <w:t>From Rights to Skills</w:t>
      </w:r>
    </w:p>
    <w:p w14:paraId="679364C2" w14:textId="77777777" w:rsidR="007832C4" w:rsidRDefault="00000000">
      <w:pPr>
        <w:spacing w:after="509" w:line="259" w:lineRule="auto"/>
        <w:ind w:left="0" w:firstLine="0"/>
        <w:jc w:val="center"/>
      </w:pPr>
      <w:r>
        <w:rPr>
          <w:rFonts w:ascii="Calibri" w:eastAsia="Calibri" w:hAnsi="Calibri" w:cs="Calibri"/>
          <w:sz w:val="26"/>
        </w:rPr>
        <w:t xml:space="preserve">Data Access for Teaching Data Literacy </w:t>
      </w:r>
    </w:p>
    <w:p w14:paraId="1C8D6243" w14:textId="7D8998A6" w:rsidR="007832C4" w:rsidRDefault="00000000">
      <w:pPr>
        <w:spacing w:after="1381" w:line="259" w:lineRule="auto"/>
        <w:ind w:left="0" w:firstLine="0"/>
        <w:jc w:val="center"/>
      </w:pPr>
      <w:r>
        <w:rPr>
          <w:rFonts w:ascii="Calibri" w:eastAsia="Calibri" w:hAnsi="Calibri" w:cs="Calibri"/>
          <w:i/>
          <w:sz w:val="20"/>
        </w:rPr>
        <w:t xml:space="preserve">Midas Nouwens </w:t>
      </w:r>
    </w:p>
    <w:p w14:paraId="76FF5A83" w14:textId="77777777" w:rsidR="007832C4" w:rsidRDefault="00000000">
      <w:pPr>
        <w:spacing w:after="28"/>
        <w:ind w:left="0" w:right="0" w:firstLine="0"/>
      </w:pPr>
      <w:r>
        <w:t>Researchers and policymakers have converged on the idea that operational transparency and data access are necessary to create meaningful change in how digital technologies operate in European societies. The General Data Protection Regulation (GDPR), 2016, set out to ‘increase transparency for data subjects’ and ‘enhance control over one’s own data’ as a way to empower individuals vis-</w:t>
      </w:r>
      <w:proofErr w:type="spellStart"/>
      <w:r>
        <w:t>àvis</w:t>
      </w:r>
      <w:proofErr w:type="spellEnd"/>
      <w:r>
        <w:t xml:space="preserve"> technology companies.</w:t>
      </w:r>
      <w:r>
        <w:rPr>
          <w:sz w:val="19"/>
          <w:vertAlign w:val="superscript"/>
        </w:rPr>
        <w:t>1</w:t>
      </w:r>
      <w:r>
        <w:t xml:space="preserve"> The Digital Services Act (DSA), 2022, attempts to set up a distributed ‘data generation machine’</w:t>
      </w:r>
      <w:r>
        <w:rPr>
          <w:sz w:val="19"/>
          <w:vertAlign w:val="superscript"/>
        </w:rPr>
        <w:t>2</w:t>
      </w:r>
      <w:r>
        <w:t xml:space="preserve"> that will continuously produce </w:t>
      </w:r>
      <w:proofErr w:type="spellStart"/>
      <w:r>
        <w:t>highquality</w:t>
      </w:r>
      <w:proofErr w:type="spellEnd"/>
      <w:r>
        <w:t xml:space="preserve"> information about the operation and impact of online services in order to curb systemic risks. The Digital Markets Act (DMA), 2022, and the Data Act, 2023, aim to increase consumer power and redistribute data-based value ‘in the hands of relatively few large companies’</w:t>
      </w:r>
      <w:r>
        <w:rPr>
          <w:sz w:val="19"/>
          <w:vertAlign w:val="superscript"/>
        </w:rPr>
        <w:t>3</w:t>
      </w:r>
      <w:r>
        <w:t xml:space="preserve"> by giving people the right to ‘continuous and real-time </w:t>
      </w:r>
      <w:proofErr w:type="gramStart"/>
      <w:r>
        <w:t>access’</w:t>
      </w:r>
      <w:proofErr w:type="gramEnd"/>
      <w:r>
        <w:t xml:space="preserve"> to any data generated by their use of a product or service.</w:t>
      </w:r>
      <w:r>
        <w:rPr>
          <w:sz w:val="19"/>
          <w:vertAlign w:val="superscript"/>
        </w:rPr>
        <w:t>4</w:t>
      </w:r>
      <w:r>
        <w:t xml:space="preserve"> </w:t>
      </w:r>
    </w:p>
    <w:p w14:paraId="3D4039F1" w14:textId="77777777" w:rsidR="007832C4" w:rsidRDefault="00000000">
      <w:pPr>
        <w:ind w:left="0" w:right="0" w:firstLine="240"/>
      </w:pPr>
      <w:r>
        <w:t>This battery of regulation the European Union (EU) is currently introducing is an attempt to claim power over the way digital technologies affect member states’ societies, and the EU’s normative commitment to human rights means that those efforts have also translated into the strengthening of existing data rights and the creation of new ones, albeit without a very clear theory of how those rights translate into concrete empowerment and change. How does access to data lead to meaningful transparency, and how does this transparency lead to citizen empowerment and structural change in the power asymmetries of digital societies?</w:t>
      </w:r>
    </w:p>
    <w:p w14:paraId="63FBB109" w14:textId="77777777" w:rsidR="007832C4" w:rsidRDefault="00000000">
      <w:pPr>
        <w:spacing w:after="31"/>
        <w:ind w:left="0" w:right="0" w:firstLine="240"/>
      </w:pPr>
      <w:r>
        <w:t>The theory of change underlying access rights differs depending on the context in which it is used. Researchers and activists, for example, have used it to investigate how technology companies operate, reveal the (negative) impact that they have, and then disseminate this knowledge through publications.</w:t>
      </w:r>
      <w:r>
        <w:rPr>
          <w:sz w:val="19"/>
          <w:vertAlign w:val="superscript"/>
        </w:rPr>
        <w:t>5</w:t>
      </w:r>
      <w:r>
        <w:t xml:space="preserve"> The implied theory of change of this </w:t>
      </w:r>
      <w:r>
        <w:rPr>
          <w:i/>
        </w:rPr>
        <w:t>access–publish–change</w:t>
      </w:r>
      <w:r>
        <w:t xml:space="preserve"> model is that evidence of </w:t>
      </w:r>
      <w:r>
        <w:lastRenderedPageBreak/>
        <w:t xml:space="preserve">non-compliance or compliant but harmful behaviour will create enough public pressure for technology companies to alter their practices. Similarly, lawyers have used access rights to force technology companies to be transparent about their data processing practices – mostly in the context of platform labour – </w:t>
      </w:r>
      <w:proofErr w:type="gramStart"/>
      <w:r>
        <w:t>as a way to</w:t>
      </w:r>
      <w:proofErr w:type="gramEnd"/>
      <w:r>
        <w:t xml:space="preserve"> gather evidence for court cases, using an </w:t>
      </w:r>
      <w:r>
        <w:rPr>
          <w:i/>
        </w:rPr>
        <w:t xml:space="preserve">access–litigate–change </w:t>
      </w:r>
      <w:r>
        <w:t>approach to force a change in the way they operate.</w:t>
      </w:r>
      <w:r>
        <w:rPr>
          <w:sz w:val="19"/>
          <w:vertAlign w:val="superscript"/>
        </w:rPr>
        <w:t>6</w:t>
      </w:r>
      <w:r>
        <w:t xml:space="preserve"> </w:t>
      </w:r>
    </w:p>
    <w:p w14:paraId="49C381FB" w14:textId="77777777" w:rsidR="007832C4" w:rsidRDefault="00000000">
      <w:pPr>
        <w:ind w:left="0" w:right="0" w:firstLine="240"/>
      </w:pPr>
      <w:r>
        <w:t>One context in which the value of access rights has not been discussed extensively is education: there is no systematic work on this topic and only few accounts of people’s pedagogical practice,</w:t>
      </w:r>
      <w:r>
        <w:rPr>
          <w:sz w:val="19"/>
          <w:vertAlign w:val="superscript"/>
        </w:rPr>
        <w:t>7</w:t>
      </w:r>
      <w:r>
        <w:t xml:space="preserve"> let alone a theory of how access rights in education contribute to structural change in digital societies (that is, </w:t>
      </w:r>
      <w:r>
        <w:rPr>
          <w:i/>
        </w:rPr>
        <w:t>access– educate–change</w:t>
      </w:r>
      <w:r>
        <w:t>). For educators, social change is often one of the explicit goals of their institutions. Formal education has a long (if not uncomplicated)</w:t>
      </w:r>
      <w:r>
        <w:rPr>
          <w:sz w:val="19"/>
          <w:vertAlign w:val="superscript"/>
        </w:rPr>
        <w:t>8</w:t>
      </w:r>
      <w:r>
        <w:t xml:space="preserve"> liberal tradition of enfranchising citizens and as a catalyst for structural evolution,</w:t>
      </w:r>
      <w:r>
        <w:rPr>
          <w:sz w:val="19"/>
          <w:vertAlign w:val="superscript"/>
        </w:rPr>
        <w:t>9</w:t>
      </w:r>
      <w:r>
        <w:t xml:space="preserve"> and more critical views argue that universities have a responsibility to liberate the oppressed</w:t>
      </w:r>
      <w:r>
        <w:rPr>
          <w:sz w:val="19"/>
          <w:vertAlign w:val="superscript"/>
        </w:rPr>
        <w:t>10</w:t>
      </w:r>
      <w:r>
        <w:t xml:space="preserve"> and create a social class fighting for equality and justice.</w:t>
      </w:r>
      <w:r>
        <w:rPr>
          <w:sz w:val="19"/>
          <w:vertAlign w:val="superscript"/>
        </w:rPr>
        <w:t>11</w:t>
      </w:r>
      <w:r>
        <w:t xml:space="preserve"> In the context of digital technology, higher education has tried to affect what our digital societies look like by, for example, introducing ethics courses for computer scientists</w:t>
      </w:r>
      <w:r>
        <w:rPr>
          <w:sz w:val="19"/>
          <w:vertAlign w:val="superscript"/>
        </w:rPr>
        <w:t>12</w:t>
      </w:r>
      <w:r>
        <w:t xml:space="preserve"> or teaching using exclusively open source software.</w:t>
      </w:r>
      <w:r>
        <w:rPr>
          <w:sz w:val="19"/>
          <w:vertAlign w:val="superscript"/>
        </w:rPr>
        <w:t>13</w:t>
      </w:r>
      <w:r>
        <w:t xml:space="preserve"> At a higher level of abstraction, educators across disciplines and education levels have started to argue that the structural datafication of societies requires its residents to develop a new kind of literacy: </w:t>
      </w:r>
      <w:r>
        <w:rPr>
          <w:i/>
        </w:rPr>
        <w:t>data literacy</w:t>
      </w:r>
      <w:r>
        <w:t>. The pedagogy of data literacy is still unsettled, and it is in the context of this broader effort that we imagine access rights might find a place in education.</w:t>
      </w:r>
    </w:p>
    <w:p w14:paraId="6C5E609C" w14:textId="77777777" w:rsidR="007832C4" w:rsidRDefault="00000000">
      <w:pPr>
        <w:ind w:left="0" w:right="0" w:firstLine="240"/>
      </w:pPr>
      <w:r>
        <w:t xml:space="preserve">This chapter discusses how access rights can be used in higher education as a pedagogical tool to help students develop </w:t>
      </w:r>
      <w:r>
        <w:rPr>
          <w:i/>
        </w:rPr>
        <w:t>data literacy</w:t>
      </w:r>
      <w:r>
        <w:t>, a quality of mind and set of competences that can be employed when analysing and reacting to technological phenomena in society, based on our experiences teaching at a (Danish) university. The goal of this chapter is to (</w:t>
      </w:r>
      <w:r>
        <w:rPr>
          <w:i/>
        </w:rPr>
        <w:t>a</w:t>
      </w:r>
      <w:r>
        <w:t>) showcase another context in which access rights can be used in a way that might help reconfigure existing power balances under informational capitalism and (</w:t>
      </w:r>
      <w:r>
        <w:rPr>
          <w:i/>
        </w:rPr>
        <w:t>b</w:t>
      </w:r>
      <w:r>
        <w:t xml:space="preserve">) provide educators with a conceptual introduction and hands-on guide that they can use to employ these rights in their own teaching. </w:t>
      </w:r>
    </w:p>
    <w:p w14:paraId="7BAD261F" w14:textId="77777777" w:rsidR="007832C4" w:rsidRDefault="00000000">
      <w:pPr>
        <w:spacing w:after="413"/>
        <w:ind w:left="0" w:right="0" w:firstLine="240"/>
      </w:pPr>
      <w:r>
        <w:t>First, we will briefly introduce the concept of data literacy and the scholarship around it. Second, we will review existing data access rights in the EU. Third, we will present concrete exercises that use data access and the learning outcomes we believe they resulted in, based on our own experiences over the past three years. Lastly, we will discuss the limitations of using access rights in education based on their legal design and the interpretation of organisations.</w:t>
      </w:r>
    </w:p>
    <w:p w14:paraId="3C9C7137" w14:textId="77777777" w:rsidR="007832C4" w:rsidRDefault="00000000">
      <w:pPr>
        <w:pStyle w:val="Heading1"/>
        <w:ind w:left="-5"/>
      </w:pPr>
      <w:r>
        <w:lastRenderedPageBreak/>
        <w:t xml:space="preserve">Data Literacy </w:t>
      </w:r>
    </w:p>
    <w:p w14:paraId="58B031DB" w14:textId="77777777" w:rsidR="007832C4" w:rsidRDefault="00000000">
      <w:pPr>
        <w:ind w:left="0" w:right="0" w:firstLine="0"/>
      </w:pPr>
      <w:r>
        <w:t xml:space="preserve">Academics critical of the restructuring of societies </w:t>
      </w:r>
      <w:proofErr w:type="gramStart"/>
      <w:r>
        <w:t>as a result of</w:t>
      </w:r>
      <w:proofErr w:type="gramEnd"/>
      <w:r>
        <w:t xml:space="preserve"> digitalization and datafication have started to advocate that the future citizen needs a certain kind of literacy to co-shape healthy digital societies. Such ‘reflexive, active and knowing publics’</w:t>
      </w:r>
      <w:r>
        <w:rPr>
          <w:sz w:val="19"/>
          <w:vertAlign w:val="superscript"/>
        </w:rPr>
        <w:t>14</w:t>
      </w:r>
      <w:r>
        <w:t xml:space="preserve"> would have the ability to, for example, understand and critically reflect on data collection,</w:t>
      </w:r>
      <w:r>
        <w:rPr>
          <w:sz w:val="19"/>
          <w:vertAlign w:val="superscript"/>
        </w:rPr>
        <w:t>15</w:t>
      </w:r>
      <w:r>
        <w:t xml:space="preserve"> distrust claims of the objective nature of data,</w:t>
      </w:r>
      <w:r>
        <w:rPr>
          <w:sz w:val="19"/>
          <w:vertAlign w:val="superscript"/>
        </w:rPr>
        <w:t>16</w:t>
      </w:r>
      <w:r>
        <w:t xml:space="preserve"> or be empowered against harmful algorithmic processing. This interdisciplinary scholarship is loosely organized around the concept of data literacy,</w:t>
      </w:r>
      <w:r>
        <w:rPr>
          <w:i/>
        </w:rPr>
        <w:t xml:space="preserve"> </w:t>
      </w:r>
      <w:r>
        <w:t>a term which has also migrated into policy discussions</w:t>
      </w:r>
      <w:r>
        <w:rPr>
          <w:sz w:val="19"/>
          <w:vertAlign w:val="superscript"/>
        </w:rPr>
        <w:t>17</w:t>
      </w:r>
      <w:r>
        <w:t xml:space="preserve"> and (inter)national educational initiatives.</w:t>
      </w:r>
      <w:r>
        <w:rPr>
          <w:sz w:val="19"/>
          <w:vertAlign w:val="superscript"/>
        </w:rPr>
        <w:t>18</w:t>
      </w:r>
      <w:r>
        <w:t xml:space="preserve"> Various literature reviews have tried to consolidate the research around data literacy by evaluating definitions and finding common ground, but the diversity of work means that even these are necessarily scoped more narrowly around audiences (for example, educators,</w:t>
      </w:r>
      <w:r>
        <w:rPr>
          <w:sz w:val="19"/>
          <w:vertAlign w:val="superscript"/>
        </w:rPr>
        <w:t>19</w:t>
      </w:r>
      <w:r>
        <w:t xml:space="preserve"> researchers and librarians,</w:t>
      </w:r>
      <w:r>
        <w:rPr>
          <w:sz w:val="19"/>
          <w:vertAlign w:val="superscript"/>
        </w:rPr>
        <w:t>20</w:t>
      </w:r>
      <w:r>
        <w:t xml:space="preserve"> and citizens</w:t>
      </w:r>
      <w:r>
        <w:rPr>
          <w:sz w:val="19"/>
          <w:vertAlign w:val="superscript"/>
        </w:rPr>
        <w:t>21</w:t>
      </w:r>
      <w:r>
        <w:t xml:space="preserve">). </w:t>
      </w:r>
    </w:p>
    <w:p w14:paraId="7A758774" w14:textId="77777777" w:rsidR="007832C4" w:rsidRDefault="00000000">
      <w:pPr>
        <w:ind w:left="0" w:right="0" w:firstLine="240"/>
      </w:pPr>
      <w:r>
        <w:t>Variations of the term that have been proposed include ‘big data literacy’,</w:t>
      </w:r>
      <w:r>
        <w:rPr>
          <w:sz w:val="19"/>
          <w:vertAlign w:val="superscript"/>
        </w:rPr>
        <w:t>22</w:t>
      </w:r>
      <w:r>
        <w:t xml:space="preserve"> ‘algorithmic literacy’,</w:t>
      </w:r>
      <w:r>
        <w:rPr>
          <w:sz w:val="19"/>
          <w:vertAlign w:val="superscript"/>
        </w:rPr>
        <w:t>23</w:t>
      </w:r>
      <w:r>
        <w:t xml:space="preserve"> ‘data infrastructure literacy’,</w:t>
      </w:r>
      <w:r>
        <w:rPr>
          <w:sz w:val="19"/>
          <w:vertAlign w:val="superscript"/>
        </w:rPr>
        <w:t>24</w:t>
      </w:r>
      <w:r>
        <w:t xml:space="preserve"> ‘data mindset’,</w:t>
      </w:r>
      <w:r>
        <w:rPr>
          <w:sz w:val="19"/>
          <w:vertAlign w:val="superscript"/>
        </w:rPr>
        <w:t>25</w:t>
      </w:r>
      <w:r>
        <w:t xml:space="preserve"> and so on (see Table 4.2 for a non-exhaustive list of definitions). Inevitably, the definitions and goals of different authors diverge, so these literacies refer to a variety of practices situated across a spectrum of epistemologies and philosophies (from objectivist post-positivism to subjectivist post-modernism). The various approaches can broadly be separated into two camps: instrumental definitions and critical definitions (while keeping the inevitable caveat in mind that there is further diversity within each of those camps </w:t>
      </w:r>
      <w:proofErr w:type="gramStart"/>
      <w:r>
        <w:t>and also</w:t>
      </w:r>
      <w:proofErr w:type="gramEnd"/>
      <w:r>
        <w:t xml:space="preserve"> works that span across this divide).</w:t>
      </w:r>
    </w:p>
    <w:p w14:paraId="09DA78BC" w14:textId="77777777" w:rsidR="007832C4" w:rsidRDefault="00000000">
      <w:pPr>
        <w:spacing w:after="361"/>
        <w:ind w:left="0" w:right="0" w:firstLine="240"/>
      </w:pPr>
      <w:r>
        <w:t xml:space="preserve">Instrumental definitions frame literacy as the ability to create or process data, often with the implied goal to upskill the labour force in a </w:t>
      </w:r>
      <w:proofErr w:type="spellStart"/>
      <w:r>
        <w:t>datafied</w:t>
      </w:r>
      <w:proofErr w:type="spellEnd"/>
      <w:r>
        <w:t xml:space="preserve"> society. These prompted more critical and non-technical perspectives, which see literacy as the ability to question the data’s neutrality and authority, identify and mitigate various forms of risk,</w:t>
      </w:r>
      <w:r>
        <w:rPr>
          <w:sz w:val="19"/>
          <w:vertAlign w:val="superscript"/>
        </w:rPr>
        <w:t>26</w:t>
      </w:r>
      <w:r>
        <w:t xml:space="preserve"> and have the vocabulary to participate in debates about technology design.</w:t>
      </w:r>
      <w:r>
        <w:rPr>
          <w:sz w:val="19"/>
          <w:vertAlign w:val="superscript"/>
        </w:rPr>
        <w:t>27</w:t>
      </w:r>
      <w:r>
        <w:t xml:space="preserve"> Infrastructural definitions expand on the critical approaches to include the social relations as well as the technical infrastructures that mediate data creation, extraction, and processing (for example, algorithms, platforms, business models, standards, power relations, and governing bodies).</w:t>
      </w:r>
      <w:r>
        <w:rPr>
          <w:sz w:val="19"/>
          <w:vertAlign w:val="superscript"/>
        </w:rPr>
        <w:t>28</w:t>
      </w:r>
      <w:r>
        <w:t xml:space="preserve"> A rough overarching definition of data literacy could be formulated as </w:t>
      </w:r>
      <w:r>
        <w:rPr>
          <w:i/>
        </w:rPr>
        <w:t>competences that allow a person to work with and critically reflect on data and the socio-technical infrastructures surrounding it, with the goal to immunize the individual against informational harm and empower them to create alternative data worlds</w:t>
      </w:r>
      <w:r>
        <w:t xml:space="preserve">. </w:t>
      </w:r>
    </w:p>
    <w:p w14:paraId="0DC6CA26" w14:textId="77777777" w:rsidR="005D4BB5" w:rsidRDefault="005D4BB5">
      <w:pPr>
        <w:spacing w:after="160" w:line="278" w:lineRule="auto"/>
        <w:ind w:left="0" w:right="0" w:firstLine="0"/>
        <w:jc w:val="left"/>
        <w:rPr>
          <w:b/>
          <w:sz w:val="17"/>
        </w:rPr>
      </w:pPr>
      <w:r>
        <w:rPr>
          <w:b/>
          <w:sz w:val="17"/>
        </w:rPr>
        <w:br w:type="page"/>
      </w:r>
    </w:p>
    <w:p w14:paraId="1D56870F" w14:textId="13A721C2" w:rsidR="007832C4" w:rsidRDefault="00000000" w:rsidP="005D4BB5">
      <w:pPr>
        <w:tabs>
          <w:tab w:val="center" w:pos="2272"/>
        </w:tabs>
        <w:spacing w:after="0" w:line="265" w:lineRule="auto"/>
        <w:ind w:left="0" w:right="0" w:firstLine="0"/>
        <w:jc w:val="left"/>
      </w:pPr>
      <w:r>
        <w:rPr>
          <w:b/>
          <w:sz w:val="17"/>
        </w:rPr>
        <w:lastRenderedPageBreak/>
        <w:t xml:space="preserve">Table 4.1 </w:t>
      </w:r>
      <w:r>
        <w:rPr>
          <w:b/>
          <w:sz w:val="17"/>
        </w:rPr>
        <w:tab/>
      </w:r>
      <w:r>
        <w:rPr>
          <w:sz w:val="17"/>
        </w:rPr>
        <w:t>Terms and definitions related to data literacy</w:t>
      </w:r>
    </w:p>
    <w:tbl>
      <w:tblPr>
        <w:tblStyle w:val="TableGrid"/>
        <w:tblW w:w="6480" w:type="dxa"/>
        <w:tblInd w:w="0" w:type="dxa"/>
        <w:tblCellMar>
          <w:top w:w="34" w:type="dxa"/>
          <w:right w:w="37" w:type="dxa"/>
        </w:tblCellMar>
        <w:tblLook w:val="04A0" w:firstRow="1" w:lastRow="0" w:firstColumn="1" w:lastColumn="0" w:noHBand="0" w:noVBand="1"/>
      </w:tblPr>
      <w:tblGrid>
        <w:gridCol w:w="1616"/>
        <w:gridCol w:w="1720"/>
        <w:gridCol w:w="3144"/>
      </w:tblGrid>
      <w:tr w:rsidR="007832C4" w14:paraId="120860A0" w14:textId="77777777">
        <w:trPr>
          <w:trHeight w:val="283"/>
        </w:trPr>
        <w:tc>
          <w:tcPr>
            <w:tcW w:w="1616" w:type="dxa"/>
            <w:tcBorders>
              <w:top w:val="single" w:sz="4" w:space="0" w:color="1A1919"/>
              <w:left w:val="nil"/>
              <w:bottom w:val="single" w:sz="4" w:space="0" w:color="1A1919"/>
              <w:right w:val="nil"/>
            </w:tcBorders>
          </w:tcPr>
          <w:p w14:paraId="1B881E39" w14:textId="77777777" w:rsidR="007832C4" w:rsidRDefault="00000000">
            <w:pPr>
              <w:spacing w:after="0" w:line="259" w:lineRule="auto"/>
              <w:ind w:left="80" w:right="0" w:firstLine="0"/>
              <w:jc w:val="left"/>
            </w:pPr>
            <w:r>
              <w:rPr>
                <w:b/>
                <w:sz w:val="17"/>
              </w:rPr>
              <w:t>Source</w:t>
            </w:r>
          </w:p>
        </w:tc>
        <w:tc>
          <w:tcPr>
            <w:tcW w:w="1720" w:type="dxa"/>
            <w:tcBorders>
              <w:top w:val="single" w:sz="4" w:space="0" w:color="1A1919"/>
              <w:left w:val="nil"/>
              <w:bottom w:val="single" w:sz="4" w:space="0" w:color="1A1919"/>
              <w:right w:val="nil"/>
            </w:tcBorders>
          </w:tcPr>
          <w:p w14:paraId="4FFC2708" w14:textId="77777777" w:rsidR="007832C4" w:rsidRDefault="00000000">
            <w:pPr>
              <w:spacing w:after="0" w:line="259" w:lineRule="auto"/>
              <w:ind w:left="0" w:right="0" w:firstLine="0"/>
              <w:jc w:val="left"/>
            </w:pPr>
            <w:r>
              <w:rPr>
                <w:b/>
                <w:sz w:val="17"/>
              </w:rPr>
              <w:t>Term</w:t>
            </w:r>
          </w:p>
        </w:tc>
        <w:tc>
          <w:tcPr>
            <w:tcW w:w="3144" w:type="dxa"/>
            <w:tcBorders>
              <w:top w:val="single" w:sz="4" w:space="0" w:color="1A1919"/>
              <w:left w:val="nil"/>
              <w:bottom w:val="single" w:sz="4" w:space="0" w:color="1A1919"/>
              <w:right w:val="nil"/>
            </w:tcBorders>
          </w:tcPr>
          <w:p w14:paraId="17722BD6" w14:textId="77777777" w:rsidR="007832C4" w:rsidRDefault="00000000">
            <w:pPr>
              <w:spacing w:after="0" w:line="259" w:lineRule="auto"/>
              <w:ind w:left="0" w:right="0" w:firstLine="0"/>
              <w:jc w:val="left"/>
            </w:pPr>
            <w:r>
              <w:rPr>
                <w:b/>
                <w:sz w:val="17"/>
              </w:rPr>
              <w:t>Definition</w:t>
            </w:r>
          </w:p>
        </w:tc>
      </w:tr>
      <w:tr w:rsidR="007832C4" w14:paraId="7B9D5156" w14:textId="77777777">
        <w:trPr>
          <w:trHeight w:val="1217"/>
        </w:trPr>
        <w:tc>
          <w:tcPr>
            <w:tcW w:w="1616" w:type="dxa"/>
            <w:tcBorders>
              <w:top w:val="single" w:sz="4" w:space="0" w:color="1A1919"/>
              <w:left w:val="nil"/>
              <w:bottom w:val="nil"/>
              <w:right w:val="nil"/>
            </w:tcBorders>
          </w:tcPr>
          <w:p w14:paraId="666F9039" w14:textId="77777777" w:rsidR="007832C4" w:rsidRDefault="00000000">
            <w:pPr>
              <w:spacing w:after="0" w:line="259" w:lineRule="auto"/>
              <w:ind w:left="80" w:right="0" w:firstLine="0"/>
              <w:jc w:val="left"/>
            </w:pPr>
            <w:proofErr w:type="spellStart"/>
            <w:r>
              <w:rPr>
                <w:sz w:val="17"/>
              </w:rPr>
              <w:t>D’Ignazio</w:t>
            </w:r>
            <w:proofErr w:type="spellEnd"/>
            <w:r>
              <w:rPr>
                <w:sz w:val="17"/>
              </w:rPr>
              <w:t xml:space="preserve"> and </w:t>
            </w:r>
          </w:p>
          <w:p w14:paraId="60FCBA17" w14:textId="77777777" w:rsidR="007832C4" w:rsidRDefault="00000000">
            <w:pPr>
              <w:spacing w:after="0" w:line="259" w:lineRule="auto"/>
              <w:ind w:left="80" w:right="0" w:firstLine="0"/>
              <w:jc w:val="left"/>
            </w:pPr>
            <w:r>
              <w:rPr>
                <w:sz w:val="17"/>
              </w:rPr>
              <w:t>Bhargava (2015)</w:t>
            </w:r>
            <w:r>
              <w:rPr>
                <w:sz w:val="15"/>
                <w:vertAlign w:val="superscript"/>
              </w:rPr>
              <w:t>29</w:t>
            </w:r>
          </w:p>
        </w:tc>
        <w:tc>
          <w:tcPr>
            <w:tcW w:w="1720" w:type="dxa"/>
            <w:tcBorders>
              <w:top w:val="single" w:sz="4" w:space="0" w:color="1A1919"/>
              <w:left w:val="nil"/>
              <w:bottom w:val="nil"/>
              <w:right w:val="nil"/>
            </w:tcBorders>
          </w:tcPr>
          <w:p w14:paraId="5A7BE6F6" w14:textId="77777777" w:rsidR="007832C4" w:rsidRDefault="00000000">
            <w:pPr>
              <w:spacing w:after="0" w:line="259" w:lineRule="auto"/>
              <w:ind w:left="0" w:right="0" w:firstLine="0"/>
              <w:jc w:val="left"/>
            </w:pPr>
            <w:r>
              <w:rPr>
                <w:sz w:val="17"/>
              </w:rPr>
              <w:t>Big data literacy</w:t>
            </w:r>
          </w:p>
        </w:tc>
        <w:tc>
          <w:tcPr>
            <w:tcW w:w="3144" w:type="dxa"/>
            <w:tcBorders>
              <w:top w:val="single" w:sz="4" w:space="0" w:color="1A1919"/>
              <w:left w:val="nil"/>
              <w:bottom w:val="nil"/>
              <w:right w:val="nil"/>
            </w:tcBorders>
          </w:tcPr>
          <w:p w14:paraId="5E5846B4" w14:textId="77777777" w:rsidR="007832C4" w:rsidRDefault="00000000">
            <w:pPr>
              <w:spacing w:after="0" w:line="259" w:lineRule="auto"/>
              <w:ind w:left="0" w:right="170" w:firstLine="0"/>
              <w:jc w:val="left"/>
            </w:pPr>
            <w:r>
              <w:rPr>
                <w:sz w:val="17"/>
              </w:rPr>
              <w:t>‘</w:t>
            </w:r>
            <w:proofErr w:type="gramStart"/>
            <w:r>
              <w:rPr>
                <w:sz w:val="17"/>
              </w:rPr>
              <w:t>the</w:t>
            </w:r>
            <w:proofErr w:type="gramEnd"/>
            <w:r>
              <w:rPr>
                <w:sz w:val="17"/>
              </w:rPr>
              <w:t xml:space="preserve"> ability to read, work with, </w:t>
            </w:r>
            <w:proofErr w:type="spellStart"/>
            <w:r>
              <w:rPr>
                <w:sz w:val="17"/>
              </w:rPr>
              <w:t>analyze</w:t>
            </w:r>
            <w:proofErr w:type="spellEnd"/>
            <w:r>
              <w:rPr>
                <w:sz w:val="17"/>
              </w:rPr>
              <w:t xml:space="preserve"> and argue with data’, as well as identifying data collection, understanding algorithmic processing of data, and weighing the impacts of data-driven decisions</w:t>
            </w:r>
          </w:p>
        </w:tc>
      </w:tr>
      <w:tr w:rsidR="007832C4" w14:paraId="1D309718" w14:textId="77777777">
        <w:trPr>
          <w:trHeight w:val="513"/>
        </w:trPr>
        <w:tc>
          <w:tcPr>
            <w:tcW w:w="1616" w:type="dxa"/>
            <w:tcBorders>
              <w:top w:val="nil"/>
              <w:left w:val="nil"/>
              <w:bottom w:val="nil"/>
              <w:right w:val="nil"/>
            </w:tcBorders>
          </w:tcPr>
          <w:p w14:paraId="5D464A4D" w14:textId="77777777" w:rsidR="007832C4" w:rsidRDefault="00000000">
            <w:pPr>
              <w:spacing w:after="0" w:line="259" w:lineRule="auto"/>
              <w:ind w:left="80" w:right="0" w:firstLine="0"/>
              <w:jc w:val="left"/>
            </w:pPr>
            <w:r>
              <w:rPr>
                <w:sz w:val="17"/>
              </w:rPr>
              <w:t>Bucher (2016)</w:t>
            </w:r>
            <w:r>
              <w:rPr>
                <w:sz w:val="15"/>
                <w:vertAlign w:val="superscript"/>
              </w:rPr>
              <w:t>30</w:t>
            </w:r>
          </w:p>
        </w:tc>
        <w:tc>
          <w:tcPr>
            <w:tcW w:w="1720" w:type="dxa"/>
            <w:tcBorders>
              <w:top w:val="nil"/>
              <w:left w:val="nil"/>
              <w:bottom w:val="nil"/>
              <w:right w:val="nil"/>
            </w:tcBorders>
          </w:tcPr>
          <w:p w14:paraId="6C9D41C3" w14:textId="77777777" w:rsidR="007832C4" w:rsidRDefault="00000000">
            <w:pPr>
              <w:spacing w:after="0" w:line="259" w:lineRule="auto"/>
              <w:ind w:left="0" w:right="0" w:firstLine="0"/>
              <w:jc w:val="left"/>
            </w:pPr>
            <w:r>
              <w:rPr>
                <w:sz w:val="17"/>
              </w:rPr>
              <w:t>Algorithmic imaginary</w:t>
            </w:r>
          </w:p>
        </w:tc>
        <w:tc>
          <w:tcPr>
            <w:tcW w:w="3144" w:type="dxa"/>
            <w:tcBorders>
              <w:top w:val="nil"/>
              <w:left w:val="nil"/>
              <w:bottom w:val="nil"/>
              <w:right w:val="nil"/>
            </w:tcBorders>
          </w:tcPr>
          <w:p w14:paraId="67F0D537" w14:textId="77777777" w:rsidR="007832C4" w:rsidRDefault="00000000">
            <w:pPr>
              <w:spacing w:after="0" w:line="259" w:lineRule="auto"/>
              <w:ind w:left="0" w:right="0" w:firstLine="0"/>
              <w:jc w:val="left"/>
            </w:pPr>
            <w:r>
              <w:rPr>
                <w:sz w:val="17"/>
              </w:rPr>
              <w:t>‘</w:t>
            </w:r>
            <w:proofErr w:type="gramStart"/>
            <w:r>
              <w:rPr>
                <w:sz w:val="17"/>
              </w:rPr>
              <w:t>ways</w:t>
            </w:r>
            <w:proofErr w:type="gramEnd"/>
            <w:r>
              <w:rPr>
                <w:sz w:val="17"/>
              </w:rPr>
              <w:t xml:space="preserve"> of thinking about what algorithms are, what they should be and how they function’</w:t>
            </w:r>
          </w:p>
        </w:tc>
      </w:tr>
      <w:tr w:rsidR="007832C4" w14:paraId="1E9A3117" w14:textId="77777777">
        <w:trPr>
          <w:trHeight w:val="1203"/>
        </w:trPr>
        <w:tc>
          <w:tcPr>
            <w:tcW w:w="1616" w:type="dxa"/>
            <w:tcBorders>
              <w:top w:val="nil"/>
              <w:left w:val="nil"/>
              <w:bottom w:val="nil"/>
              <w:right w:val="nil"/>
            </w:tcBorders>
          </w:tcPr>
          <w:p w14:paraId="6C212DB6" w14:textId="77777777" w:rsidR="007832C4" w:rsidRDefault="00000000">
            <w:pPr>
              <w:spacing w:after="0" w:line="259" w:lineRule="auto"/>
              <w:ind w:left="80" w:right="0" w:firstLine="0"/>
              <w:jc w:val="left"/>
            </w:pPr>
            <w:r>
              <w:rPr>
                <w:sz w:val="17"/>
              </w:rPr>
              <w:t>Crusoe (2016)</w:t>
            </w:r>
            <w:r>
              <w:rPr>
                <w:sz w:val="15"/>
                <w:vertAlign w:val="superscript"/>
              </w:rPr>
              <w:t>31</w:t>
            </w:r>
          </w:p>
        </w:tc>
        <w:tc>
          <w:tcPr>
            <w:tcW w:w="1720" w:type="dxa"/>
            <w:tcBorders>
              <w:top w:val="nil"/>
              <w:left w:val="nil"/>
              <w:bottom w:val="nil"/>
              <w:right w:val="nil"/>
            </w:tcBorders>
          </w:tcPr>
          <w:p w14:paraId="4FE38F95" w14:textId="77777777" w:rsidR="007832C4" w:rsidRDefault="00000000">
            <w:pPr>
              <w:spacing w:after="0" w:line="259" w:lineRule="auto"/>
              <w:ind w:left="0" w:right="0" w:firstLine="0"/>
              <w:jc w:val="left"/>
            </w:pPr>
            <w:r>
              <w:rPr>
                <w:sz w:val="17"/>
              </w:rPr>
              <w:t>Data literacy</w:t>
            </w:r>
          </w:p>
        </w:tc>
        <w:tc>
          <w:tcPr>
            <w:tcW w:w="3144" w:type="dxa"/>
            <w:tcBorders>
              <w:top w:val="nil"/>
              <w:left w:val="nil"/>
              <w:bottom w:val="nil"/>
              <w:right w:val="nil"/>
            </w:tcBorders>
          </w:tcPr>
          <w:p w14:paraId="680839B1" w14:textId="77777777" w:rsidR="007832C4" w:rsidRDefault="00000000">
            <w:pPr>
              <w:spacing w:after="0" w:line="259" w:lineRule="auto"/>
              <w:ind w:left="0" w:right="49" w:firstLine="0"/>
              <w:jc w:val="left"/>
            </w:pPr>
            <w:r>
              <w:rPr>
                <w:sz w:val="17"/>
              </w:rPr>
              <w:t>‘</w:t>
            </w:r>
            <w:proofErr w:type="gramStart"/>
            <w:r>
              <w:rPr>
                <w:sz w:val="17"/>
              </w:rPr>
              <w:t>the</w:t>
            </w:r>
            <w:proofErr w:type="gramEnd"/>
            <w:r>
              <w:rPr>
                <w:sz w:val="17"/>
              </w:rPr>
              <w:t xml:space="preserve"> knowledge of what data are, how they are collected, </w:t>
            </w:r>
            <w:proofErr w:type="spellStart"/>
            <w:r>
              <w:rPr>
                <w:sz w:val="17"/>
              </w:rPr>
              <w:t>analyzed</w:t>
            </w:r>
            <w:proofErr w:type="spellEnd"/>
            <w:r>
              <w:rPr>
                <w:sz w:val="17"/>
              </w:rPr>
              <w:t xml:space="preserve">, visualized and </w:t>
            </w:r>
            <w:proofErr w:type="gramStart"/>
            <w:r>
              <w:rPr>
                <w:sz w:val="17"/>
              </w:rPr>
              <w:t>shared,  and</w:t>
            </w:r>
            <w:proofErr w:type="gramEnd"/>
            <w:r>
              <w:rPr>
                <w:sz w:val="17"/>
              </w:rPr>
              <w:t xml:space="preserve"> … the understanding of how data are applied for benefit or detriment, within the cultural context of security and privacy’</w:t>
            </w:r>
          </w:p>
        </w:tc>
      </w:tr>
      <w:tr w:rsidR="007832C4" w14:paraId="58FF736F" w14:textId="77777777">
        <w:trPr>
          <w:trHeight w:val="1893"/>
        </w:trPr>
        <w:tc>
          <w:tcPr>
            <w:tcW w:w="1616" w:type="dxa"/>
            <w:tcBorders>
              <w:top w:val="nil"/>
              <w:left w:val="nil"/>
              <w:bottom w:val="nil"/>
              <w:right w:val="nil"/>
            </w:tcBorders>
          </w:tcPr>
          <w:p w14:paraId="1C5A0784" w14:textId="77777777" w:rsidR="007832C4" w:rsidRDefault="00000000">
            <w:pPr>
              <w:spacing w:after="0" w:line="286" w:lineRule="auto"/>
              <w:ind w:left="80" w:right="0" w:firstLine="0"/>
              <w:jc w:val="left"/>
            </w:pPr>
            <w:r>
              <w:rPr>
                <w:sz w:val="17"/>
              </w:rPr>
              <w:t xml:space="preserve">Philip, </w:t>
            </w:r>
            <w:proofErr w:type="spellStart"/>
            <w:r>
              <w:rPr>
                <w:sz w:val="17"/>
              </w:rPr>
              <w:t>OlivaresPasillas</w:t>
            </w:r>
            <w:proofErr w:type="spellEnd"/>
            <w:r>
              <w:rPr>
                <w:sz w:val="17"/>
              </w:rPr>
              <w:t xml:space="preserve">, and Rocha </w:t>
            </w:r>
          </w:p>
          <w:p w14:paraId="44DF035B" w14:textId="77777777" w:rsidR="007832C4" w:rsidRDefault="00000000">
            <w:pPr>
              <w:spacing w:after="0" w:line="259" w:lineRule="auto"/>
              <w:ind w:left="80" w:right="0" w:firstLine="0"/>
              <w:jc w:val="left"/>
            </w:pPr>
            <w:r>
              <w:rPr>
                <w:sz w:val="17"/>
              </w:rPr>
              <w:t>(2016)</w:t>
            </w:r>
            <w:r>
              <w:rPr>
                <w:sz w:val="15"/>
                <w:vertAlign w:val="superscript"/>
              </w:rPr>
              <w:t>32</w:t>
            </w:r>
          </w:p>
        </w:tc>
        <w:tc>
          <w:tcPr>
            <w:tcW w:w="1720" w:type="dxa"/>
            <w:tcBorders>
              <w:top w:val="nil"/>
              <w:left w:val="nil"/>
              <w:bottom w:val="nil"/>
              <w:right w:val="nil"/>
            </w:tcBorders>
          </w:tcPr>
          <w:p w14:paraId="3A90A0F0" w14:textId="77777777" w:rsidR="007832C4" w:rsidRDefault="00000000">
            <w:pPr>
              <w:spacing w:after="0" w:line="259" w:lineRule="auto"/>
              <w:ind w:left="0" w:right="0" w:firstLine="0"/>
              <w:jc w:val="left"/>
            </w:pPr>
            <w:r>
              <w:rPr>
                <w:sz w:val="17"/>
              </w:rPr>
              <w:t>Racial data literacy</w:t>
            </w:r>
          </w:p>
        </w:tc>
        <w:tc>
          <w:tcPr>
            <w:tcW w:w="3144" w:type="dxa"/>
            <w:tcBorders>
              <w:top w:val="nil"/>
              <w:left w:val="nil"/>
              <w:bottom w:val="nil"/>
              <w:right w:val="nil"/>
            </w:tcBorders>
          </w:tcPr>
          <w:p w14:paraId="597AD9B9" w14:textId="77777777" w:rsidR="007832C4" w:rsidRDefault="00000000">
            <w:pPr>
              <w:spacing w:after="0" w:line="259" w:lineRule="auto"/>
              <w:ind w:left="0" w:right="126" w:firstLine="0"/>
              <w:jc w:val="left"/>
            </w:pPr>
            <w:r>
              <w:rPr>
                <w:sz w:val="17"/>
              </w:rPr>
              <w:t>‘</w:t>
            </w:r>
            <w:proofErr w:type="gramStart"/>
            <w:r>
              <w:rPr>
                <w:sz w:val="17"/>
              </w:rPr>
              <w:t>the</w:t>
            </w:r>
            <w:proofErr w:type="gramEnd"/>
            <w:r>
              <w:rPr>
                <w:sz w:val="17"/>
              </w:rPr>
              <w:t xml:space="preserve"> set of practices that are necessary for an individual to be racially literate about data and data-literate about race’ – for example, ‘examining how societal meanings about race are produced, in part, by the possibilities and constraints in the collection, storage, conversion, manipulation, and representation of data sets’</w:t>
            </w:r>
          </w:p>
        </w:tc>
      </w:tr>
      <w:tr w:rsidR="007832C4" w14:paraId="22B4F496" w14:textId="77777777">
        <w:trPr>
          <w:trHeight w:val="1433"/>
        </w:trPr>
        <w:tc>
          <w:tcPr>
            <w:tcW w:w="1616" w:type="dxa"/>
            <w:tcBorders>
              <w:top w:val="nil"/>
              <w:left w:val="nil"/>
              <w:bottom w:val="nil"/>
              <w:right w:val="nil"/>
            </w:tcBorders>
          </w:tcPr>
          <w:p w14:paraId="5AFC525F" w14:textId="77777777" w:rsidR="007832C4" w:rsidRDefault="00000000">
            <w:pPr>
              <w:spacing w:after="0" w:line="259" w:lineRule="auto"/>
              <w:ind w:left="80" w:right="0" w:firstLine="0"/>
              <w:jc w:val="left"/>
            </w:pPr>
            <w:r>
              <w:rPr>
                <w:sz w:val="17"/>
              </w:rPr>
              <w:t xml:space="preserve">Gray, Gerlitz, and </w:t>
            </w:r>
            <w:proofErr w:type="spellStart"/>
            <w:r>
              <w:rPr>
                <w:sz w:val="17"/>
              </w:rPr>
              <w:t>Bounegru</w:t>
            </w:r>
            <w:proofErr w:type="spellEnd"/>
            <w:r>
              <w:rPr>
                <w:sz w:val="17"/>
              </w:rPr>
              <w:t xml:space="preserve"> (2018)</w:t>
            </w:r>
            <w:r>
              <w:rPr>
                <w:sz w:val="15"/>
                <w:vertAlign w:val="superscript"/>
              </w:rPr>
              <w:t>33</w:t>
            </w:r>
          </w:p>
        </w:tc>
        <w:tc>
          <w:tcPr>
            <w:tcW w:w="1720" w:type="dxa"/>
            <w:tcBorders>
              <w:top w:val="nil"/>
              <w:left w:val="nil"/>
              <w:bottom w:val="nil"/>
              <w:right w:val="nil"/>
            </w:tcBorders>
          </w:tcPr>
          <w:p w14:paraId="1CF0F9AE" w14:textId="77777777" w:rsidR="007832C4" w:rsidRDefault="00000000">
            <w:pPr>
              <w:spacing w:after="0" w:line="259" w:lineRule="auto"/>
              <w:ind w:left="0" w:right="0" w:firstLine="0"/>
              <w:jc w:val="left"/>
            </w:pPr>
            <w:r>
              <w:rPr>
                <w:sz w:val="17"/>
              </w:rPr>
              <w:t>Data infrastructure literacy</w:t>
            </w:r>
          </w:p>
        </w:tc>
        <w:tc>
          <w:tcPr>
            <w:tcW w:w="3144" w:type="dxa"/>
            <w:tcBorders>
              <w:top w:val="nil"/>
              <w:left w:val="nil"/>
              <w:bottom w:val="nil"/>
              <w:right w:val="nil"/>
            </w:tcBorders>
          </w:tcPr>
          <w:p w14:paraId="63A742A7" w14:textId="77777777" w:rsidR="007832C4" w:rsidRDefault="00000000">
            <w:pPr>
              <w:spacing w:after="0" w:line="259" w:lineRule="auto"/>
              <w:ind w:left="0" w:right="0" w:firstLine="0"/>
              <w:jc w:val="left"/>
            </w:pPr>
            <w:r>
              <w:rPr>
                <w:sz w:val="17"/>
              </w:rPr>
              <w:t>‘</w:t>
            </w:r>
            <w:proofErr w:type="gramStart"/>
            <w:r>
              <w:rPr>
                <w:sz w:val="17"/>
              </w:rPr>
              <w:t>critical</w:t>
            </w:r>
            <w:proofErr w:type="gramEnd"/>
            <w:r>
              <w:rPr>
                <w:sz w:val="17"/>
              </w:rPr>
              <w:t xml:space="preserve"> inquiry into datafication, into how datasets are created with certain purposes in mind as well as </w:t>
            </w:r>
            <w:proofErr w:type="gramStart"/>
            <w:r>
              <w:rPr>
                <w:sz w:val="17"/>
              </w:rPr>
              <w:t>opening up</w:t>
            </w:r>
            <w:proofErr w:type="gramEnd"/>
            <w:r>
              <w:rPr>
                <w:sz w:val="17"/>
              </w:rPr>
              <w:t xml:space="preserve"> “infrastructural imagination” … about how they might be created, used and organised differently (or not at all)’</w:t>
            </w:r>
          </w:p>
        </w:tc>
      </w:tr>
      <w:tr w:rsidR="007832C4" w14:paraId="40A0AADF" w14:textId="77777777">
        <w:trPr>
          <w:trHeight w:val="743"/>
        </w:trPr>
        <w:tc>
          <w:tcPr>
            <w:tcW w:w="1616" w:type="dxa"/>
            <w:tcBorders>
              <w:top w:val="nil"/>
              <w:left w:val="nil"/>
              <w:bottom w:val="nil"/>
              <w:right w:val="nil"/>
            </w:tcBorders>
          </w:tcPr>
          <w:p w14:paraId="1317D1E5" w14:textId="77777777" w:rsidR="007832C4" w:rsidRDefault="00000000">
            <w:pPr>
              <w:spacing w:after="0" w:line="259" w:lineRule="auto"/>
              <w:ind w:left="80" w:right="0" w:firstLine="0"/>
              <w:jc w:val="left"/>
            </w:pPr>
            <w:proofErr w:type="spellStart"/>
            <w:r>
              <w:rPr>
                <w:sz w:val="17"/>
              </w:rPr>
              <w:t>D’Ignazio</w:t>
            </w:r>
            <w:proofErr w:type="spellEnd"/>
            <w:r>
              <w:rPr>
                <w:sz w:val="17"/>
              </w:rPr>
              <w:t xml:space="preserve"> and </w:t>
            </w:r>
          </w:p>
          <w:p w14:paraId="13DC08E6" w14:textId="77777777" w:rsidR="007832C4" w:rsidRDefault="00000000">
            <w:pPr>
              <w:spacing w:after="0" w:line="259" w:lineRule="auto"/>
              <w:ind w:left="80" w:right="0" w:firstLine="0"/>
              <w:jc w:val="left"/>
            </w:pPr>
            <w:r>
              <w:rPr>
                <w:sz w:val="17"/>
              </w:rPr>
              <w:t>Bhargava (2018)</w:t>
            </w:r>
            <w:r>
              <w:rPr>
                <w:sz w:val="15"/>
                <w:vertAlign w:val="superscript"/>
              </w:rPr>
              <w:t>34</w:t>
            </w:r>
          </w:p>
        </w:tc>
        <w:tc>
          <w:tcPr>
            <w:tcW w:w="1720" w:type="dxa"/>
            <w:tcBorders>
              <w:top w:val="nil"/>
              <w:left w:val="nil"/>
              <w:bottom w:val="nil"/>
              <w:right w:val="nil"/>
            </w:tcBorders>
          </w:tcPr>
          <w:p w14:paraId="7B4E16B3" w14:textId="77777777" w:rsidR="007832C4" w:rsidRDefault="00000000">
            <w:pPr>
              <w:spacing w:after="0" w:line="259" w:lineRule="auto"/>
              <w:ind w:left="0" w:right="0" w:firstLine="0"/>
              <w:jc w:val="left"/>
            </w:pPr>
            <w:r>
              <w:rPr>
                <w:sz w:val="17"/>
              </w:rPr>
              <w:t>Data mindset</w:t>
            </w:r>
          </w:p>
        </w:tc>
        <w:tc>
          <w:tcPr>
            <w:tcW w:w="3144" w:type="dxa"/>
            <w:tcBorders>
              <w:top w:val="nil"/>
              <w:left w:val="nil"/>
              <w:bottom w:val="nil"/>
              <w:right w:val="nil"/>
            </w:tcBorders>
          </w:tcPr>
          <w:p w14:paraId="7DC9C53D" w14:textId="77777777" w:rsidR="007832C4" w:rsidRDefault="00000000">
            <w:pPr>
              <w:spacing w:after="0" w:line="259" w:lineRule="auto"/>
              <w:ind w:left="0" w:right="0" w:firstLine="0"/>
              <w:jc w:val="left"/>
            </w:pPr>
            <w:r>
              <w:rPr>
                <w:sz w:val="17"/>
              </w:rPr>
              <w:t>‘</w:t>
            </w:r>
            <w:proofErr w:type="gramStart"/>
            <w:r>
              <w:rPr>
                <w:sz w:val="17"/>
              </w:rPr>
              <w:t>the</w:t>
            </w:r>
            <w:proofErr w:type="gramEnd"/>
            <w:r>
              <w:rPr>
                <w:sz w:val="17"/>
              </w:rPr>
              <w:t xml:space="preserve"> ability to think both creatively and critically about what insights and stories might be possible to glean from data’</w:t>
            </w:r>
          </w:p>
        </w:tc>
      </w:tr>
      <w:tr w:rsidR="007832C4" w14:paraId="01F7532C" w14:textId="77777777">
        <w:trPr>
          <w:trHeight w:val="1419"/>
        </w:trPr>
        <w:tc>
          <w:tcPr>
            <w:tcW w:w="1616" w:type="dxa"/>
            <w:tcBorders>
              <w:top w:val="nil"/>
              <w:left w:val="nil"/>
              <w:bottom w:val="single" w:sz="4" w:space="0" w:color="1A1919"/>
              <w:right w:val="nil"/>
            </w:tcBorders>
          </w:tcPr>
          <w:p w14:paraId="6EC814A3" w14:textId="77777777" w:rsidR="007832C4" w:rsidRDefault="00000000">
            <w:pPr>
              <w:spacing w:after="0" w:line="259" w:lineRule="auto"/>
              <w:ind w:left="80" w:right="0" w:firstLine="0"/>
              <w:jc w:val="left"/>
            </w:pPr>
            <w:proofErr w:type="spellStart"/>
            <w:r>
              <w:rPr>
                <w:sz w:val="17"/>
              </w:rPr>
              <w:t>Pangrazi</w:t>
            </w:r>
            <w:proofErr w:type="spellEnd"/>
            <w:r>
              <w:rPr>
                <w:sz w:val="17"/>
              </w:rPr>
              <w:t xml:space="preserve"> and Selwyn (2019)</w:t>
            </w:r>
            <w:r>
              <w:rPr>
                <w:sz w:val="15"/>
                <w:vertAlign w:val="superscript"/>
              </w:rPr>
              <w:t>35</w:t>
            </w:r>
          </w:p>
        </w:tc>
        <w:tc>
          <w:tcPr>
            <w:tcW w:w="1720" w:type="dxa"/>
            <w:tcBorders>
              <w:top w:val="nil"/>
              <w:left w:val="nil"/>
              <w:bottom w:val="single" w:sz="4" w:space="0" w:color="1A1919"/>
              <w:right w:val="nil"/>
            </w:tcBorders>
          </w:tcPr>
          <w:p w14:paraId="0CCC9313" w14:textId="77777777" w:rsidR="007832C4" w:rsidRDefault="00000000">
            <w:pPr>
              <w:spacing w:after="0" w:line="259" w:lineRule="auto"/>
              <w:ind w:left="0" w:right="0" w:firstLine="0"/>
              <w:jc w:val="left"/>
            </w:pPr>
            <w:r>
              <w:rPr>
                <w:sz w:val="17"/>
              </w:rPr>
              <w:t>Personal data literacy</w:t>
            </w:r>
          </w:p>
        </w:tc>
        <w:tc>
          <w:tcPr>
            <w:tcW w:w="3144" w:type="dxa"/>
            <w:tcBorders>
              <w:top w:val="nil"/>
              <w:left w:val="nil"/>
              <w:bottom w:val="single" w:sz="4" w:space="0" w:color="1A1919"/>
              <w:right w:val="nil"/>
            </w:tcBorders>
          </w:tcPr>
          <w:p w14:paraId="1F32FBEC" w14:textId="77777777" w:rsidR="007832C4" w:rsidRDefault="00000000">
            <w:pPr>
              <w:spacing w:after="0" w:line="259" w:lineRule="auto"/>
              <w:ind w:left="0" w:right="0" w:firstLine="0"/>
              <w:jc w:val="left"/>
            </w:pPr>
            <w:r>
              <w:rPr>
                <w:sz w:val="17"/>
              </w:rPr>
              <w:t>‘</w:t>
            </w:r>
            <w:proofErr w:type="gramStart"/>
            <w:r>
              <w:rPr>
                <w:sz w:val="17"/>
              </w:rPr>
              <w:t>critical</w:t>
            </w:r>
            <w:proofErr w:type="gramEnd"/>
            <w:r>
              <w:rPr>
                <w:sz w:val="17"/>
              </w:rPr>
              <w:t xml:space="preserve"> understandings of the reconstitutions and recirculation of data’, being able to identify what personal data is, understand how it is processed, reflect on its implications, use data oneself, and tactically resist, obfuscate, and repurpose data </w:t>
            </w:r>
          </w:p>
        </w:tc>
      </w:tr>
    </w:tbl>
    <w:p w14:paraId="083E6893" w14:textId="77777777" w:rsidR="007832C4" w:rsidRDefault="00000000">
      <w:pPr>
        <w:spacing w:after="0" w:line="259" w:lineRule="auto"/>
        <w:ind w:left="0" w:firstLine="0"/>
        <w:jc w:val="right"/>
      </w:pPr>
      <w:r>
        <w:rPr>
          <w:sz w:val="17"/>
        </w:rPr>
        <w:t>(</w:t>
      </w:r>
      <w:proofErr w:type="spellStart"/>
      <w:proofErr w:type="gramStart"/>
      <w:r>
        <w:rPr>
          <w:i/>
          <w:sz w:val="17"/>
        </w:rPr>
        <w:t>Contd</w:t>
      </w:r>
      <w:proofErr w:type="spellEnd"/>
      <w:r>
        <w:rPr>
          <w:i/>
          <w:sz w:val="17"/>
        </w:rPr>
        <w:t xml:space="preserve"> </w:t>
      </w:r>
      <w:r>
        <w:rPr>
          <w:sz w:val="17"/>
        </w:rPr>
        <w:t>)</w:t>
      </w:r>
      <w:proofErr w:type="gramEnd"/>
    </w:p>
    <w:p w14:paraId="31411A22" w14:textId="77777777" w:rsidR="005D4BB5" w:rsidRDefault="005D4BB5">
      <w:pPr>
        <w:tabs>
          <w:tab w:val="center" w:pos="1069"/>
        </w:tabs>
        <w:spacing w:after="0" w:line="259" w:lineRule="auto"/>
        <w:ind w:left="0" w:right="0" w:firstLine="0"/>
        <w:jc w:val="left"/>
        <w:rPr>
          <w:b/>
          <w:sz w:val="17"/>
        </w:rPr>
      </w:pPr>
    </w:p>
    <w:p w14:paraId="3D55D7A7" w14:textId="77777777" w:rsidR="005D4BB5" w:rsidRDefault="005D4BB5">
      <w:pPr>
        <w:tabs>
          <w:tab w:val="center" w:pos="1069"/>
        </w:tabs>
        <w:spacing w:after="0" w:line="259" w:lineRule="auto"/>
        <w:ind w:left="0" w:right="0" w:firstLine="0"/>
        <w:jc w:val="left"/>
        <w:rPr>
          <w:b/>
          <w:sz w:val="17"/>
        </w:rPr>
      </w:pPr>
    </w:p>
    <w:p w14:paraId="092691AF" w14:textId="77777777" w:rsidR="005D4BB5" w:rsidRDefault="005D4BB5">
      <w:pPr>
        <w:spacing w:after="160" w:line="278" w:lineRule="auto"/>
        <w:ind w:left="0" w:right="0" w:firstLine="0"/>
        <w:jc w:val="left"/>
        <w:rPr>
          <w:b/>
          <w:sz w:val="17"/>
        </w:rPr>
      </w:pPr>
      <w:r>
        <w:rPr>
          <w:b/>
          <w:sz w:val="17"/>
        </w:rPr>
        <w:br w:type="page"/>
      </w:r>
    </w:p>
    <w:p w14:paraId="5D3E7B9C" w14:textId="213F016E" w:rsidR="007832C4" w:rsidRDefault="00000000">
      <w:pPr>
        <w:tabs>
          <w:tab w:val="center" w:pos="1069"/>
        </w:tabs>
        <w:spacing w:after="0" w:line="259" w:lineRule="auto"/>
        <w:ind w:left="0" w:right="0" w:firstLine="0"/>
        <w:jc w:val="left"/>
      </w:pPr>
      <w:r>
        <w:rPr>
          <w:b/>
          <w:sz w:val="17"/>
        </w:rPr>
        <w:lastRenderedPageBreak/>
        <w:t xml:space="preserve">Table 4.1 </w:t>
      </w:r>
      <w:r>
        <w:rPr>
          <w:b/>
          <w:sz w:val="17"/>
        </w:rPr>
        <w:tab/>
      </w:r>
      <w:r>
        <w:rPr>
          <w:sz w:val="17"/>
        </w:rPr>
        <w:t>(</w:t>
      </w:r>
      <w:proofErr w:type="spellStart"/>
      <w:proofErr w:type="gramStart"/>
      <w:r>
        <w:rPr>
          <w:i/>
          <w:sz w:val="17"/>
        </w:rPr>
        <w:t>Contd</w:t>
      </w:r>
      <w:proofErr w:type="spellEnd"/>
      <w:r>
        <w:rPr>
          <w:i/>
          <w:sz w:val="17"/>
        </w:rPr>
        <w:t xml:space="preserve"> </w:t>
      </w:r>
      <w:r>
        <w:rPr>
          <w:sz w:val="17"/>
        </w:rPr>
        <w:t>)</w:t>
      </w:r>
      <w:proofErr w:type="gramEnd"/>
    </w:p>
    <w:tbl>
      <w:tblPr>
        <w:tblStyle w:val="TableGrid"/>
        <w:tblW w:w="6480" w:type="dxa"/>
        <w:tblInd w:w="0" w:type="dxa"/>
        <w:tblCellMar>
          <w:top w:w="34" w:type="dxa"/>
          <w:right w:w="97" w:type="dxa"/>
        </w:tblCellMar>
        <w:tblLook w:val="04A0" w:firstRow="1" w:lastRow="0" w:firstColumn="1" w:lastColumn="0" w:noHBand="0" w:noVBand="1"/>
      </w:tblPr>
      <w:tblGrid>
        <w:gridCol w:w="1616"/>
        <w:gridCol w:w="1720"/>
        <w:gridCol w:w="3144"/>
      </w:tblGrid>
      <w:tr w:rsidR="007832C4" w14:paraId="4374511D" w14:textId="77777777">
        <w:trPr>
          <w:trHeight w:val="283"/>
        </w:trPr>
        <w:tc>
          <w:tcPr>
            <w:tcW w:w="1616" w:type="dxa"/>
            <w:tcBorders>
              <w:top w:val="single" w:sz="4" w:space="0" w:color="1A1919"/>
              <w:left w:val="nil"/>
              <w:bottom w:val="single" w:sz="4" w:space="0" w:color="1A1919"/>
              <w:right w:val="nil"/>
            </w:tcBorders>
          </w:tcPr>
          <w:p w14:paraId="411906F3" w14:textId="77777777" w:rsidR="007832C4" w:rsidRDefault="00000000">
            <w:pPr>
              <w:spacing w:after="0" w:line="259" w:lineRule="auto"/>
              <w:ind w:left="80" w:right="0" w:firstLine="0"/>
              <w:jc w:val="left"/>
            </w:pPr>
            <w:r>
              <w:rPr>
                <w:b/>
                <w:sz w:val="17"/>
              </w:rPr>
              <w:t>Source</w:t>
            </w:r>
          </w:p>
        </w:tc>
        <w:tc>
          <w:tcPr>
            <w:tcW w:w="1720" w:type="dxa"/>
            <w:tcBorders>
              <w:top w:val="single" w:sz="4" w:space="0" w:color="1A1919"/>
              <w:left w:val="nil"/>
              <w:bottom w:val="single" w:sz="4" w:space="0" w:color="1A1919"/>
              <w:right w:val="nil"/>
            </w:tcBorders>
          </w:tcPr>
          <w:p w14:paraId="782C696C" w14:textId="77777777" w:rsidR="007832C4" w:rsidRDefault="00000000">
            <w:pPr>
              <w:spacing w:after="0" w:line="259" w:lineRule="auto"/>
              <w:ind w:left="0" w:right="0" w:firstLine="0"/>
              <w:jc w:val="left"/>
            </w:pPr>
            <w:r>
              <w:rPr>
                <w:b/>
                <w:sz w:val="17"/>
              </w:rPr>
              <w:t>Term</w:t>
            </w:r>
          </w:p>
        </w:tc>
        <w:tc>
          <w:tcPr>
            <w:tcW w:w="3144" w:type="dxa"/>
            <w:tcBorders>
              <w:top w:val="single" w:sz="4" w:space="0" w:color="1A1919"/>
              <w:left w:val="nil"/>
              <w:bottom w:val="single" w:sz="4" w:space="0" w:color="1A1919"/>
              <w:right w:val="nil"/>
            </w:tcBorders>
          </w:tcPr>
          <w:p w14:paraId="5AD54992" w14:textId="77777777" w:rsidR="007832C4" w:rsidRDefault="00000000">
            <w:pPr>
              <w:spacing w:after="0" w:line="259" w:lineRule="auto"/>
              <w:ind w:left="0" w:right="0" w:firstLine="0"/>
              <w:jc w:val="left"/>
            </w:pPr>
            <w:r>
              <w:rPr>
                <w:b/>
                <w:sz w:val="17"/>
              </w:rPr>
              <w:t>Definition</w:t>
            </w:r>
          </w:p>
        </w:tc>
      </w:tr>
      <w:tr w:rsidR="007832C4" w14:paraId="46B270C9" w14:textId="77777777">
        <w:trPr>
          <w:trHeight w:val="1217"/>
        </w:trPr>
        <w:tc>
          <w:tcPr>
            <w:tcW w:w="1616" w:type="dxa"/>
            <w:tcBorders>
              <w:top w:val="single" w:sz="4" w:space="0" w:color="1A1919"/>
              <w:left w:val="nil"/>
              <w:bottom w:val="nil"/>
              <w:right w:val="nil"/>
            </w:tcBorders>
          </w:tcPr>
          <w:p w14:paraId="60588EAA" w14:textId="77777777" w:rsidR="007832C4" w:rsidRDefault="00000000">
            <w:pPr>
              <w:spacing w:after="0" w:line="286" w:lineRule="auto"/>
              <w:ind w:left="80" w:right="40" w:firstLine="0"/>
              <w:jc w:val="left"/>
            </w:pPr>
            <w:r>
              <w:rPr>
                <w:sz w:val="17"/>
              </w:rPr>
              <w:t xml:space="preserve">van Es, Coombs, and </w:t>
            </w:r>
            <w:proofErr w:type="spellStart"/>
            <w:r>
              <w:rPr>
                <w:sz w:val="17"/>
              </w:rPr>
              <w:t>Boeschoten</w:t>
            </w:r>
            <w:proofErr w:type="spellEnd"/>
            <w:r>
              <w:rPr>
                <w:sz w:val="17"/>
              </w:rPr>
              <w:t xml:space="preserve"> </w:t>
            </w:r>
          </w:p>
          <w:p w14:paraId="4065F463" w14:textId="77777777" w:rsidR="007832C4" w:rsidRDefault="00000000">
            <w:pPr>
              <w:spacing w:after="0" w:line="259" w:lineRule="auto"/>
              <w:ind w:left="80" w:right="0" w:firstLine="0"/>
              <w:jc w:val="left"/>
            </w:pPr>
            <w:r>
              <w:rPr>
                <w:sz w:val="17"/>
              </w:rPr>
              <w:t>(2017)</w:t>
            </w:r>
            <w:r>
              <w:rPr>
                <w:sz w:val="15"/>
                <w:vertAlign w:val="superscript"/>
              </w:rPr>
              <w:t>36</w:t>
            </w:r>
          </w:p>
        </w:tc>
        <w:tc>
          <w:tcPr>
            <w:tcW w:w="1720" w:type="dxa"/>
            <w:tcBorders>
              <w:top w:val="single" w:sz="4" w:space="0" w:color="1A1919"/>
              <w:left w:val="nil"/>
              <w:bottom w:val="nil"/>
              <w:right w:val="nil"/>
            </w:tcBorders>
          </w:tcPr>
          <w:p w14:paraId="225D51A2" w14:textId="77777777" w:rsidR="007832C4" w:rsidRDefault="00000000">
            <w:pPr>
              <w:spacing w:after="0" w:line="259" w:lineRule="auto"/>
              <w:ind w:left="0" w:right="0" w:firstLine="0"/>
              <w:jc w:val="left"/>
            </w:pPr>
            <w:r>
              <w:rPr>
                <w:sz w:val="17"/>
              </w:rPr>
              <w:t>Reflexive digital data analysis</w:t>
            </w:r>
          </w:p>
        </w:tc>
        <w:tc>
          <w:tcPr>
            <w:tcW w:w="3144" w:type="dxa"/>
            <w:tcBorders>
              <w:top w:val="single" w:sz="4" w:space="0" w:color="1A1919"/>
              <w:left w:val="nil"/>
              <w:bottom w:val="nil"/>
              <w:right w:val="nil"/>
            </w:tcBorders>
          </w:tcPr>
          <w:p w14:paraId="71117B41" w14:textId="77777777" w:rsidR="007832C4" w:rsidRDefault="00000000">
            <w:pPr>
              <w:spacing w:after="0" w:line="259" w:lineRule="auto"/>
              <w:ind w:left="0" w:right="0" w:firstLine="0"/>
              <w:jc w:val="left"/>
            </w:pPr>
            <w:r>
              <w:rPr>
                <w:sz w:val="17"/>
              </w:rPr>
              <w:t>digital data analysis (acquiring, cleaning, and analysing) in which ‘researchers consider their own role in the construction of the data’ and ‘take responsibility to discern how [the tools and platforms they use] shape the data’</w:t>
            </w:r>
          </w:p>
        </w:tc>
      </w:tr>
      <w:tr w:rsidR="007832C4" w14:paraId="1BB3D2E3" w14:textId="77777777">
        <w:trPr>
          <w:trHeight w:val="1649"/>
        </w:trPr>
        <w:tc>
          <w:tcPr>
            <w:tcW w:w="1616" w:type="dxa"/>
            <w:tcBorders>
              <w:top w:val="nil"/>
              <w:left w:val="nil"/>
              <w:bottom w:val="single" w:sz="4" w:space="0" w:color="1A1919"/>
              <w:right w:val="nil"/>
            </w:tcBorders>
          </w:tcPr>
          <w:p w14:paraId="469DB8BE" w14:textId="77777777" w:rsidR="007832C4" w:rsidRDefault="00000000">
            <w:pPr>
              <w:spacing w:after="0" w:line="259" w:lineRule="auto"/>
              <w:ind w:left="80" w:right="0" w:firstLine="0"/>
              <w:jc w:val="left"/>
            </w:pPr>
            <w:r>
              <w:rPr>
                <w:sz w:val="17"/>
              </w:rPr>
              <w:t>Sander (2020)</w:t>
            </w:r>
            <w:r>
              <w:rPr>
                <w:sz w:val="15"/>
                <w:vertAlign w:val="superscript"/>
              </w:rPr>
              <w:t>37</w:t>
            </w:r>
          </w:p>
        </w:tc>
        <w:tc>
          <w:tcPr>
            <w:tcW w:w="1720" w:type="dxa"/>
            <w:tcBorders>
              <w:top w:val="nil"/>
              <w:left w:val="nil"/>
              <w:bottom w:val="single" w:sz="4" w:space="0" w:color="1A1919"/>
              <w:right w:val="nil"/>
            </w:tcBorders>
          </w:tcPr>
          <w:p w14:paraId="2BC5362E" w14:textId="77777777" w:rsidR="007832C4" w:rsidRDefault="00000000">
            <w:pPr>
              <w:spacing w:after="0" w:line="259" w:lineRule="auto"/>
              <w:ind w:left="0" w:right="50" w:firstLine="0"/>
              <w:jc w:val="left"/>
            </w:pPr>
            <w:r>
              <w:rPr>
                <w:sz w:val="17"/>
              </w:rPr>
              <w:t>Critical big data literacy</w:t>
            </w:r>
          </w:p>
        </w:tc>
        <w:tc>
          <w:tcPr>
            <w:tcW w:w="3144" w:type="dxa"/>
            <w:tcBorders>
              <w:top w:val="nil"/>
              <w:left w:val="nil"/>
              <w:bottom w:val="single" w:sz="4" w:space="0" w:color="1A1919"/>
              <w:right w:val="nil"/>
            </w:tcBorders>
          </w:tcPr>
          <w:p w14:paraId="47BC3E6E" w14:textId="77777777" w:rsidR="007832C4" w:rsidRDefault="00000000">
            <w:pPr>
              <w:spacing w:after="0" w:line="259" w:lineRule="auto"/>
              <w:ind w:left="0" w:right="96" w:firstLine="0"/>
              <w:jc w:val="left"/>
            </w:pPr>
            <w:r>
              <w:rPr>
                <w:sz w:val="17"/>
              </w:rPr>
              <w:t>‘</w:t>
            </w:r>
            <w:proofErr w:type="gramStart"/>
            <w:r>
              <w:rPr>
                <w:sz w:val="17"/>
              </w:rPr>
              <w:t>awareness</w:t>
            </w:r>
            <w:proofErr w:type="gramEnd"/>
            <w:r>
              <w:rPr>
                <w:sz w:val="17"/>
              </w:rPr>
              <w:t>, understanding and ability to critically reflect upon big data collection practices, data uses and the possible risks and implications that come with these practices, as well as the ability to implement this knowledge for a more empowered internet usage’</w:t>
            </w:r>
          </w:p>
        </w:tc>
      </w:tr>
    </w:tbl>
    <w:p w14:paraId="5CAE0888" w14:textId="77777777" w:rsidR="007832C4" w:rsidRDefault="00000000">
      <w:pPr>
        <w:spacing w:after="465" w:line="265" w:lineRule="auto"/>
        <w:ind w:left="-5" w:right="0" w:hanging="10"/>
        <w:jc w:val="left"/>
      </w:pPr>
      <w:r>
        <w:rPr>
          <w:i/>
          <w:sz w:val="17"/>
        </w:rPr>
        <w:t>Source</w:t>
      </w:r>
      <w:r>
        <w:rPr>
          <w:sz w:val="17"/>
        </w:rPr>
        <w:t xml:space="preserve">: Collated by the authors from the sources listed in the ‘Sources’ column. </w:t>
      </w:r>
    </w:p>
    <w:p w14:paraId="1B8A40D8" w14:textId="77777777" w:rsidR="007832C4" w:rsidRDefault="00000000">
      <w:pPr>
        <w:spacing w:after="30"/>
        <w:ind w:left="0" w:right="0" w:firstLine="240"/>
      </w:pPr>
      <w:r>
        <w:t>The pedagogy of data literacy is still unsettled, in terms of both teaching methods and how to evaluate their effectiveness. Scholars who see data literacy as technical competencies are often more closely connected to educational disciplines and have done more work to operationalize data literacy and study the effects of different teaching approaches.</w:t>
      </w:r>
      <w:r>
        <w:rPr>
          <w:sz w:val="19"/>
          <w:vertAlign w:val="superscript"/>
        </w:rPr>
        <w:t>38</w:t>
      </w:r>
      <w:r>
        <w:t xml:space="preserve"> Systematic reviews show that data literacy is being taught at educational institutions across all levels.</w:t>
      </w:r>
      <w:r>
        <w:rPr>
          <w:sz w:val="19"/>
          <w:vertAlign w:val="superscript"/>
        </w:rPr>
        <w:t>39</w:t>
      </w:r>
      <w:r>
        <w:t xml:space="preserve"> Courses that integrate data literacy often use practice-based approaches with real-world data. Sometimes data literacy is taught as multiple, successive modules in a stand-alone course, while other times it is integrated in other courses as part of projects.</w:t>
      </w:r>
      <w:r>
        <w:rPr>
          <w:sz w:val="19"/>
          <w:vertAlign w:val="superscript"/>
        </w:rPr>
        <w:t>40</w:t>
      </w:r>
      <w:r>
        <w:t xml:space="preserve"> Assessments about the learning outcomes of different pedagogical strategies use either self-report methods (such as surveys and interviews) where students reflect and describe their competences or direct measures (such as competency tests and participant observation).</w:t>
      </w:r>
      <w:r>
        <w:rPr>
          <w:sz w:val="19"/>
          <w:vertAlign w:val="superscript"/>
        </w:rPr>
        <w:t>41</w:t>
      </w:r>
      <w:r>
        <w:t xml:space="preserve"> However, these assessment tools are rarely validated and scholars are calling for higher-quality methods.</w:t>
      </w:r>
      <w:r>
        <w:rPr>
          <w:sz w:val="19"/>
          <w:vertAlign w:val="superscript"/>
        </w:rPr>
        <w:t>42</w:t>
      </w:r>
      <w:r>
        <w:t xml:space="preserve"> </w:t>
      </w:r>
    </w:p>
    <w:p w14:paraId="21E6667A" w14:textId="77777777" w:rsidR="007832C4" w:rsidRDefault="00000000">
      <w:pPr>
        <w:ind w:left="0" w:right="0" w:firstLine="240"/>
      </w:pPr>
      <w:r>
        <w:t>Critical and infrastructural approaches to teaching data literacy have fewer explicit studies on methods and learning outcomes, and instead mostly include high-level suggestions or autoethnographic descriptions of how data literacy could be taught. The focus is less on programming and data processing, which means teaching methods also include custom-built tools and devices (for example, DataBasic</w:t>
      </w:r>
      <w:r>
        <w:rPr>
          <w:sz w:val="19"/>
          <w:vertAlign w:val="superscript"/>
        </w:rPr>
        <w:t>43</w:t>
      </w:r>
      <w:r>
        <w:t xml:space="preserve"> and Stingray</w:t>
      </w:r>
      <w:r>
        <w:rPr>
          <w:sz w:val="19"/>
          <w:vertAlign w:val="superscript"/>
        </w:rPr>
        <w:t>44</w:t>
      </w:r>
      <w:r>
        <w:t>), interactive media (for example, Do Not Track</w:t>
      </w:r>
      <w:r>
        <w:rPr>
          <w:sz w:val="19"/>
          <w:vertAlign w:val="superscript"/>
        </w:rPr>
        <w:t>45</w:t>
      </w:r>
      <w:r>
        <w:t>), embodied representations (for example, acting out datasets</w:t>
      </w:r>
      <w:r>
        <w:rPr>
          <w:sz w:val="19"/>
          <w:vertAlign w:val="superscript"/>
        </w:rPr>
        <w:t>46</w:t>
      </w:r>
      <w:r>
        <w:t xml:space="preserve"> and algorithms</w:t>
      </w:r>
      <w:r>
        <w:rPr>
          <w:sz w:val="19"/>
          <w:vertAlign w:val="superscript"/>
        </w:rPr>
        <w:t>47</w:t>
      </w:r>
      <w:r>
        <w:t>), partnerships with more technically capable peers,</w:t>
      </w:r>
      <w:r>
        <w:rPr>
          <w:sz w:val="19"/>
          <w:vertAlign w:val="superscript"/>
        </w:rPr>
        <w:t>48</w:t>
      </w:r>
      <w:r>
        <w:t xml:space="preserve"> reflective discussions,</w:t>
      </w:r>
      <w:r>
        <w:rPr>
          <w:sz w:val="19"/>
          <w:vertAlign w:val="superscript"/>
        </w:rPr>
        <w:t>49</w:t>
      </w:r>
      <w:r>
        <w:t xml:space="preserve"> and so on. There are few post-hoc evaluations of the learning outcomes of these methods. Rather, suggestions of approaches are often based </w:t>
      </w:r>
      <w:r>
        <w:lastRenderedPageBreak/>
        <w:t>on the reflection of the teacher(s) after multiple experiences running a workshop or course.</w:t>
      </w:r>
    </w:p>
    <w:p w14:paraId="1EF61F27" w14:textId="77777777" w:rsidR="007832C4" w:rsidRDefault="00000000">
      <w:pPr>
        <w:spacing w:after="413"/>
        <w:ind w:left="0" w:right="0" w:firstLine="240"/>
      </w:pPr>
      <w:r>
        <w:t xml:space="preserve">In all the works discussing data literacy pedagogy, there has not been any systematic reflection on the role that access rights can have, either as part of exercise design or as a subject of </w:t>
      </w:r>
      <w:proofErr w:type="gramStart"/>
      <w:r>
        <w:t>study in its own right</w:t>
      </w:r>
      <w:proofErr w:type="gramEnd"/>
      <w:r>
        <w:t>.</w:t>
      </w:r>
    </w:p>
    <w:p w14:paraId="6315E3EC" w14:textId="77777777" w:rsidR="007832C4" w:rsidRDefault="00000000">
      <w:pPr>
        <w:pStyle w:val="Heading1"/>
        <w:ind w:left="-5"/>
      </w:pPr>
      <w:r>
        <w:t>Access Rights in EU Tech Law</w:t>
      </w:r>
    </w:p>
    <w:p w14:paraId="59D5BCE2" w14:textId="77777777" w:rsidR="007832C4" w:rsidRDefault="00000000">
      <w:pPr>
        <w:ind w:left="0" w:right="0" w:firstLine="0"/>
      </w:pPr>
      <w:r>
        <w:t>Access rights over personal data have existed in Europe in some form since the 1970s.</w:t>
      </w:r>
      <w:r>
        <w:rPr>
          <w:sz w:val="19"/>
          <w:vertAlign w:val="superscript"/>
        </w:rPr>
        <w:t>50</w:t>
      </w:r>
      <w:r>
        <w:t xml:space="preserve"> They were harmonized for the first time across the EU in 1995 through the Data Protection Directive, 1995,</w:t>
      </w:r>
      <w:r>
        <w:rPr>
          <w:sz w:val="19"/>
          <w:vertAlign w:val="superscript"/>
        </w:rPr>
        <w:t>51</w:t>
      </w:r>
      <w:r>
        <w:t xml:space="preserve"> and were subsequently fortified through the GDPR in 2016.</w:t>
      </w:r>
      <w:r>
        <w:rPr>
          <w:sz w:val="19"/>
          <w:vertAlign w:val="superscript"/>
        </w:rPr>
        <w:t>52</w:t>
      </w:r>
      <w:r>
        <w:t xml:space="preserve"> The EU’s recent DSA, DMA, and Data Act are poised to expand on these rights, although with different scopes and purposes. We briefly summarize the rights that could be used by students and teachers here, which is not intended as a comprehensive legal discussion but instead a gentle and pragmatic introduction for educators who might be unfamiliar with these rights (see Table 4.2 for an overview). </w:t>
      </w:r>
    </w:p>
    <w:p w14:paraId="77BC165F" w14:textId="77777777" w:rsidR="007832C4" w:rsidRDefault="00000000">
      <w:pPr>
        <w:spacing w:after="297"/>
        <w:ind w:left="0" w:right="0" w:firstLine="240"/>
      </w:pPr>
      <w:r>
        <w:t>Readers should keep in mind that only the access right in the GDPR has been in effect long enough for us to know something about how it works in practice, whereas the other regulations are still new and untested. Many European countries and the EU have also conferred access rights to citizens over public data through freedom of information legislation, but since their focus is not primarily about increasing transparency or control over digital technologies, these are not included.</w:t>
      </w:r>
    </w:p>
    <w:p w14:paraId="05B3266A" w14:textId="77777777" w:rsidR="007832C4" w:rsidRDefault="00000000">
      <w:pPr>
        <w:pStyle w:val="Heading2"/>
        <w:ind w:left="-5"/>
      </w:pPr>
      <w:r>
        <w:t>Article 15 of the General Data Protection Regulation</w:t>
      </w:r>
    </w:p>
    <w:p w14:paraId="44D55333" w14:textId="77777777" w:rsidR="007832C4" w:rsidRDefault="00000000">
      <w:pPr>
        <w:ind w:left="0" w:right="0" w:firstLine="0"/>
      </w:pPr>
      <w:r>
        <w:t>The GDPR</w:t>
      </w:r>
      <w:r>
        <w:rPr>
          <w:sz w:val="19"/>
          <w:vertAlign w:val="superscript"/>
        </w:rPr>
        <w:t>53</w:t>
      </w:r>
      <w:r>
        <w:t xml:space="preserve"> is a regulation that governs the processing of personal data about people in the EU, and one of its missions is to address the difficulties that people experience to stay in control of their personal data.</w:t>
      </w:r>
      <w:r>
        <w:rPr>
          <w:sz w:val="19"/>
          <w:vertAlign w:val="superscript"/>
        </w:rPr>
        <w:t>54</w:t>
      </w:r>
      <w:r>
        <w:t xml:space="preserve"> The right of access in Article 15 of the GDPR is one way it tries to improve this, although it already existed in some form in previous national</w:t>
      </w:r>
      <w:r>
        <w:rPr>
          <w:sz w:val="19"/>
          <w:vertAlign w:val="superscript"/>
        </w:rPr>
        <w:t>55</w:t>
      </w:r>
      <w:r>
        <w:t xml:space="preserve"> and EU legislation,</w:t>
      </w:r>
      <w:r>
        <w:rPr>
          <w:sz w:val="19"/>
          <w:vertAlign w:val="superscript"/>
        </w:rPr>
        <w:t>56</w:t>
      </w:r>
      <w:r>
        <w:t xml:space="preserve"> making it one of the oldest rights that people have over their personal data in the EU. The right should give so-called data subjects access to three things: (</w:t>
      </w:r>
      <w:r>
        <w:rPr>
          <w:i/>
        </w:rPr>
        <w:t>a</w:t>
      </w:r>
      <w:r>
        <w:t>) a confirmation as to whether a data controller has data about them; (</w:t>
      </w:r>
      <w:r>
        <w:rPr>
          <w:i/>
        </w:rPr>
        <w:t>b</w:t>
      </w:r>
      <w:r>
        <w:t>) access to a copy of that data; and (</w:t>
      </w:r>
      <w:r>
        <w:rPr>
          <w:i/>
        </w:rPr>
        <w:t>c</w:t>
      </w:r>
      <w:r>
        <w:t>) additional meta-information, such as for what purpose the data is processed, what categories the personal data falls into, who else might have access to this data, how long the data will be stored, where the data came from if it was not provided by the data subject themselves, and if and how it is being used for automated decision-making.</w:t>
      </w:r>
    </w:p>
    <w:p w14:paraId="46E5A930" w14:textId="77777777" w:rsidR="007832C4" w:rsidRDefault="00000000">
      <w:pPr>
        <w:tabs>
          <w:tab w:val="center" w:pos="2529"/>
        </w:tabs>
        <w:spacing w:after="0" w:line="265" w:lineRule="auto"/>
        <w:ind w:left="-15" w:right="0" w:firstLine="0"/>
        <w:jc w:val="left"/>
      </w:pPr>
      <w:r>
        <w:rPr>
          <w:b/>
          <w:sz w:val="17"/>
        </w:rPr>
        <w:lastRenderedPageBreak/>
        <w:t xml:space="preserve">Table 4.2 </w:t>
      </w:r>
      <w:r>
        <w:rPr>
          <w:b/>
          <w:sz w:val="17"/>
        </w:rPr>
        <w:tab/>
      </w:r>
      <w:r>
        <w:rPr>
          <w:sz w:val="17"/>
        </w:rPr>
        <w:t>A simplified overview of data access rights in the EU</w:t>
      </w:r>
    </w:p>
    <w:tbl>
      <w:tblPr>
        <w:tblStyle w:val="TableGrid"/>
        <w:tblW w:w="6480" w:type="dxa"/>
        <w:tblInd w:w="0" w:type="dxa"/>
        <w:tblCellMar>
          <w:top w:w="34" w:type="dxa"/>
          <w:right w:w="72" w:type="dxa"/>
        </w:tblCellMar>
        <w:tblLook w:val="04A0" w:firstRow="1" w:lastRow="0" w:firstColumn="1" w:lastColumn="0" w:noHBand="0" w:noVBand="1"/>
      </w:tblPr>
      <w:tblGrid>
        <w:gridCol w:w="1168"/>
        <w:gridCol w:w="1198"/>
        <w:gridCol w:w="960"/>
        <w:gridCol w:w="1036"/>
        <w:gridCol w:w="1306"/>
        <w:gridCol w:w="812"/>
      </w:tblGrid>
      <w:tr w:rsidR="007832C4" w14:paraId="39EE3332" w14:textId="77777777">
        <w:trPr>
          <w:trHeight w:val="513"/>
        </w:trPr>
        <w:tc>
          <w:tcPr>
            <w:tcW w:w="1190" w:type="dxa"/>
            <w:tcBorders>
              <w:top w:val="single" w:sz="4" w:space="0" w:color="1A1919"/>
              <w:left w:val="nil"/>
              <w:bottom w:val="single" w:sz="4" w:space="0" w:color="1A1919"/>
              <w:right w:val="nil"/>
            </w:tcBorders>
          </w:tcPr>
          <w:p w14:paraId="73987239" w14:textId="77777777" w:rsidR="007832C4" w:rsidRDefault="00000000">
            <w:pPr>
              <w:spacing w:after="0" w:line="259" w:lineRule="auto"/>
              <w:ind w:left="80" w:right="0" w:firstLine="0"/>
              <w:jc w:val="left"/>
            </w:pPr>
            <w:r>
              <w:rPr>
                <w:b/>
                <w:sz w:val="17"/>
              </w:rPr>
              <w:t>Law</w:t>
            </w:r>
          </w:p>
        </w:tc>
        <w:tc>
          <w:tcPr>
            <w:tcW w:w="1210" w:type="dxa"/>
            <w:tcBorders>
              <w:top w:val="single" w:sz="4" w:space="0" w:color="1A1919"/>
              <w:left w:val="nil"/>
              <w:bottom w:val="single" w:sz="4" w:space="0" w:color="1A1919"/>
              <w:right w:val="nil"/>
            </w:tcBorders>
          </w:tcPr>
          <w:p w14:paraId="3A62E21A" w14:textId="77777777" w:rsidR="007832C4" w:rsidRDefault="00000000">
            <w:pPr>
              <w:spacing w:after="0" w:line="259" w:lineRule="auto"/>
              <w:ind w:left="0" w:right="0" w:firstLine="0"/>
              <w:jc w:val="left"/>
            </w:pPr>
            <w:r>
              <w:rPr>
                <w:b/>
                <w:sz w:val="17"/>
              </w:rPr>
              <w:t>Type of data</w:t>
            </w:r>
          </w:p>
        </w:tc>
        <w:tc>
          <w:tcPr>
            <w:tcW w:w="968" w:type="dxa"/>
            <w:tcBorders>
              <w:top w:val="single" w:sz="4" w:space="0" w:color="1A1919"/>
              <w:left w:val="nil"/>
              <w:bottom w:val="single" w:sz="4" w:space="0" w:color="1A1919"/>
              <w:right w:val="nil"/>
            </w:tcBorders>
          </w:tcPr>
          <w:p w14:paraId="7E88E0C6" w14:textId="77777777" w:rsidR="007832C4" w:rsidRDefault="00000000">
            <w:pPr>
              <w:spacing w:after="0" w:line="259" w:lineRule="auto"/>
              <w:ind w:left="0" w:right="11" w:firstLine="0"/>
              <w:jc w:val="left"/>
            </w:pPr>
            <w:r>
              <w:rPr>
                <w:b/>
                <w:sz w:val="17"/>
              </w:rPr>
              <w:t>Right holder</w:t>
            </w:r>
          </w:p>
        </w:tc>
        <w:tc>
          <w:tcPr>
            <w:tcW w:w="1044" w:type="dxa"/>
            <w:tcBorders>
              <w:top w:val="single" w:sz="4" w:space="0" w:color="1A1919"/>
              <w:left w:val="nil"/>
              <w:bottom w:val="single" w:sz="4" w:space="0" w:color="1A1919"/>
              <w:right w:val="nil"/>
            </w:tcBorders>
          </w:tcPr>
          <w:p w14:paraId="64240A42" w14:textId="77777777" w:rsidR="007832C4" w:rsidRDefault="00000000">
            <w:pPr>
              <w:spacing w:after="0" w:line="259" w:lineRule="auto"/>
              <w:ind w:left="0" w:right="48" w:firstLine="0"/>
              <w:jc w:val="left"/>
            </w:pPr>
            <w:r>
              <w:rPr>
                <w:b/>
                <w:sz w:val="17"/>
              </w:rPr>
              <w:t>Applicable to</w:t>
            </w:r>
          </w:p>
        </w:tc>
        <w:tc>
          <w:tcPr>
            <w:tcW w:w="1255" w:type="dxa"/>
            <w:tcBorders>
              <w:top w:val="single" w:sz="4" w:space="0" w:color="1A1919"/>
              <w:left w:val="nil"/>
              <w:bottom w:val="single" w:sz="4" w:space="0" w:color="1A1919"/>
              <w:right w:val="nil"/>
            </w:tcBorders>
          </w:tcPr>
          <w:p w14:paraId="55AA6941" w14:textId="77777777" w:rsidR="007832C4" w:rsidRDefault="00000000">
            <w:pPr>
              <w:spacing w:after="0" w:line="259" w:lineRule="auto"/>
              <w:ind w:left="0" w:right="80" w:firstLine="0"/>
              <w:jc w:val="left"/>
            </w:pPr>
            <w:r>
              <w:rPr>
                <w:b/>
                <w:sz w:val="17"/>
              </w:rPr>
              <w:t>Access modality</w:t>
            </w:r>
          </w:p>
        </w:tc>
        <w:tc>
          <w:tcPr>
            <w:tcW w:w="814" w:type="dxa"/>
            <w:tcBorders>
              <w:top w:val="single" w:sz="4" w:space="0" w:color="1A1919"/>
              <w:left w:val="nil"/>
              <w:bottom w:val="single" w:sz="4" w:space="0" w:color="1A1919"/>
              <w:right w:val="nil"/>
            </w:tcBorders>
          </w:tcPr>
          <w:p w14:paraId="0594D64E" w14:textId="77777777" w:rsidR="007832C4" w:rsidRDefault="00000000">
            <w:pPr>
              <w:spacing w:after="0" w:line="259" w:lineRule="auto"/>
              <w:ind w:left="0" w:right="0" w:firstLine="0"/>
              <w:jc w:val="left"/>
            </w:pPr>
            <w:r>
              <w:rPr>
                <w:b/>
                <w:sz w:val="17"/>
              </w:rPr>
              <w:t>Response time</w:t>
            </w:r>
          </w:p>
        </w:tc>
      </w:tr>
      <w:tr w:rsidR="007832C4" w14:paraId="41B80F9D" w14:textId="77777777">
        <w:trPr>
          <w:trHeight w:val="527"/>
        </w:trPr>
        <w:tc>
          <w:tcPr>
            <w:tcW w:w="1190" w:type="dxa"/>
            <w:tcBorders>
              <w:top w:val="single" w:sz="4" w:space="0" w:color="1A1919"/>
              <w:left w:val="nil"/>
              <w:bottom w:val="nil"/>
              <w:right w:val="nil"/>
            </w:tcBorders>
          </w:tcPr>
          <w:p w14:paraId="022EDC3C" w14:textId="77777777" w:rsidR="007832C4" w:rsidRDefault="00000000">
            <w:pPr>
              <w:spacing w:after="22" w:line="259" w:lineRule="auto"/>
              <w:ind w:left="80" w:right="0" w:firstLine="0"/>
              <w:jc w:val="left"/>
            </w:pPr>
            <w:r>
              <w:rPr>
                <w:sz w:val="17"/>
              </w:rPr>
              <w:t xml:space="preserve">GDPR, </w:t>
            </w:r>
          </w:p>
          <w:p w14:paraId="5AC39FD2" w14:textId="77777777" w:rsidR="007832C4" w:rsidRDefault="00000000">
            <w:pPr>
              <w:spacing w:after="0" w:line="259" w:lineRule="auto"/>
              <w:ind w:left="80" w:right="0" w:firstLine="0"/>
              <w:jc w:val="left"/>
            </w:pPr>
            <w:r>
              <w:rPr>
                <w:sz w:val="17"/>
              </w:rPr>
              <w:t>Article15</w:t>
            </w:r>
          </w:p>
        </w:tc>
        <w:tc>
          <w:tcPr>
            <w:tcW w:w="1210" w:type="dxa"/>
            <w:tcBorders>
              <w:top w:val="single" w:sz="4" w:space="0" w:color="1A1919"/>
              <w:left w:val="nil"/>
              <w:bottom w:val="nil"/>
              <w:right w:val="nil"/>
            </w:tcBorders>
          </w:tcPr>
          <w:p w14:paraId="1DD713B6" w14:textId="77777777" w:rsidR="007832C4" w:rsidRDefault="00000000">
            <w:pPr>
              <w:spacing w:after="0" w:line="259" w:lineRule="auto"/>
              <w:ind w:left="0" w:right="0" w:firstLine="0"/>
              <w:jc w:val="left"/>
            </w:pPr>
            <w:r>
              <w:rPr>
                <w:sz w:val="17"/>
              </w:rPr>
              <w:t>Personal data</w:t>
            </w:r>
          </w:p>
        </w:tc>
        <w:tc>
          <w:tcPr>
            <w:tcW w:w="968" w:type="dxa"/>
            <w:tcBorders>
              <w:top w:val="single" w:sz="4" w:space="0" w:color="1A1919"/>
              <w:left w:val="nil"/>
              <w:bottom w:val="nil"/>
              <w:right w:val="nil"/>
            </w:tcBorders>
          </w:tcPr>
          <w:p w14:paraId="5F1BDE1E" w14:textId="77777777" w:rsidR="007832C4" w:rsidRDefault="00000000">
            <w:pPr>
              <w:spacing w:after="0" w:line="259" w:lineRule="auto"/>
              <w:ind w:left="0" w:right="0" w:firstLine="0"/>
              <w:jc w:val="left"/>
            </w:pPr>
            <w:r>
              <w:rPr>
                <w:sz w:val="17"/>
              </w:rPr>
              <w:t>Any individual</w:t>
            </w:r>
          </w:p>
        </w:tc>
        <w:tc>
          <w:tcPr>
            <w:tcW w:w="1044" w:type="dxa"/>
            <w:tcBorders>
              <w:top w:val="single" w:sz="4" w:space="0" w:color="1A1919"/>
              <w:left w:val="nil"/>
              <w:bottom w:val="nil"/>
              <w:right w:val="nil"/>
            </w:tcBorders>
          </w:tcPr>
          <w:p w14:paraId="4B251D28" w14:textId="77777777" w:rsidR="007832C4" w:rsidRDefault="00000000">
            <w:pPr>
              <w:spacing w:after="0" w:line="259" w:lineRule="auto"/>
              <w:ind w:left="0" w:right="0" w:firstLine="0"/>
              <w:jc w:val="left"/>
            </w:pPr>
            <w:r>
              <w:rPr>
                <w:sz w:val="17"/>
              </w:rPr>
              <w:t xml:space="preserve">Data controllers </w:t>
            </w:r>
          </w:p>
        </w:tc>
        <w:tc>
          <w:tcPr>
            <w:tcW w:w="1255" w:type="dxa"/>
            <w:tcBorders>
              <w:top w:val="single" w:sz="4" w:space="0" w:color="1A1919"/>
              <w:left w:val="nil"/>
              <w:bottom w:val="nil"/>
              <w:right w:val="nil"/>
            </w:tcBorders>
          </w:tcPr>
          <w:p w14:paraId="69DC75D3" w14:textId="77777777" w:rsidR="007832C4" w:rsidRDefault="00000000">
            <w:pPr>
              <w:spacing w:after="0" w:line="259" w:lineRule="auto"/>
              <w:ind w:left="0" w:right="0" w:firstLine="0"/>
              <w:jc w:val="left"/>
            </w:pPr>
            <w:r>
              <w:rPr>
                <w:sz w:val="17"/>
              </w:rPr>
              <w:t>Commonly used electronic form</w:t>
            </w:r>
          </w:p>
        </w:tc>
        <w:tc>
          <w:tcPr>
            <w:tcW w:w="814" w:type="dxa"/>
            <w:tcBorders>
              <w:top w:val="single" w:sz="4" w:space="0" w:color="1A1919"/>
              <w:left w:val="nil"/>
              <w:bottom w:val="nil"/>
              <w:right w:val="nil"/>
            </w:tcBorders>
          </w:tcPr>
          <w:p w14:paraId="49A107E1" w14:textId="77777777" w:rsidR="007832C4" w:rsidRDefault="00000000">
            <w:pPr>
              <w:spacing w:after="0" w:line="259" w:lineRule="auto"/>
              <w:ind w:left="0" w:right="0" w:firstLine="0"/>
              <w:jc w:val="left"/>
            </w:pPr>
            <w:r>
              <w:rPr>
                <w:sz w:val="17"/>
              </w:rPr>
              <w:t>30 days</w:t>
            </w:r>
          </w:p>
        </w:tc>
      </w:tr>
      <w:tr w:rsidR="007832C4" w14:paraId="7F9E5279" w14:textId="77777777">
        <w:trPr>
          <w:trHeight w:val="973"/>
        </w:trPr>
        <w:tc>
          <w:tcPr>
            <w:tcW w:w="1190" w:type="dxa"/>
            <w:tcBorders>
              <w:top w:val="nil"/>
              <w:left w:val="nil"/>
              <w:bottom w:val="nil"/>
              <w:right w:val="nil"/>
            </w:tcBorders>
          </w:tcPr>
          <w:p w14:paraId="4D3BE1CF" w14:textId="77777777" w:rsidR="007832C4" w:rsidRDefault="00000000">
            <w:pPr>
              <w:spacing w:after="22" w:line="259" w:lineRule="auto"/>
              <w:ind w:left="80" w:right="0" w:firstLine="0"/>
              <w:jc w:val="left"/>
            </w:pPr>
            <w:r>
              <w:rPr>
                <w:sz w:val="17"/>
              </w:rPr>
              <w:t xml:space="preserve">GDPR, </w:t>
            </w:r>
          </w:p>
          <w:p w14:paraId="0D52B1FF" w14:textId="77777777" w:rsidR="007832C4" w:rsidRDefault="00000000">
            <w:pPr>
              <w:spacing w:after="0" w:line="259" w:lineRule="auto"/>
              <w:ind w:left="80" w:right="0" w:firstLine="0"/>
              <w:jc w:val="left"/>
            </w:pPr>
            <w:r>
              <w:rPr>
                <w:sz w:val="17"/>
              </w:rPr>
              <w:t>Article 20</w:t>
            </w:r>
          </w:p>
        </w:tc>
        <w:tc>
          <w:tcPr>
            <w:tcW w:w="1210" w:type="dxa"/>
            <w:tcBorders>
              <w:top w:val="nil"/>
              <w:left w:val="nil"/>
              <w:bottom w:val="nil"/>
              <w:right w:val="nil"/>
            </w:tcBorders>
          </w:tcPr>
          <w:p w14:paraId="3883376A" w14:textId="77777777" w:rsidR="007832C4" w:rsidRDefault="00000000">
            <w:pPr>
              <w:spacing w:after="0" w:line="259" w:lineRule="auto"/>
              <w:ind w:left="0" w:right="0" w:firstLine="0"/>
              <w:jc w:val="left"/>
            </w:pPr>
            <w:r>
              <w:rPr>
                <w:sz w:val="17"/>
              </w:rPr>
              <w:t>Personal data</w:t>
            </w:r>
          </w:p>
        </w:tc>
        <w:tc>
          <w:tcPr>
            <w:tcW w:w="968" w:type="dxa"/>
            <w:tcBorders>
              <w:top w:val="nil"/>
              <w:left w:val="nil"/>
              <w:bottom w:val="nil"/>
              <w:right w:val="nil"/>
            </w:tcBorders>
          </w:tcPr>
          <w:p w14:paraId="1CF1A4B1" w14:textId="77777777" w:rsidR="007832C4" w:rsidRDefault="00000000">
            <w:pPr>
              <w:spacing w:after="0" w:line="259" w:lineRule="auto"/>
              <w:ind w:left="0" w:right="0" w:firstLine="0"/>
              <w:jc w:val="left"/>
            </w:pPr>
            <w:r>
              <w:rPr>
                <w:sz w:val="17"/>
              </w:rPr>
              <w:t>Any individual</w:t>
            </w:r>
          </w:p>
        </w:tc>
        <w:tc>
          <w:tcPr>
            <w:tcW w:w="1044" w:type="dxa"/>
            <w:tcBorders>
              <w:top w:val="nil"/>
              <w:left w:val="nil"/>
              <w:bottom w:val="nil"/>
              <w:right w:val="nil"/>
            </w:tcBorders>
          </w:tcPr>
          <w:p w14:paraId="7D47E334" w14:textId="77777777" w:rsidR="007832C4" w:rsidRDefault="00000000">
            <w:pPr>
              <w:spacing w:after="0" w:line="259" w:lineRule="auto"/>
              <w:ind w:left="0" w:right="0" w:firstLine="0"/>
              <w:jc w:val="left"/>
            </w:pPr>
            <w:r>
              <w:rPr>
                <w:sz w:val="17"/>
              </w:rPr>
              <w:t>Data controllers</w:t>
            </w:r>
          </w:p>
        </w:tc>
        <w:tc>
          <w:tcPr>
            <w:tcW w:w="1255" w:type="dxa"/>
            <w:tcBorders>
              <w:top w:val="nil"/>
              <w:left w:val="nil"/>
              <w:bottom w:val="nil"/>
              <w:right w:val="nil"/>
            </w:tcBorders>
          </w:tcPr>
          <w:p w14:paraId="49E437FA" w14:textId="77777777" w:rsidR="007832C4" w:rsidRDefault="00000000">
            <w:pPr>
              <w:spacing w:after="0" w:line="259" w:lineRule="auto"/>
              <w:ind w:left="0" w:right="0" w:firstLine="0"/>
              <w:jc w:val="left"/>
            </w:pPr>
            <w:r>
              <w:rPr>
                <w:sz w:val="17"/>
              </w:rPr>
              <w:t xml:space="preserve">Structured, commonly used, and </w:t>
            </w:r>
            <w:proofErr w:type="spellStart"/>
            <w:r>
              <w:rPr>
                <w:sz w:val="17"/>
              </w:rPr>
              <w:t>machinereadable</w:t>
            </w:r>
            <w:proofErr w:type="spellEnd"/>
            <w:r>
              <w:rPr>
                <w:sz w:val="17"/>
              </w:rPr>
              <w:t xml:space="preserve"> format</w:t>
            </w:r>
          </w:p>
        </w:tc>
        <w:tc>
          <w:tcPr>
            <w:tcW w:w="814" w:type="dxa"/>
            <w:tcBorders>
              <w:top w:val="nil"/>
              <w:left w:val="nil"/>
              <w:bottom w:val="nil"/>
              <w:right w:val="nil"/>
            </w:tcBorders>
          </w:tcPr>
          <w:p w14:paraId="534455D9" w14:textId="77777777" w:rsidR="007832C4" w:rsidRDefault="00000000">
            <w:pPr>
              <w:spacing w:after="0" w:line="259" w:lineRule="auto"/>
              <w:ind w:left="0" w:right="0" w:firstLine="0"/>
              <w:jc w:val="left"/>
            </w:pPr>
            <w:r>
              <w:rPr>
                <w:sz w:val="17"/>
              </w:rPr>
              <w:t>30 days</w:t>
            </w:r>
          </w:p>
        </w:tc>
      </w:tr>
      <w:tr w:rsidR="007832C4" w14:paraId="53A641E9" w14:textId="77777777">
        <w:trPr>
          <w:trHeight w:val="1893"/>
        </w:trPr>
        <w:tc>
          <w:tcPr>
            <w:tcW w:w="1190" w:type="dxa"/>
            <w:tcBorders>
              <w:top w:val="nil"/>
              <w:left w:val="nil"/>
              <w:bottom w:val="nil"/>
              <w:right w:val="nil"/>
            </w:tcBorders>
          </w:tcPr>
          <w:p w14:paraId="77CEFAB1" w14:textId="77777777" w:rsidR="007832C4" w:rsidRDefault="00000000">
            <w:pPr>
              <w:spacing w:after="22" w:line="259" w:lineRule="auto"/>
              <w:ind w:left="80" w:right="0" w:firstLine="0"/>
              <w:jc w:val="left"/>
            </w:pPr>
            <w:r>
              <w:rPr>
                <w:sz w:val="17"/>
              </w:rPr>
              <w:t xml:space="preserve">DSA,  </w:t>
            </w:r>
          </w:p>
          <w:p w14:paraId="5A74598D" w14:textId="77777777" w:rsidR="007832C4" w:rsidRDefault="00000000">
            <w:pPr>
              <w:spacing w:after="0" w:line="259" w:lineRule="auto"/>
              <w:ind w:left="80" w:right="0" w:firstLine="0"/>
              <w:jc w:val="left"/>
            </w:pPr>
            <w:r>
              <w:rPr>
                <w:sz w:val="17"/>
              </w:rPr>
              <w:t>Article 40</w:t>
            </w:r>
          </w:p>
        </w:tc>
        <w:tc>
          <w:tcPr>
            <w:tcW w:w="1210" w:type="dxa"/>
            <w:tcBorders>
              <w:top w:val="nil"/>
              <w:left w:val="nil"/>
              <w:bottom w:val="nil"/>
              <w:right w:val="nil"/>
            </w:tcBorders>
          </w:tcPr>
          <w:p w14:paraId="3C9C5CCD" w14:textId="77777777" w:rsidR="007832C4" w:rsidRDefault="00000000">
            <w:pPr>
              <w:spacing w:after="0" w:line="259" w:lineRule="auto"/>
              <w:ind w:left="0" w:right="14" w:firstLine="0"/>
              <w:jc w:val="left"/>
            </w:pPr>
            <w:r>
              <w:rPr>
                <w:sz w:val="17"/>
              </w:rPr>
              <w:t>Data necessary to study systemic risks and mitigation strategies</w:t>
            </w:r>
          </w:p>
        </w:tc>
        <w:tc>
          <w:tcPr>
            <w:tcW w:w="968" w:type="dxa"/>
            <w:tcBorders>
              <w:top w:val="nil"/>
              <w:left w:val="nil"/>
              <w:bottom w:val="nil"/>
              <w:right w:val="nil"/>
            </w:tcBorders>
          </w:tcPr>
          <w:p w14:paraId="55A0F17F" w14:textId="77777777" w:rsidR="007832C4" w:rsidRDefault="00000000">
            <w:pPr>
              <w:spacing w:after="0" w:line="259" w:lineRule="auto"/>
              <w:ind w:left="0" w:right="0" w:firstLine="0"/>
              <w:jc w:val="left"/>
            </w:pPr>
            <w:r>
              <w:rPr>
                <w:sz w:val="17"/>
              </w:rPr>
              <w:t>(Vetted) researchers</w:t>
            </w:r>
          </w:p>
        </w:tc>
        <w:tc>
          <w:tcPr>
            <w:tcW w:w="1044" w:type="dxa"/>
            <w:tcBorders>
              <w:top w:val="nil"/>
              <w:left w:val="nil"/>
              <w:bottom w:val="nil"/>
              <w:right w:val="nil"/>
            </w:tcBorders>
          </w:tcPr>
          <w:p w14:paraId="1A5D8ADA" w14:textId="77777777" w:rsidR="007832C4" w:rsidRDefault="00000000">
            <w:pPr>
              <w:spacing w:after="0" w:line="259" w:lineRule="auto"/>
              <w:ind w:left="0" w:right="58" w:firstLine="0"/>
              <w:jc w:val="left"/>
            </w:pPr>
            <w:r>
              <w:rPr>
                <w:sz w:val="17"/>
              </w:rPr>
              <w:t>Very large online platforms and search engines</w:t>
            </w:r>
          </w:p>
        </w:tc>
        <w:tc>
          <w:tcPr>
            <w:tcW w:w="1255" w:type="dxa"/>
            <w:tcBorders>
              <w:top w:val="nil"/>
              <w:left w:val="nil"/>
              <w:bottom w:val="nil"/>
              <w:right w:val="nil"/>
            </w:tcBorders>
          </w:tcPr>
          <w:p w14:paraId="11A48E63" w14:textId="77777777" w:rsidR="007832C4" w:rsidRDefault="00000000">
            <w:pPr>
              <w:spacing w:after="0" w:line="259" w:lineRule="auto"/>
              <w:ind w:left="0" w:right="0" w:firstLine="0"/>
              <w:jc w:val="left"/>
            </w:pPr>
            <w:r>
              <w:rPr>
                <w:sz w:val="17"/>
              </w:rPr>
              <w:t>Appropriate interfaces specified by researcher, platform, or search engine; real-time (if possible)</w:t>
            </w:r>
          </w:p>
        </w:tc>
        <w:tc>
          <w:tcPr>
            <w:tcW w:w="814" w:type="dxa"/>
            <w:tcBorders>
              <w:top w:val="nil"/>
              <w:left w:val="nil"/>
              <w:bottom w:val="nil"/>
              <w:right w:val="nil"/>
            </w:tcBorders>
          </w:tcPr>
          <w:p w14:paraId="70F7207D" w14:textId="77777777" w:rsidR="007832C4" w:rsidRDefault="00000000">
            <w:pPr>
              <w:spacing w:after="0" w:line="259" w:lineRule="auto"/>
              <w:ind w:left="0" w:right="0" w:firstLine="0"/>
              <w:jc w:val="left"/>
            </w:pPr>
            <w:r>
              <w:rPr>
                <w:sz w:val="17"/>
              </w:rPr>
              <w:t>15 days</w:t>
            </w:r>
          </w:p>
        </w:tc>
      </w:tr>
      <w:tr w:rsidR="007832C4" w14:paraId="25B4CCE1" w14:textId="77777777">
        <w:trPr>
          <w:trHeight w:val="743"/>
        </w:trPr>
        <w:tc>
          <w:tcPr>
            <w:tcW w:w="1190" w:type="dxa"/>
            <w:tcBorders>
              <w:top w:val="nil"/>
              <w:left w:val="nil"/>
              <w:bottom w:val="nil"/>
              <w:right w:val="nil"/>
            </w:tcBorders>
          </w:tcPr>
          <w:p w14:paraId="2C3B7411" w14:textId="77777777" w:rsidR="007832C4" w:rsidRDefault="00000000">
            <w:pPr>
              <w:spacing w:after="0" w:line="259" w:lineRule="auto"/>
              <w:ind w:left="80" w:right="0" w:firstLine="0"/>
              <w:jc w:val="left"/>
            </w:pPr>
            <w:r>
              <w:rPr>
                <w:sz w:val="17"/>
              </w:rPr>
              <w:t>DMA, Article 6(9)</w:t>
            </w:r>
          </w:p>
        </w:tc>
        <w:tc>
          <w:tcPr>
            <w:tcW w:w="1210" w:type="dxa"/>
            <w:tcBorders>
              <w:top w:val="nil"/>
              <w:left w:val="nil"/>
              <w:bottom w:val="nil"/>
              <w:right w:val="nil"/>
            </w:tcBorders>
          </w:tcPr>
          <w:p w14:paraId="7FE083A4" w14:textId="77777777" w:rsidR="007832C4" w:rsidRDefault="00000000">
            <w:pPr>
              <w:spacing w:after="0" w:line="259" w:lineRule="auto"/>
              <w:ind w:left="0" w:right="19" w:firstLine="0"/>
              <w:jc w:val="left"/>
            </w:pPr>
            <w:r>
              <w:rPr>
                <w:sz w:val="17"/>
              </w:rPr>
              <w:t xml:space="preserve">Data provided and generated by an end user </w:t>
            </w:r>
          </w:p>
        </w:tc>
        <w:tc>
          <w:tcPr>
            <w:tcW w:w="968" w:type="dxa"/>
            <w:tcBorders>
              <w:top w:val="nil"/>
              <w:left w:val="nil"/>
              <w:bottom w:val="nil"/>
              <w:right w:val="nil"/>
            </w:tcBorders>
          </w:tcPr>
          <w:p w14:paraId="6327381E" w14:textId="77777777" w:rsidR="007832C4" w:rsidRDefault="00000000">
            <w:pPr>
              <w:spacing w:after="22" w:line="259" w:lineRule="auto"/>
              <w:ind w:left="0" w:right="0" w:firstLine="0"/>
              <w:jc w:val="left"/>
            </w:pPr>
            <w:r>
              <w:rPr>
                <w:sz w:val="17"/>
              </w:rPr>
              <w:t>Users/</w:t>
            </w:r>
          </w:p>
          <w:p w14:paraId="72A0B561" w14:textId="77777777" w:rsidR="007832C4" w:rsidRDefault="00000000">
            <w:pPr>
              <w:spacing w:after="0" w:line="259" w:lineRule="auto"/>
              <w:ind w:left="0" w:right="0" w:firstLine="0"/>
              <w:jc w:val="left"/>
            </w:pPr>
            <w:r>
              <w:rPr>
                <w:sz w:val="17"/>
              </w:rPr>
              <w:t>Authorised third parties</w:t>
            </w:r>
          </w:p>
        </w:tc>
        <w:tc>
          <w:tcPr>
            <w:tcW w:w="1044" w:type="dxa"/>
            <w:tcBorders>
              <w:top w:val="nil"/>
              <w:left w:val="nil"/>
              <w:bottom w:val="nil"/>
              <w:right w:val="nil"/>
            </w:tcBorders>
          </w:tcPr>
          <w:p w14:paraId="1A5B4C51" w14:textId="77777777" w:rsidR="007832C4" w:rsidRDefault="00000000">
            <w:pPr>
              <w:spacing w:after="0" w:line="259" w:lineRule="auto"/>
              <w:ind w:left="0" w:right="0" w:firstLine="0"/>
              <w:jc w:val="left"/>
            </w:pPr>
            <w:r>
              <w:rPr>
                <w:sz w:val="17"/>
              </w:rPr>
              <w:t>Gatekeepers</w:t>
            </w:r>
          </w:p>
        </w:tc>
        <w:tc>
          <w:tcPr>
            <w:tcW w:w="1255" w:type="dxa"/>
            <w:tcBorders>
              <w:top w:val="nil"/>
              <w:left w:val="nil"/>
              <w:bottom w:val="nil"/>
              <w:right w:val="nil"/>
            </w:tcBorders>
          </w:tcPr>
          <w:p w14:paraId="3B8B7F7D" w14:textId="77777777" w:rsidR="007832C4" w:rsidRDefault="00000000">
            <w:pPr>
              <w:spacing w:after="0" w:line="259" w:lineRule="auto"/>
              <w:ind w:left="0" w:right="0" w:firstLine="0"/>
              <w:jc w:val="left"/>
            </w:pPr>
            <w:r>
              <w:rPr>
                <w:sz w:val="17"/>
              </w:rPr>
              <w:t xml:space="preserve">Effective, continuous, and real-time </w:t>
            </w:r>
          </w:p>
        </w:tc>
        <w:tc>
          <w:tcPr>
            <w:tcW w:w="814" w:type="dxa"/>
            <w:tcBorders>
              <w:top w:val="nil"/>
              <w:left w:val="nil"/>
              <w:bottom w:val="nil"/>
              <w:right w:val="nil"/>
            </w:tcBorders>
          </w:tcPr>
          <w:p w14:paraId="71A6C3DC" w14:textId="77777777" w:rsidR="007832C4" w:rsidRDefault="00000000">
            <w:pPr>
              <w:spacing w:after="0" w:line="259" w:lineRule="auto"/>
              <w:ind w:left="0" w:right="0" w:firstLine="0"/>
              <w:jc w:val="left"/>
            </w:pPr>
            <w:r>
              <w:rPr>
                <w:sz w:val="17"/>
              </w:rPr>
              <w:t>Immediate</w:t>
            </w:r>
          </w:p>
        </w:tc>
      </w:tr>
      <w:tr w:rsidR="007832C4" w14:paraId="100E6843" w14:textId="77777777">
        <w:trPr>
          <w:trHeight w:val="1649"/>
        </w:trPr>
        <w:tc>
          <w:tcPr>
            <w:tcW w:w="1190" w:type="dxa"/>
            <w:tcBorders>
              <w:top w:val="nil"/>
              <w:left w:val="nil"/>
              <w:bottom w:val="single" w:sz="4" w:space="0" w:color="1A1919"/>
              <w:right w:val="nil"/>
            </w:tcBorders>
          </w:tcPr>
          <w:p w14:paraId="24249441" w14:textId="77777777" w:rsidR="007832C4" w:rsidRDefault="00000000">
            <w:pPr>
              <w:spacing w:after="0" w:line="259" w:lineRule="auto"/>
              <w:ind w:left="80" w:right="0" w:firstLine="0"/>
              <w:jc w:val="left"/>
            </w:pPr>
            <w:r>
              <w:rPr>
                <w:sz w:val="17"/>
              </w:rPr>
              <w:t>Data Act, Articles 3–4</w:t>
            </w:r>
          </w:p>
        </w:tc>
        <w:tc>
          <w:tcPr>
            <w:tcW w:w="1210" w:type="dxa"/>
            <w:tcBorders>
              <w:top w:val="nil"/>
              <w:left w:val="nil"/>
              <w:bottom w:val="single" w:sz="4" w:space="0" w:color="1A1919"/>
              <w:right w:val="nil"/>
            </w:tcBorders>
          </w:tcPr>
          <w:p w14:paraId="2A584427" w14:textId="77777777" w:rsidR="007832C4" w:rsidRDefault="00000000">
            <w:pPr>
              <w:spacing w:after="0" w:line="259" w:lineRule="auto"/>
              <w:ind w:left="0" w:right="0" w:firstLine="0"/>
              <w:jc w:val="left"/>
            </w:pPr>
            <w:r>
              <w:rPr>
                <w:sz w:val="17"/>
              </w:rPr>
              <w:t xml:space="preserve">Product and service data, including metadata necessary for interpretation </w:t>
            </w:r>
          </w:p>
        </w:tc>
        <w:tc>
          <w:tcPr>
            <w:tcW w:w="968" w:type="dxa"/>
            <w:tcBorders>
              <w:top w:val="nil"/>
              <w:left w:val="nil"/>
              <w:bottom w:val="single" w:sz="4" w:space="0" w:color="1A1919"/>
              <w:right w:val="nil"/>
            </w:tcBorders>
          </w:tcPr>
          <w:p w14:paraId="173B4B09" w14:textId="77777777" w:rsidR="007832C4" w:rsidRDefault="00000000">
            <w:pPr>
              <w:spacing w:after="22" w:line="259" w:lineRule="auto"/>
              <w:ind w:left="0" w:right="0" w:firstLine="0"/>
              <w:jc w:val="left"/>
            </w:pPr>
            <w:r>
              <w:rPr>
                <w:sz w:val="17"/>
              </w:rPr>
              <w:t>Users/</w:t>
            </w:r>
          </w:p>
          <w:p w14:paraId="58BA5AF4" w14:textId="77777777" w:rsidR="007832C4" w:rsidRDefault="00000000">
            <w:pPr>
              <w:spacing w:after="0" w:line="259" w:lineRule="auto"/>
              <w:ind w:left="0" w:right="0" w:firstLine="0"/>
              <w:jc w:val="left"/>
            </w:pPr>
            <w:r>
              <w:rPr>
                <w:sz w:val="17"/>
              </w:rPr>
              <w:t>Authorised third parties</w:t>
            </w:r>
          </w:p>
        </w:tc>
        <w:tc>
          <w:tcPr>
            <w:tcW w:w="1044" w:type="dxa"/>
            <w:tcBorders>
              <w:top w:val="nil"/>
              <w:left w:val="nil"/>
              <w:bottom w:val="single" w:sz="4" w:space="0" w:color="1A1919"/>
              <w:right w:val="nil"/>
            </w:tcBorders>
          </w:tcPr>
          <w:p w14:paraId="004035CF" w14:textId="77777777" w:rsidR="007832C4" w:rsidRDefault="00000000">
            <w:pPr>
              <w:spacing w:after="0" w:line="259" w:lineRule="auto"/>
              <w:ind w:left="0" w:right="0" w:firstLine="0"/>
              <w:jc w:val="left"/>
            </w:pPr>
            <w:r>
              <w:rPr>
                <w:sz w:val="17"/>
              </w:rPr>
              <w:t xml:space="preserve">Data holders </w:t>
            </w:r>
          </w:p>
        </w:tc>
        <w:tc>
          <w:tcPr>
            <w:tcW w:w="1255" w:type="dxa"/>
            <w:tcBorders>
              <w:top w:val="nil"/>
              <w:left w:val="nil"/>
              <w:bottom w:val="single" w:sz="4" w:space="0" w:color="1A1919"/>
              <w:right w:val="nil"/>
            </w:tcBorders>
          </w:tcPr>
          <w:p w14:paraId="3A5D00A5" w14:textId="77777777" w:rsidR="007832C4" w:rsidRDefault="00000000">
            <w:pPr>
              <w:spacing w:after="22" w:line="259" w:lineRule="auto"/>
              <w:ind w:left="0" w:right="0" w:firstLine="0"/>
              <w:jc w:val="left"/>
            </w:pPr>
            <w:r>
              <w:rPr>
                <w:sz w:val="17"/>
              </w:rPr>
              <w:t xml:space="preserve">Comprehensive, </w:t>
            </w:r>
          </w:p>
          <w:p w14:paraId="1CEE877F" w14:textId="77777777" w:rsidR="007832C4" w:rsidRDefault="00000000">
            <w:pPr>
              <w:spacing w:after="0" w:line="286" w:lineRule="auto"/>
              <w:ind w:left="0" w:right="95" w:firstLine="0"/>
              <w:jc w:val="left"/>
            </w:pPr>
            <w:r>
              <w:rPr>
                <w:sz w:val="17"/>
              </w:rPr>
              <w:t xml:space="preserve">structured, commonly used, </w:t>
            </w:r>
            <w:proofErr w:type="spellStart"/>
            <w:r>
              <w:rPr>
                <w:sz w:val="17"/>
              </w:rPr>
              <w:t>machinereadable</w:t>
            </w:r>
            <w:proofErr w:type="spellEnd"/>
            <w:r>
              <w:rPr>
                <w:sz w:val="17"/>
              </w:rPr>
              <w:t xml:space="preserve">, continuous, and </w:t>
            </w:r>
          </w:p>
          <w:p w14:paraId="05D0D4ED" w14:textId="77777777" w:rsidR="007832C4" w:rsidRDefault="00000000">
            <w:pPr>
              <w:spacing w:after="0" w:line="259" w:lineRule="auto"/>
              <w:ind w:left="0" w:right="0" w:firstLine="0"/>
              <w:jc w:val="left"/>
            </w:pPr>
            <w:r>
              <w:rPr>
                <w:sz w:val="17"/>
              </w:rPr>
              <w:t>real-time</w:t>
            </w:r>
          </w:p>
        </w:tc>
        <w:tc>
          <w:tcPr>
            <w:tcW w:w="814" w:type="dxa"/>
            <w:tcBorders>
              <w:top w:val="nil"/>
              <w:left w:val="nil"/>
              <w:bottom w:val="single" w:sz="4" w:space="0" w:color="1A1919"/>
              <w:right w:val="nil"/>
            </w:tcBorders>
          </w:tcPr>
          <w:p w14:paraId="37854E02" w14:textId="77777777" w:rsidR="007832C4" w:rsidRDefault="00000000">
            <w:pPr>
              <w:spacing w:after="0" w:line="259" w:lineRule="auto"/>
              <w:ind w:left="0" w:right="0" w:firstLine="0"/>
              <w:jc w:val="left"/>
            </w:pPr>
            <w:r>
              <w:rPr>
                <w:sz w:val="17"/>
              </w:rPr>
              <w:t>Directly accessible or without undue delay</w:t>
            </w:r>
          </w:p>
        </w:tc>
      </w:tr>
    </w:tbl>
    <w:p w14:paraId="13C29B66" w14:textId="77777777" w:rsidR="007832C4" w:rsidRDefault="00000000">
      <w:pPr>
        <w:spacing w:after="400" w:line="265" w:lineRule="auto"/>
        <w:ind w:left="-5" w:right="0" w:hanging="10"/>
        <w:jc w:val="left"/>
      </w:pPr>
      <w:r>
        <w:rPr>
          <w:i/>
          <w:sz w:val="17"/>
        </w:rPr>
        <w:t>Source</w:t>
      </w:r>
      <w:r>
        <w:rPr>
          <w:sz w:val="17"/>
        </w:rPr>
        <w:t xml:space="preserve">: Collated by the authors. </w:t>
      </w:r>
    </w:p>
    <w:p w14:paraId="2BD04F5A" w14:textId="77777777" w:rsidR="007832C4" w:rsidRDefault="00000000">
      <w:pPr>
        <w:spacing w:after="298"/>
        <w:ind w:left="0" w:right="0" w:firstLine="240"/>
      </w:pPr>
      <w:r>
        <w:t>The European Data Protection Board (EDPB), the institution responsible for making sure the GDPR is consistently applied across the EU, has provided a practical interpretation of this right that describes how organizations should respond when people exercise it.</w:t>
      </w:r>
      <w:r>
        <w:rPr>
          <w:sz w:val="19"/>
          <w:vertAlign w:val="superscript"/>
        </w:rPr>
        <w:t>57</w:t>
      </w:r>
      <w:r>
        <w:t xml:space="preserve"> For example, many data controllers will ask data subjects to use a particular form or email address when making their request, but the EDPB explains any request received through a reasonable channel is a valid request, so people cannot be made to use particular communication channels or templates. A data controller should also always interpret an access request as broadly as possible and be as comprehensive as possible with their response. That response should be sent within a month after the request was made, unless it is too complicated to do so in that time. If the identity of the data subject is uncertain (for example, if an access request is made from a different </w:t>
      </w:r>
      <w:r>
        <w:lastRenderedPageBreak/>
        <w:t xml:space="preserve">email address than the one the controller has on file), the data controller can ask for additional information, but this information should follow the principle of data minimization and never be more extensive than is strictly necessary to confirm the identity of the data subject; asking for copies of passports or biometric information, which some data controllers have started to do, is in most cases not necessary or allowed. In terms of the formatting of the data, there are no strict requirements, but it should be assumed that if the request is made by electronic means, then the response should use the same modality in a commonly used electronic format (which in practice often means CSV or JSON files). These instructions from the EDPB are intended to protect the right from constraints that might emerge in practice and to make it as easy as possible for people to exercise. </w:t>
      </w:r>
    </w:p>
    <w:p w14:paraId="71810B7B" w14:textId="77777777" w:rsidR="007832C4" w:rsidRDefault="00000000">
      <w:pPr>
        <w:pStyle w:val="Heading2"/>
        <w:ind w:left="-5"/>
      </w:pPr>
      <w:r>
        <w:t xml:space="preserve">Article 20 of the General Data Protection Regulation </w:t>
      </w:r>
    </w:p>
    <w:p w14:paraId="7EA25B13" w14:textId="77777777" w:rsidR="007832C4" w:rsidRDefault="00000000">
      <w:pPr>
        <w:ind w:left="0" w:right="0" w:firstLine="0"/>
      </w:pPr>
      <w:r>
        <w:t>The right to data portability gives people the right to receive a copy of their personal data that is processed by automated means (that is, not paper files) in a structured, commonly used, and machine-readable format, or have that data sent directly to another data controller. The right was introduced in the GDPR as a response to the issues individuals previously had when exercising their access right under the GDPR’s precursor, the Data Protection Directive:</w:t>
      </w:r>
      <w:r>
        <w:rPr>
          <w:sz w:val="19"/>
          <w:vertAlign w:val="superscript"/>
        </w:rPr>
        <w:t>58</w:t>
      </w:r>
      <w:r>
        <w:t xml:space="preserve"> people would receive their personal data in whatever format the data controller decided, limiting how they could manage and reuse the data. </w:t>
      </w:r>
    </w:p>
    <w:p w14:paraId="358CEF99" w14:textId="77777777" w:rsidR="007832C4" w:rsidRDefault="00000000">
      <w:pPr>
        <w:ind w:left="0" w:right="0" w:firstLine="240"/>
      </w:pPr>
      <w:r>
        <w:t xml:space="preserve">Not all personal data can be requested under this right, but only personal data that the controller has based on a person’s consent or the contract they have with them. Personal data processed for, for example, complying with legal obligations that the controller might have (such as fraud detection) are not covered. Another limitation is that it only includes data ‘provided by’ the data subject, although this is interpreted broadly: it includes not only obvious things directly submitted by the user such as account </w:t>
      </w:r>
      <w:proofErr w:type="gramStart"/>
      <w:r>
        <w:t>details</w:t>
      </w:r>
      <w:proofErr w:type="gramEnd"/>
      <w:r>
        <w:t xml:space="preserve"> but also behavioural data generated through user activity, while it excludes data that might be generated by the controller after further processing, such as user profiles. </w:t>
      </w:r>
    </w:p>
    <w:p w14:paraId="7AD0989F" w14:textId="77777777" w:rsidR="007832C4" w:rsidRDefault="00000000">
      <w:pPr>
        <w:spacing w:after="286"/>
        <w:ind w:left="0" w:right="0" w:firstLine="240"/>
      </w:pPr>
      <w:r>
        <w:t>Data should be provided in a format that is abstracted away from the specific technical implementation of the controller’s systems, since the aim is that the data can easily be repurposed by the user; the goal is interoperability. Case law has established that PDF (Portable Document Format) files do not meet this goal.</w:t>
      </w:r>
      <w:r>
        <w:rPr>
          <w:sz w:val="19"/>
          <w:vertAlign w:val="superscript"/>
        </w:rPr>
        <w:t>59</w:t>
      </w:r>
      <w:r>
        <w:t xml:space="preserve"> The ability to export data only in small chunks (for example, one email at a time) is also not sufficient.</w:t>
      </w:r>
      <w:r>
        <w:rPr>
          <w:sz w:val="19"/>
          <w:vertAlign w:val="superscript"/>
        </w:rPr>
        <w:t>60</w:t>
      </w:r>
      <w:r>
        <w:t xml:space="preserve"> Data should be provided within 30 days, although an extension to three months is possible, as long as the controller explains to the data subject why it needs more time. If there is too much data to transmit digitally </w:t>
      </w:r>
      <w:r>
        <w:lastRenderedPageBreak/>
        <w:t xml:space="preserve">within a reasonable time frame, controllers should consider alternative (physical) media. </w:t>
      </w:r>
    </w:p>
    <w:p w14:paraId="2F7BF603" w14:textId="77777777" w:rsidR="007832C4" w:rsidRDefault="00000000">
      <w:pPr>
        <w:pStyle w:val="Heading2"/>
        <w:ind w:left="-5"/>
      </w:pPr>
      <w:r>
        <w:t xml:space="preserve">Article 40 of the Digital Services Act </w:t>
      </w:r>
    </w:p>
    <w:p w14:paraId="41999A4C" w14:textId="77777777" w:rsidR="007832C4" w:rsidRDefault="00000000">
      <w:pPr>
        <w:ind w:left="0" w:right="0" w:firstLine="0"/>
      </w:pPr>
      <w:r>
        <w:t>The DSA</w:t>
      </w:r>
      <w:r>
        <w:rPr>
          <w:sz w:val="19"/>
          <w:vertAlign w:val="superscript"/>
        </w:rPr>
        <w:t>61</w:t>
      </w:r>
      <w:r>
        <w:t xml:space="preserve"> regulates online services to try to make them safer and more transparent.</w:t>
      </w:r>
      <w:r>
        <w:rPr>
          <w:sz w:val="19"/>
          <w:vertAlign w:val="superscript"/>
        </w:rPr>
        <w:t>62</w:t>
      </w:r>
      <w:r>
        <w:t xml:space="preserve"> Article 40 of the DSA tries to support this by requiring ‘very large online platforms’ (for example, Facebook, Amazon, and Booking.com) and ‘very large search engines’ (for example, Google and Bing) to give researchers access to data which can be used to study systemic risks that might be created because of the service, as well as data that can be used to assess whether the risk mitigation measures that the services themselves have implemented are adequate and efficient.</w:t>
      </w:r>
    </w:p>
    <w:p w14:paraId="3CC11AD8" w14:textId="77777777" w:rsidR="007832C4" w:rsidRDefault="00000000">
      <w:pPr>
        <w:ind w:left="0" w:right="0" w:firstLine="240"/>
      </w:pPr>
      <w:r>
        <w:t xml:space="preserve">There is still a lot of uncertainty about who qualifies for access and what data can be requested (see chapter 10 for a more detailed discussion). Much of the Article confers rights to so-called vetted researchers, which are individuals who meet a number of requirements (that is, affiliated with a research organization and independent of commercial interests) and can fulfil certain operational obligations (for example, capable of providing the necessary security and confidentiality for the data and make results publicly available for free). Their application for this status also needs to justify the duration for which they need access to the data and explain how their research contributes to systemic risk assessment and mitigation monitoring. However, paragraph 12 of the Article also </w:t>
      </w:r>
      <w:proofErr w:type="gramStart"/>
      <w:r>
        <w:t>opens up</w:t>
      </w:r>
      <w:proofErr w:type="gramEnd"/>
      <w:r>
        <w:t xml:space="preserve"> access rights to individuals who meet those conditions but are not affiliated with a research organization and do not commit to making their results publicly available for free. </w:t>
      </w:r>
    </w:p>
    <w:p w14:paraId="572FA403" w14:textId="77777777" w:rsidR="007832C4" w:rsidRDefault="00000000">
      <w:pPr>
        <w:ind w:left="0" w:right="0" w:firstLine="240"/>
      </w:pPr>
      <w:r>
        <w:t xml:space="preserve">If an individual is officially designated as a ‘vetted researcher’ by the Digital Services Coordinator (DSC, the main national authority), the individual can ask the DSC to pass on the data access request to the digital service on their behalf. The requested data should be received ‘within a reasonable period’ and be provided through ‘appropriate interfaces’ (for example, online databases and application programming interfaces). Those individuals who qualify for access as per paragraph 12 can request data directly without going through the DSC, which they should receive ‘without undue delay’ and (if possible) in ‘real time’. </w:t>
      </w:r>
    </w:p>
    <w:p w14:paraId="42336C78" w14:textId="77777777" w:rsidR="005D4BB5" w:rsidRDefault="005D4BB5">
      <w:pPr>
        <w:ind w:left="0" w:right="0" w:firstLine="240"/>
      </w:pPr>
    </w:p>
    <w:p w14:paraId="59B3F53C" w14:textId="77777777" w:rsidR="007832C4" w:rsidRDefault="00000000">
      <w:pPr>
        <w:pStyle w:val="Heading2"/>
        <w:ind w:left="-5"/>
      </w:pPr>
      <w:r>
        <w:t xml:space="preserve">Article 6(9) of the Digital Markets Act </w:t>
      </w:r>
    </w:p>
    <w:p w14:paraId="67D3D915" w14:textId="77777777" w:rsidR="007832C4" w:rsidRDefault="00000000">
      <w:pPr>
        <w:ind w:left="0" w:right="0" w:firstLine="0"/>
      </w:pPr>
      <w:r>
        <w:t>The DMA</w:t>
      </w:r>
      <w:r>
        <w:rPr>
          <w:sz w:val="19"/>
          <w:vertAlign w:val="superscript"/>
        </w:rPr>
        <w:t>63</w:t>
      </w:r>
      <w:r>
        <w:t xml:space="preserve"> tries to address characteristics of digital businesses that result in a lack of contestability (that is, monopolies), such as network effects, </w:t>
      </w:r>
      <w:proofErr w:type="spellStart"/>
      <w:r>
        <w:t>multiside</w:t>
      </w:r>
      <w:proofErr w:type="spellEnd"/>
      <w:r>
        <w:t xml:space="preserve"> markets, vertical integration, and extreme economies of scale. It targets gatekeepers, platforms that, over the last three years, have had a large impact on </w:t>
      </w:r>
      <w:r>
        <w:lastRenderedPageBreak/>
        <w:t>the EU’s internal market and had at least 45 million monthly active end users and 10,000 yearly active business users.</w:t>
      </w:r>
    </w:p>
    <w:p w14:paraId="453BF61C" w14:textId="77777777" w:rsidR="007832C4" w:rsidRDefault="00000000">
      <w:pPr>
        <w:spacing w:after="297"/>
        <w:ind w:left="0" w:right="0" w:firstLine="240"/>
      </w:pPr>
      <w:r>
        <w:t>Article 6(9) of the DMA describes data sharing obligations for the ‘core platform services’ of those gatekeepers that are supposed to stimulate contestability, by making it easier to leave a platform or have it inter-operate with another service. The Article specifies that gatekeepers need to provide end users (or third parties authorized by them) the option to port the data they have provided to the gatekeeper or data that is generated by their use of the service. That data should be provided in a format that can be used ‘immediately and effectively’</w:t>
      </w:r>
      <w:r>
        <w:rPr>
          <w:sz w:val="19"/>
          <w:vertAlign w:val="superscript"/>
        </w:rPr>
        <w:t xml:space="preserve">64 </w:t>
      </w:r>
      <w:r>
        <w:t>(that is, a commonly used format in a manageable size), and gatekeepers also need to implement ‘appropriate and high-quality technical measures, such as application programming interfaces’</w:t>
      </w:r>
      <w:r>
        <w:rPr>
          <w:sz w:val="19"/>
          <w:vertAlign w:val="superscript"/>
        </w:rPr>
        <w:t>65</w:t>
      </w:r>
      <w:r>
        <w:t xml:space="preserve"> that make it possible to access this data ‘continuously and in real time’.</w:t>
      </w:r>
    </w:p>
    <w:p w14:paraId="285D7733" w14:textId="77777777" w:rsidR="007832C4" w:rsidRDefault="00000000">
      <w:pPr>
        <w:pStyle w:val="Heading2"/>
        <w:ind w:left="-5"/>
      </w:pPr>
      <w:r>
        <w:t>Articles 3 and 4 of the Data Act</w:t>
      </w:r>
    </w:p>
    <w:p w14:paraId="24B2B001" w14:textId="77777777" w:rsidR="007832C4" w:rsidRDefault="00000000">
      <w:pPr>
        <w:ind w:left="0" w:right="0" w:firstLine="0"/>
      </w:pPr>
      <w:r>
        <w:t>EU policies related to data have longstanding tensions between, on the one hand, wanting to protect fundamental rights while, on the other, furthering economic growth by removing barriers for companies.</w:t>
      </w:r>
      <w:r>
        <w:rPr>
          <w:sz w:val="19"/>
          <w:vertAlign w:val="superscript"/>
        </w:rPr>
        <w:t>66</w:t>
      </w:r>
      <w:r>
        <w:t xml:space="preserve"> If the GDPR represents regulation that primarily tries to achieve the first, the Data Act could be seen as the outcome of the second interest, as it sets out to ‘maximise the value of data in the economy and society’.</w:t>
      </w:r>
      <w:r>
        <w:rPr>
          <w:sz w:val="19"/>
          <w:vertAlign w:val="superscript"/>
        </w:rPr>
        <w:t>67</w:t>
      </w:r>
      <w:r>
        <w:t xml:space="preserve"> It sets down rules to (among other things) make product and related service data available to the users of those products. </w:t>
      </w:r>
    </w:p>
    <w:p w14:paraId="7616CCFC" w14:textId="77777777" w:rsidR="007832C4" w:rsidRDefault="00000000">
      <w:pPr>
        <w:ind w:left="0" w:right="0" w:firstLine="240"/>
      </w:pPr>
      <w:r>
        <w:t xml:space="preserve">Article 3 of the Data Act confers the right to end users to have access to any product data, product-related service data, and metadata necessary to understand and use that data. This data should be made available by default, easily, in a comprehensive, structured, commonly used, and machine-readable format. Users should also, before purchasing a product or a related service, be given information about the type, format, estimated volume, and frequency of data the product is capable of generating, whether it stores this on a device or a remote server and whether the data holders expect to use the data themselves for specific purposes and/or share it with third parties. </w:t>
      </w:r>
    </w:p>
    <w:p w14:paraId="63C2C958" w14:textId="77777777" w:rsidR="007832C4" w:rsidRDefault="00000000">
      <w:pPr>
        <w:spacing w:after="253"/>
        <w:ind w:left="0" w:right="0" w:firstLine="240"/>
      </w:pPr>
      <w:r>
        <w:t xml:space="preserve">Article 4 of the Data Act adds specifications to the data rights described in Article 3 – for example, that data access can be restricted if it undermines the security requirements of the product, that the data holder should notify the competent authorities if it restricts data access, that users can lodge complaints in this case, and that data holders cannot make exercising this right unduly difficult. Arguably, the most important restriction relates to the protection of trade secrets, which is a valid reason to not share data if the user does not take measures to ensure their confidentiality. However, such decisions should be </w:t>
      </w:r>
      <w:proofErr w:type="gramStart"/>
      <w:r>
        <w:lastRenderedPageBreak/>
        <w:t>substantiated</w:t>
      </w:r>
      <w:proofErr w:type="gramEnd"/>
      <w:r>
        <w:t xml:space="preserve"> and the competent authorities should be notified of it, which are burdens placed on data holders to make sure it does not restrict the user’s data rights for their own gain. </w:t>
      </w:r>
    </w:p>
    <w:p w14:paraId="42B32117" w14:textId="77777777" w:rsidR="007832C4" w:rsidRDefault="00000000">
      <w:pPr>
        <w:spacing w:after="263" w:line="259" w:lineRule="auto"/>
        <w:ind w:left="10" w:hanging="10"/>
        <w:jc w:val="center"/>
      </w:pPr>
      <w:r>
        <w:t>***</w:t>
      </w:r>
    </w:p>
    <w:p w14:paraId="6D094D50" w14:textId="77777777" w:rsidR="007832C4" w:rsidRDefault="00000000">
      <w:pPr>
        <w:spacing w:after="459"/>
        <w:ind w:left="0" w:right="0" w:firstLine="0"/>
      </w:pPr>
      <w:r>
        <w:t>The access rights given to users across these different EU regulations overlap and expand on each other, sometimes explicitly (as in the case of the DMA expanding GDPR rights). They target different spheres of contemporary, digitally mediated life (for example, online services, connected products, and data-hungry governments) and try to rebalance the distribution of power through different approaches (for example, improving fundamental rights, consumer protection, and fair competition). Whether these rights are enough to address remains to be seen. Only the access right to personal data has been in place for long enough to have had an impact, and preliminary signals indicate low levels of compliance</w:t>
      </w:r>
      <w:r>
        <w:rPr>
          <w:sz w:val="19"/>
          <w:vertAlign w:val="superscript"/>
        </w:rPr>
        <w:t>68</w:t>
      </w:r>
      <w:r>
        <w:t xml:space="preserve"> and no increase in people’s feelings of control over their personal data.</w:t>
      </w:r>
      <w:r>
        <w:rPr>
          <w:sz w:val="19"/>
          <w:vertAlign w:val="superscript"/>
        </w:rPr>
        <w:t>69</w:t>
      </w:r>
    </w:p>
    <w:p w14:paraId="18E7EDBA" w14:textId="77777777" w:rsidR="007832C4" w:rsidRDefault="00000000">
      <w:pPr>
        <w:pStyle w:val="Heading1"/>
        <w:ind w:left="-5"/>
      </w:pPr>
      <w:r>
        <w:t xml:space="preserve">Teaching Data Literacy Using Access Rights </w:t>
      </w:r>
    </w:p>
    <w:p w14:paraId="1497AF32" w14:textId="77777777" w:rsidR="007832C4" w:rsidRDefault="00000000">
      <w:pPr>
        <w:ind w:left="0" w:right="0" w:firstLine="0"/>
      </w:pPr>
      <w:r>
        <w:t>The EU’s imaginary of access rights and the goals of teachers advocating for data literacy overlap: both want to empower citizens against the negative externalities of informational capitalism.</w:t>
      </w:r>
      <w:r>
        <w:rPr>
          <w:sz w:val="19"/>
          <w:vertAlign w:val="superscript"/>
        </w:rPr>
        <w:t>70</w:t>
      </w:r>
      <w:r>
        <w:t xml:space="preserve"> The EU sees access to data as a precondition for good citizenship in a digital society – for example, by making it possible for people to oversee the fair processing of their personal data or by being able to move their data to other services rather than being locked in. Data literacy advocates think that population-wide competences to understand the generation and analysis of data is necessary to mitigate digital inequities that arise between those who can work with data and those who cannot, which is becoming more pressing in societies where data-based knowledge claims about the world carry more weight.</w:t>
      </w:r>
      <w:r>
        <w:rPr>
          <w:sz w:val="19"/>
          <w:vertAlign w:val="superscript"/>
        </w:rPr>
        <w:t>71</w:t>
      </w:r>
      <w:r>
        <w:t xml:space="preserve"> Given this overlap in mission, how can access rights contribute to the development of data literacy in practice?</w:t>
      </w:r>
    </w:p>
    <w:p w14:paraId="1A28D49A" w14:textId="77777777" w:rsidR="007832C4" w:rsidRDefault="00000000">
      <w:pPr>
        <w:ind w:left="0" w:right="0" w:firstLine="240"/>
      </w:pPr>
      <w:r>
        <w:t xml:space="preserve">Over the past three years we have used access rights as part of our teaching in the Department of Information Studies at Aarhus University, Denmark. The department positions itself within the broader humanities faculty as the department for critical reflection on technology and society through theory, empirical research, and the construction of digital artefacts (for example, prototypes, software, and art). Across the different degree programmes, students are broadly taught science and technology studies (STS) theory, human–computer interaction (HCI) design approaches, digital innovation, programming, </w:t>
      </w:r>
      <w:r>
        <w:lastRenderedPageBreak/>
        <w:t>and qualitative methods. We exercised the right to access under Article 15 of the GDPR (since the other rights were not yet in effect) in three different syllabi: Data Studies, Datafication of Society, and Digital Living. The Data Studies</w:t>
      </w:r>
      <w:r>
        <w:rPr>
          <w:sz w:val="19"/>
          <w:vertAlign w:val="superscript"/>
        </w:rPr>
        <w:t>72</w:t>
      </w:r>
      <w:r>
        <w:t xml:space="preserve"> course is a second-year bachelor’s degree course that aims to teach the students how to think critically about the production and use of data through theoretical frameworks and hands-on data processing (for example, querying application programming interfaces (APIs) and using machine learning [ML]). The Datafication of Society</w:t>
      </w:r>
      <w:r>
        <w:rPr>
          <w:sz w:val="19"/>
          <w:vertAlign w:val="superscript"/>
        </w:rPr>
        <w:t>73</w:t>
      </w:r>
      <w:r>
        <w:t xml:space="preserve"> course is a third-year bachelor’s degree course that tries to place the restructuring of societies around data in the context of larger historical and sociological trends. The Digital Living master’s programme</w:t>
      </w:r>
      <w:r>
        <w:rPr>
          <w:sz w:val="19"/>
          <w:vertAlign w:val="superscript"/>
        </w:rPr>
        <w:t>74</w:t>
      </w:r>
      <w:r>
        <w:t xml:space="preserve"> is an interdisciplinary degree that bridges social theory, business, management, and computer science and includes a one-week cross-course module on surveillance capitalism to show how to combine the perspectives from different disciplines. In all these courses, we have used access rights as part of our teaching to help the students understand what data is collected, how technologies work, or how data is part of organizational practices. </w:t>
      </w:r>
    </w:p>
    <w:p w14:paraId="2B70DDB5" w14:textId="77777777" w:rsidR="007832C4" w:rsidRDefault="00000000">
      <w:pPr>
        <w:ind w:left="0" w:right="0" w:firstLine="240"/>
      </w:pPr>
      <w:r>
        <w:t>Based on these experiences, we see four ways in which access rights have contributed to the development of students’ digital literacy: (</w:t>
      </w:r>
      <w:r>
        <w:rPr>
          <w:i/>
        </w:rPr>
        <w:t>a</w:t>
      </w:r>
      <w:r>
        <w:t>) the experience of trying to exercise access rights reveal the power relations between technology companies and nation states; (</w:t>
      </w:r>
      <w:r>
        <w:rPr>
          <w:i/>
        </w:rPr>
        <w:t>b</w:t>
      </w:r>
      <w:r>
        <w:t xml:space="preserve">) the data the students received helps them confront their internalized </w:t>
      </w:r>
      <w:proofErr w:type="spellStart"/>
      <w:r>
        <w:t>dataism</w:t>
      </w:r>
      <w:proofErr w:type="spellEnd"/>
      <w:r>
        <w:t>; (</w:t>
      </w:r>
      <w:r>
        <w:rPr>
          <w:i/>
        </w:rPr>
        <w:t>c</w:t>
      </w:r>
      <w:r>
        <w:t>) the meta-information about whom companies receive data from and share it with can be used to trace data flows; and (</w:t>
      </w:r>
      <w:r>
        <w:rPr>
          <w:i/>
        </w:rPr>
        <w:t>d</w:t>
      </w:r>
      <w:r>
        <w:t>) comparing outcomes of different data processing methods shows the epistemological impact that mediating artefacts have on the realities and knowledge that are (co-)created by technology companies. We elaborate on the goals, exercises, and learning outcomes of each of these four in the following sections. Although not all exercises were used in all courses, we do present them here as a coherent trajectory in a suggested order where, for example, data received in one exercise can be reused in the next or previous learning outcomes make the next goal easier to understand.</w:t>
      </w:r>
    </w:p>
    <w:p w14:paraId="0E583D82" w14:textId="77777777" w:rsidR="005D4BB5" w:rsidRDefault="005D4BB5">
      <w:pPr>
        <w:ind w:left="0" w:right="0" w:firstLine="240"/>
      </w:pPr>
    </w:p>
    <w:p w14:paraId="23F6205A" w14:textId="77777777" w:rsidR="007832C4" w:rsidRDefault="00000000">
      <w:pPr>
        <w:pStyle w:val="Heading2"/>
        <w:ind w:left="-5"/>
      </w:pPr>
      <w:r>
        <w:t>Power Relations of Informational Capitalism</w:t>
      </w:r>
    </w:p>
    <w:p w14:paraId="3443EDFE" w14:textId="77777777" w:rsidR="007832C4" w:rsidRDefault="00000000">
      <w:pPr>
        <w:pStyle w:val="Heading3"/>
        <w:ind w:left="-5"/>
      </w:pPr>
      <w:r>
        <w:t>Goal</w:t>
      </w:r>
    </w:p>
    <w:p w14:paraId="2D0E0630" w14:textId="77777777" w:rsidR="007832C4" w:rsidRDefault="00000000">
      <w:pPr>
        <w:spacing w:after="221"/>
        <w:ind w:left="0" w:right="0" w:firstLine="0"/>
      </w:pPr>
      <w:r>
        <w:t>This exercise seeks to teach students about their digital rights and to demonstrate how current power relations between companies and nation states impact the effectiveness of those rights.</w:t>
      </w:r>
    </w:p>
    <w:p w14:paraId="0E101BE8" w14:textId="77777777" w:rsidR="007832C4" w:rsidRDefault="00000000">
      <w:pPr>
        <w:pStyle w:val="Heading3"/>
        <w:ind w:left="-5"/>
      </w:pPr>
      <w:r>
        <w:lastRenderedPageBreak/>
        <w:t>Exercise</w:t>
      </w:r>
    </w:p>
    <w:p w14:paraId="1B0B5D2A" w14:textId="77777777" w:rsidR="007832C4" w:rsidRDefault="00000000">
      <w:pPr>
        <w:spacing w:after="220"/>
        <w:ind w:left="0" w:right="0" w:firstLine="0"/>
      </w:pPr>
      <w:r>
        <w:t>Before the session, students are asked to read about their data rights on the website of their national data protection authority.</w:t>
      </w:r>
      <w:r>
        <w:rPr>
          <w:sz w:val="19"/>
          <w:vertAlign w:val="superscript"/>
        </w:rPr>
        <w:t>75</w:t>
      </w:r>
      <w:r>
        <w:t xml:space="preserve"> During the session, we first discuss whether the students know about these rights, what they think their purpose is, and if they have ever used them. We then collectively go through the process of exercising their right to access. We brainstorm about possible data controllers they could send a request to, making sure to go beyond just the obvious Big Tech companies so the students stretch their understanding of the extent of datafication. Once we have compiled a list, each student creates and sends a request to a controller of their choice. We use the My Data Done Right (mydatadoneright.eu) tool to generate the request text, which is a user-friendly interactive form created by the Dutch privacy organization Bits of Freedom, but students send the request from their own email accounts. We tell them that they can consult us if they need help in the follow-up process with the company after sending the request. One month later, there is a follow-up poll and discussion where we ask the students how many of them received a response, what that response included, whether they feel empowered, what surprised them, and whether they changed their perception on access rights, technology companies, and the law.</w:t>
      </w:r>
    </w:p>
    <w:p w14:paraId="1E01CB7B" w14:textId="77777777" w:rsidR="007832C4" w:rsidRDefault="00000000">
      <w:pPr>
        <w:pStyle w:val="Heading3"/>
        <w:ind w:left="-5"/>
      </w:pPr>
      <w:r>
        <w:t>Learning Outcomes</w:t>
      </w:r>
    </w:p>
    <w:p w14:paraId="45E80281" w14:textId="77777777" w:rsidR="007832C4" w:rsidRDefault="00000000">
      <w:pPr>
        <w:ind w:left="0" w:right="0" w:firstLine="0"/>
      </w:pPr>
      <w:r>
        <w:t xml:space="preserve">Data access rights are supposed to empower individuals, but a precondition for this is that people know about their rights and actively use them. Incorporating access rights into the curriculum is a concrete and straightforward way to teach larger cohorts of citizens about their rights, which they will hopefully continue to use outside the classroom and throughout their lifetime. </w:t>
      </w:r>
    </w:p>
    <w:p w14:paraId="70B4DA04" w14:textId="77777777" w:rsidR="007832C4" w:rsidRDefault="00000000">
      <w:pPr>
        <w:spacing w:after="298"/>
        <w:ind w:left="0" w:right="0" w:firstLine="240"/>
      </w:pPr>
      <w:r>
        <w:t>Exercising the access rights, at least right now, also demonstrates to students that laws on paper are different from laws in practice. Research shows that many organizations lack awareness and understanding of the rights,</w:t>
      </w:r>
      <w:r>
        <w:rPr>
          <w:sz w:val="19"/>
          <w:vertAlign w:val="superscript"/>
        </w:rPr>
        <w:t>76</w:t>
      </w:r>
      <w:r>
        <w:t xml:space="preserve"> do not respond within legal timeframes,</w:t>
      </w:r>
      <w:r>
        <w:rPr>
          <w:sz w:val="19"/>
          <w:vertAlign w:val="superscript"/>
        </w:rPr>
        <w:t>77</w:t>
      </w:r>
      <w:r>
        <w:t xml:space="preserve"> and (when they do) often fail to provide all the required information.</w:t>
      </w:r>
      <w:r>
        <w:rPr>
          <w:sz w:val="19"/>
          <w:vertAlign w:val="superscript"/>
        </w:rPr>
        <w:t>78</w:t>
      </w:r>
      <w:r>
        <w:t xml:space="preserve"> These results are confirmed by our classroom experiences, where (in the latest iteration of the Data Studies course in 2022 with approximately 90 students) only around 7 per cent received a complete response (67 per cent received a response, and of those only 11 per cent received all necessary information: confirmation of data processing, meta-information, and a copy of the data). In Denmark, a country with a strong cultural belief in the rule of law</w:t>
      </w:r>
      <w:r>
        <w:rPr>
          <w:sz w:val="19"/>
          <w:vertAlign w:val="superscript"/>
        </w:rPr>
        <w:t>79</w:t>
      </w:r>
      <w:r>
        <w:t xml:space="preserve"> and trust in institutions,</w:t>
      </w:r>
      <w:r>
        <w:rPr>
          <w:sz w:val="19"/>
          <w:vertAlign w:val="superscript"/>
        </w:rPr>
        <w:t>80</w:t>
      </w:r>
      <w:r>
        <w:t xml:space="preserve"> students are often confused by this experience. Especially those who send data subject access requests to Big Tech or large social medial companies (for example, Meta, Google, Snapchat, and TikTok) are </w:t>
      </w:r>
      <w:r>
        <w:lastRenderedPageBreak/>
        <w:t xml:space="preserve">shocked by how they are ignored. These experiences have proven to be a helpful starting point to critically discuss power relations between sovereign nation states and wealthy technology companies and the effectiveness of law as an instrument to redistribute such power. It raises questions such as following: Why are companies making it difficult to exercise these rights? Why are authorities not able to make them comply with the laws? What is the political philosophy behind individual rights as a remedy to informational power? </w:t>
      </w:r>
    </w:p>
    <w:p w14:paraId="651CAC69" w14:textId="77777777" w:rsidR="007832C4" w:rsidRDefault="00000000">
      <w:pPr>
        <w:pStyle w:val="Heading2"/>
        <w:ind w:left="-5"/>
      </w:pPr>
      <w:r>
        <w:t xml:space="preserve">Confronting </w:t>
      </w:r>
      <w:proofErr w:type="spellStart"/>
      <w:r>
        <w:t>Dataism</w:t>
      </w:r>
      <w:proofErr w:type="spellEnd"/>
    </w:p>
    <w:p w14:paraId="180F13A2" w14:textId="77777777" w:rsidR="007832C4" w:rsidRDefault="00000000">
      <w:pPr>
        <w:pStyle w:val="Heading3"/>
        <w:ind w:left="-5"/>
      </w:pPr>
      <w:r>
        <w:t>Goal</w:t>
      </w:r>
    </w:p>
    <w:p w14:paraId="1570FF60" w14:textId="77777777" w:rsidR="007832C4" w:rsidRDefault="00000000">
      <w:pPr>
        <w:spacing w:after="221"/>
        <w:ind w:left="0" w:right="0" w:firstLine="0"/>
      </w:pPr>
      <w:r>
        <w:t>This exercise seeks to uncover and question students’ unspoken assumptions about the quality and objectivity of company’s data processing and reveal how much data is collected about them.</w:t>
      </w:r>
    </w:p>
    <w:p w14:paraId="2B01D154" w14:textId="77777777" w:rsidR="007832C4" w:rsidRDefault="00000000">
      <w:pPr>
        <w:pStyle w:val="Heading3"/>
        <w:ind w:left="-5"/>
      </w:pPr>
      <w:r>
        <w:t>Exercise</w:t>
      </w:r>
    </w:p>
    <w:p w14:paraId="7FC859FB" w14:textId="77777777" w:rsidR="007832C4" w:rsidRDefault="00000000">
      <w:pPr>
        <w:ind w:left="0" w:right="0" w:firstLine="0"/>
      </w:pPr>
      <w:r>
        <w:t xml:space="preserve">Before the class, students are asked to get copies of their personal data from any digital platforms they use. Ideally, this would be based on copies they receive through their access rights, but that process is currently too slow and unreliable to feasibly build exercises around. Instead, we ask students to use the ‘download your data’ options that many platforms have started to offer in response to access rights, although we make sure to emphasize that this is not the same as exercising their access right and is likely an incomplete dataset. In the class, the students are asked to review those files, by paying attention to the quantity of the data collected, the quality of that data, and the inferences and classifications made by the company about them. We suggest they can do this in pairs if they feel comfortable revealing personal data, so they can compare with other students how they are perceived differently by the same company. We also provide some scaffold code (in the form of </w:t>
      </w:r>
      <w:proofErr w:type="spellStart"/>
      <w:r>
        <w:t>Jupyter</w:t>
      </w:r>
      <w:proofErr w:type="spellEnd"/>
      <w:r>
        <w:t xml:space="preserve"> Notebooks) that helps them produce aggregates such as counts, averages, distributions, or visualizations. We conclude with a discussion about what they found, what surprised them, and why they were surprised to help surface their unconscious assumptions.</w:t>
      </w:r>
    </w:p>
    <w:p w14:paraId="4430E38D" w14:textId="77777777" w:rsidR="007832C4" w:rsidRDefault="00000000">
      <w:pPr>
        <w:pStyle w:val="Heading3"/>
        <w:ind w:left="-5"/>
      </w:pPr>
      <w:r>
        <w:t>Learning Outcomes</w:t>
      </w:r>
    </w:p>
    <w:p w14:paraId="22966B52" w14:textId="77777777" w:rsidR="007832C4" w:rsidRDefault="00000000">
      <w:pPr>
        <w:ind w:left="0" w:right="0" w:firstLine="0"/>
      </w:pPr>
      <w:r>
        <w:t>The students we meet are often socialized into the belief that data represents objective, value-neutral measures of the world and that using it, especially in large quantities, will naturally lead to better outcomes, predictions, or products.</w:t>
      </w:r>
      <w:r>
        <w:rPr>
          <w:sz w:val="19"/>
          <w:vertAlign w:val="superscript"/>
        </w:rPr>
        <w:t>81</w:t>
      </w:r>
      <w:r>
        <w:t xml:space="preserve"> Confronting this </w:t>
      </w:r>
      <w:r>
        <w:rPr>
          <w:i/>
        </w:rPr>
        <w:t>dataism</w:t>
      </w:r>
      <w:r>
        <w:t>,</w:t>
      </w:r>
      <w:r>
        <w:rPr>
          <w:sz w:val="19"/>
          <w:vertAlign w:val="superscript"/>
        </w:rPr>
        <w:t>82</w:t>
      </w:r>
      <w:r>
        <w:rPr>
          <w:i/>
        </w:rPr>
        <w:t xml:space="preserve"> </w:t>
      </w:r>
      <w:r>
        <w:t xml:space="preserve">this ideology of the unreasonable effectiveness of data facts, is an important component of the critical approaches to data literacy. However, because this is an ideology, we often encounter some conscious and </w:t>
      </w:r>
      <w:r>
        <w:lastRenderedPageBreak/>
        <w:t xml:space="preserve">unconscious resistance from the students to this critique. As Jose van Dijck explains, </w:t>
      </w:r>
      <w:proofErr w:type="spellStart"/>
      <w:r>
        <w:t>dataism</w:t>
      </w:r>
      <w:proofErr w:type="spellEnd"/>
      <w:r>
        <w:t xml:space="preserve"> is not just the belief that data could capture the world ‘as is’ but also the trust in the institutions and companies that collect, clean, and analyse this data. In our experience, simply mentioning that the full complexity of the world cannot be captured by quantitative data is not that hard for the students to accept. The more difficult barrier to overcome is their assumption that data handlers also know this, have processes in place to overcome these limitations, and surely only draw justifiable conclusions from the data. Irrationality, irresponsibility, pragmatism, and the primacy of profit-seeking are given less weight in their imagination of datafication.</w:t>
      </w:r>
    </w:p>
    <w:p w14:paraId="7F9FED1F" w14:textId="77777777" w:rsidR="007832C4" w:rsidRDefault="00000000">
      <w:pPr>
        <w:ind w:left="0" w:right="0" w:firstLine="240"/>
      </w:pPr>
      <w:r>
        <w:t>Using access rights has been an effective method to confront the students with the volume of collected data and their assumptions about the quality of its processing. Other scholars have already suggested using ‘real data’ or data the students have a connection to because it is more engaging,</w:t>
      </w:r>
      <w:r>
        <w:rPr>
          <w:sz w:val="19"/>
          <w:vertAlign w:val="superscript"/>
        </w:rPr>
        <w:t>83</w:t>
      </w:r>
      <w:r>
        <w:t xml:space="preserve"> but personal data specifically makes it possible for students to perceive the epistemic distance between their experience and the data double</w:t>
      </w:r>
      <w:r>
        <w:rPr>
          <w:sz w:val="19"/>
          <w:vertAlign w:val="superscript"/>
        </w:rPr>
        <w:t>84</w:t>
      </w:r>
      <w:r>
        <w:t xml:space="preserve"> a company has constructed of them. Because the students know themselves, they are often surprised about the amount of data that is being associated with them and incredulous about the (often poor-quality) assumptions, predictions, and categorizations of companies they might hold in high regard. It is hard to drive these points home without personal data: to evaluate whether the volume of data is a lot or not is something that rests on the contrast between the lived experience of using digital services and the data traces they never knew about or reasonably expected. And to evaluate the quality of that data requires that the students know what the underlying reality that data is supposedly capturing.</w:t>
      </w:r>
    </w:p>
    <w:p w14:paraId="3558B147" w14:textId="77777777" w:rsidR="007832C4" w:rsidRDefault="00000000">
      <w:pPr>
        <w:ind w:left="0" w:right="0" w:firstLine="240"/>
      </w:pPr>
      <w:r>
        <w:t>Justifications for existing technologies and battles over visions of the digital future are often fought through discourse and symbolism.</w:t>
      </w:r>
      <w:r>
        <w:rPr>
          <w:sz w:val="19"/>
          <w:vertAlign w:val="superscript"/>
        </w:rPr>
        <w:t>85</w:t>
      </w:r>
      <w:r>
        <w:t xml:space="preserve"> Confronting the students with the actual data that lies behind the imaginaries of technology companies – datasets as a ‘higher form of intelligence’</w:t>
      </w:r>
      <w:r>
        <w:rPr>
          <w:sz w:val="19"/>
          <w:vertAlign w:val="superscript"/>
        </w:rPr>
        <w:t>86</w:t>
      </w:r>
      <w:r>
        <w:t xml:space="preserve"> – helps dispel some of the myths that are created and hopefully inoculates the students against future hype cycles.</w:t>
      </w:r>
    </w:p>
    <w:p w14:paraId="287EC03F" w14:textId="77777777" w:rsidR="005D4BB5" w:rsidRDefault="005D4BB5">
      <w:pPr>
        <w:ind w:left="0" w:right="0" w:firstLine="240"/>
      </w:pPr>
    </w:p>
    <w:p w14:paraId="2695C3BE" w14:textId="77777777" w:rsidR="007832C4" w:rsidRDefault="00000000">
      <w:pPr>
        <w:pStyle w:val="Heading2"/>
        <w:ind w:left="-5"/>
      </w:pPr>
      <w:r>
        <w:t xml:space="preserve">Tracking Data Flows </w:t>
      </w:r>
    </w:p>
    <w:p w14:paraId="5A83066C" w14:textId="77777777" w:rsidR="007832C4" w:rsidRDefault="00000000">
      <w:pPr>
        <w:pStyle w:val="Heading3"/>
        <w:ind w:left="-5"/>
      </w:pPr>
      <w:r>
        <w:t>Goal</w:t>
      </w:r>
    </w:p>
    <w:p w14:paraId="6F9A3220" w14:textId="77777777" w:rsidR="007832C4" w:rsidRDefault="00000000">
      <w:pPr>
        <w:spacing w:after="221"/>
        <w:ind w:left="0" w:right="0" w:firstLine="0"/>
      </w:pPr>
      <w:r>
        <w:t>This exercise seeks to show how data flows through a network of many different actors and how it gets reshaped at each of those steps.</w:t>
      </w:r>
    </w:p>
    <w:p w14:paraId="0981EE1D" w14:textId="77777777" w:rsidR="007832C4" w:rsidRDefault="00000000">
      <w:pPr>
        <w:pStyle w:val="Heading3"/>
        <w:ind w:left="-5"/>
      </w:pPr>
      <w:r>
        <w:lastRenderedPageBreak/>
        <w:t>Exercise</w:t>
      </w:r>
    </w:p>
    <w:p w14:paraId="58988502" w14:textId="77777777" w:rsidR="007832C4" w:rsidRDefault="00000000">
      <w:pPr>
        <w:spacing w:after="221"/>
        <w:ind w:left="0" w:right="0" w:firstLine="0"/>
      </w:pPr>
      <w:r>
        <w:t>Students are asked to pick a core digital service in their life and trace all the other parties that this organization receives personal data from and shares personal data with. This metadata should be included in responses to an access request under Article 15 of the GDPR, but since transparency obligations in EU regulation (GDPR, DA, DSA) require that such information is also available more publicly, a fall-back option is to look at privacy policies, terms and conditions, consent banners, and any other information that describes the data processing of that organization (keeping in mind that these are not entirely equivalent: access requests should include the exact identity of the recipients of personal data,</w:t>
      </w:r>
      <w:r>
        <w:rPr>
          <w:sz w:val="19"/>
          <w:vertAlign w:val="superscript"/>
        </w:rPr>
        <w:t>87</w:t>
      </w:r>
      <w:r>
        <w:t xml:space="preserve"> whereas in privacy policies ‘categories of recipients’ are enough). Each party can be mapped based on various characteristics (for example, geographical location, type of service, level in the software stack, and annual turnover). Follow-up access requests or investigations into those parties should then provide an insight into what data has been shared with them from the original service, how it is augmented and transformed, what the data is used for, and an additional list of data-sharing partners that could be the seed for the next wave of access requests. </w:t>
      </w:r>
    </w:p>
    <w:p w14:paraId="6E337996" w14:textId="77777777" w:rsidR="007832C4" w:rsidRDefault="00000000">
      <w:pPr>
        <w:pStyle w:val="Heading3"/>
        <w:ind w:left="-5"/>
      </w:pPr>
      <w:r>
        <w:t>Learning Outcomes</w:t>
      </w:r>
    </w:p>
    <w:p w14:paraId="47CC63DB" w14:textId="77777777" w:rsidR="007832C4" w:rsidRDefault="00000000">
      <w:pPr>
        <w:ind w:left="0" w:right="0" w:firstLine="0"/>
      </w:pPr>
      <w:r>
        <w:t>Infrastructural perspectives on data often emphasize its social and material entanglements:</w:t>
      </w:r>
      <w:r>
        <w:rPr>
          <w:sz w:val="19"/>
          <w:vertAlign w:val="superscript"/>
        </w:rPr>
        <w:t>88</w:t>
      </w:r>
      <w:r>
        <w:t xml:space="preserve"> the physicality of the internet with its undersea cables and landing sites, the cultural and political incentives that inform categorizations,</w:t>
      </w:r>
      <w:r>
        <w:rPr>
          <w:sz w:val="19"/>
          <w:vertAlign w:val="superscript"/>
        </w:rPr>
        <w:t>89</w:t>
      </w:r>
      <w:r>
        <w:t xml:space="preserve"> the public infrastructural responsibilities assumed by private platforms,</w:t>
      </w:r>
      <w:r>
        <w:rPr>
          <w:sz w:val="19"/>
          <w:vertAlign w:val="superscript"/>
        </w:rPr>
        <w:t>90</w:t>
      </w:r>
      <w:r>
        <w:t xml:space="preserve"> and the individual and organizational subjectivities that shape processes of data cleaning.</w:t>
      </w:r>
      <w:r>
        <w:rPr>
          <w:sz w:val="19"/>
          <w:vertAlign w:val="superscript"/>
        </w:rPr>
        <w:t>91</w:t>
      </w:r>
      <w:r>
        <w:t xml:space="preserve"> This insight is crucial to solidify the understanding that ‘raw data is an oxymoron’</w:t>
      </w:r>
      <w:r>
        <w:rPr>
          <w:sz w:val="19"/>
          <w:vertAlign w:val="superscript"/>
        </w:rPr>
        <w:t>92</w:t>
      </w:r>
      <w:r>
        <w:t xml:space="preserve"> and that data is always being reprocessed and repurposed as it flows through a complex network of actors. Making those networks explicit – what Geoffrey C. Bowker and Susan L. Star call ‘infrastructural inversion’</w:t>
      </w:r>
      <w:r>
        <w:rPr>
          <w:sz w:val="19"/>
          <w:vertAlign w:val="superscript"/>
        </w:rPr>
        <w:t>93</w:t>
      </w:r>
      <w:r>
        <w:t xml:space="preserve"> – is the first step in locating power and allocating responsibilities to certain players.</w:t>
      </w:r>
    </w:p>
    <w:p w14:paraId="071FA5D9" w14:textId="77777777" w:rsidR="007832C4" w:rsidRDefault="00000000">
      <w:pPr>
        <w:spacing w:after="297"/>
        <w:ind w:left="0" w:right="0" w:firstLine="240"/>
      </w:pPr>
      <w:r>
        <w:t xml:space="preserve">Data access rights include access to metadata, such as where the data comes from (if not provided by the person themself), how long it is stored for, who else the data is shared with, the location of those third parties, and their trading names and contact details. This information can then be used to make consecutive access requests to data held by other parties, allowing students to map out all the different players in the ecosystem, see how the data gets transformed and augmented at each step, what it is used for, and which other infrastructures it touches. What it demonstrates is that data should always also be thought of through the lens of ecosystems or networks, since its shape, its assumed value, </w:t>
      </w:r>
      <w:r>
        <w:lastRenderedPageBreak/>
        <w:t>and its impact are not inherent to the data itself but instead emerge because of how it flows through a particular chain of players. The same data might be harmless in isolation or when it stays in the hands of a single player (for example, an account on a period-tracking app</w:t>
      </w:r>
      <w:proofErr w:type="gramStart"/>
      <w:r>
        <w:t>), but</w:t>
      </w:r>
      <w:proofErr w:type="gramEnd"/>
      <w:r>
        <w:t xml:space="preserve"> becomes dangerous when combined with other data (for instance, location data) or when shared with other actors (for example, anti-abortion organizations). </w:t>
      </w:r>
    </w:p>
    <w:p w14:paraId="642A2EC7" w14:textId="77777777" w:rsidR="007832C4" w:rsidRDefault="00000000">
      <w:pPr>
        <w:pStyle w:val="Heading2"/>
        <w:ind w:left="-5"/>
      </w:pPr>
      <w:r>
        <w:t>Epistemological Impact of Mediation</w:t>
      </w:r>
    </w:p>
    <w:p w14:paraId="415163EE" w14:textId="77777777" w:rsidR="007832C4" w:rsidRDefault="00000000">
      <w:pPr>
        <w:pStyle w:val="Heading3"/>
        <w:ind w:left="-5"/>
      </w:pPr>
      <w:r>
        <w:t>Goal</w:t>
      </w:r>
    </w:p>
    <w:p w14:paraId="6A7380EB" w14:textId="77777777" w:rsidR="007832C4" w:rsidRDefault="00000000">
      <w:pPr>
        <w:spacing w:after="221"/>
        <w:ind w:left="0" w:right="0" w:firstLine="0"/>
      </w:pPr>
      <w:r>
        <w:t>This exercise seeks to explain how knowledge is shaped by the digital artefacts that mediate its production and that claims of truth are always based on a particular philosophical position.</w:t>
      </w:r>
    </w:p>
    <w:p w14:paraId="6C25A0F1" w14:textId="77777777" w:rsidR="007832C4" w:rsidRDefault="00000000">
      <w:pPr>
        <w:pStyle w:val="Heading3"/>
        <w:ind w:left="-5"/>
      </w:pPr>
      <w:r>
        <w:t>Exercise</w:t>
      </w:r>
    </w:p>
    <w:p w14:paraId="7A9C3B21" w14:textId="77777777" w:rsidR="007832C4" w:rsidRDefault="00000000">
      <w:pPr>
        <w:spacing w:after="221"/>
        <w:ind w:left="0" w:right="0" w:firstLine="0"/>
      </w:pPr>
      <w:r>
        <w:t>Following a lecture on the fundamentals of ML, students are provided with interactive code notebooks (</w:t>
      </w:r>
      <w:proofErr w:type="spellStart"/>
      <w:r>
        <w:t>Jupyter</w:t>
      </w:r>
      <w:proofErr w:type="spellEnd"/>
      <w:r>
        <w:t xml:space="preserve"> Notebooks) which explain and demonstrate how ML models for natural language processing and image processing work. The first notebook focuses on sentiment analysis – the prediction of emotional value in text – comparing the VADER and </w:t>
      </w:r>
      <w:proofErr w:type="spellStart"/>
      <w:r>
        <w:t>TextBlob</w:t>
      </w:r>
      <w:proofErr w:type="spellEnd"/>
      <w:r>
        <w:t xml:space="preserve"> models.</w:t>
      </w:r>
      <w:r>
        <w:rPr>
          <w:sz w:val="19"/>
          <w:vertAlign w:val="superscript"/>
        </w:rPr>
        <w:t>94</w:t>
      </w:r>
      <w:r>
        <w:t xml:space="preserve"> The second notebook focuses on image classification – assigning a label to an image – and compares the EfficientNetV2 and </w:t>
      </w:r>
      <w:proofErr w:type="spellStart"/>
      <w:r>
        <w:t>ResNeXt</w:t>
      </w:r>
      <w:proofErr w:type="spellEnd"/>
      <w:r>
        <w:t xml:space="preserve"> models.</w:t>
      </w:r>
      <w:r>
        <w:rPr>
          <w:sz w:val="19"/>
          <w:vertAlign w:val="superscript"/>
        </w:rPr>
        <w:t>95</w:t>
      </w:r>
      <w:r>
        <w:t xml:space="preserve"> Students are asked to feed the models with their own input data (for example, text messages they sent or images they posted on social media) and reflect on the output they get. As part of their reflection, they are asked to find documentation about the people behind the model, what data it was trained on, what it was created for, where it is being deployed, what claims and decisions are made based on it, and so on. </w:t>
      </w:r>
    </w:p>
    <w:p w14:paraId="56954B4F" w14:textId="77777777" w:rsidR="007832C4" w:rsidRDefault="00000000">
      <w:pPr>
        <w:pStyle w:val="Heading3"/>
        <w:ind w:left="-5"/>
      </w:pPr>
      <w:r>
        <w:t>Learning Outcomes</w:t>
      </w:r>
    </w:p>
    <w:p w14:paraId="38770C50" w14:textId="77777777" w:rsidR="007832C4" w:rsidRDefault="00000000">
      <w:pPr>
        <w:spacing w:after="253"/>
        <w:ind w:left="0" w:right="0" w:firstLine="0"/>
      </w:pPr>
      <w:r>
        <w:t xml:space="preserve">Mediation theoretical perspectives on technology such as </w:t>
      </w:r>
      <w:proofErr w:type="spellStart"/>
      <w:r>
        <w:t>postphenomenology</w:t>
      </w:r>
      <w:proofErr w:type="spellEnd"/>
      <w:r>
        <w:t xml:space="preserve"> and actor–network theory highlight how our perceptions and actions are </w:t>
      </w:r>
      <w:proofErr w:type="spellStart"/>
      <w:r>
        <w:t>coconstituted</w:t>
      </w:r>
      <w:proofErr w:type="spellEnd"/>
      <w:r>
        <w:t xml:space="preserve"> by the artefacts that sit between ourselves and the world (often blurring ontological separations between subject and object). In the case of digital technologies, mediating artefacts such as algorithms and models help generate a particular view of the world and structure our actions in finite ways. These are quite abstract notions about the nature of being and knowing, but exercises comparing multiple mediating artefacts demonstrate quite concretely how they generate different outputs. Using very specific technologies also makes it possible for the students to trace design decisions that were made (for example, training approaches and parameters) and the other artefacts that are involved (for </w:t>
      </w:r>
      <w:r>
        <w:lastRenderedPageBreak/>
        <w:t>example, datasets and platforms). Learning how to do this kind of methodological deconstruction is crucial both to evaluate the quality of a knowledge claim made by others and for the students’ ability to be intentional and transparent about any knowledge they themselves might create using digital tools.</w:t>
      </w:r>
      <w:r>
        <w:rPr>
          <w:sz w:val="19"/>
          <w:vertAlign w:val="superscript"/>
        </w:rPr>
        <w:t>96</w:t>
      </w:r>
      <w:r>
        <w:t xml:space="preserve"> At a higher level, a concrete understanding of the epistemological impact of mediation opens up discussions about whose views are being represented and what kind of values are expressed by design decisions.</w:t>
      </w:r>
      <w:r>
        <w:rPr>
          <w:sz w:val="19"/>
          <w:vertAlign w:val="superscript"/>
        </w:rPr>
        <w:t>97</w:t>
      </w:r>
      <w:r>
        <w:t xml:space="preserve"> If real-time and continuous data access is available, a more constructive approach to data literacy could encourage students to build alternative software (for example, apps, websites, and visualization pipelines) that processes their data differently – what Mireille Hildebrandt calls ‘agonistic machine learning’</w:t>
      </w:r>
      <w:r>
        <w:rPr>
          <w:sz w:val="19"/>
          <w:vertAlign w:val="superscript"/>
        </w:rPr>
        <w:t>98</w:t>
      </w:r>
      <w:r>
        <w:t xml:space="preserve"> or Henrik Korsgaard, Clemens N. Klokmose, and Susanne Bødker call ‘computational alternatives’</w:t>
      </w:r>
      <w:r>
        <w:rPr>
          <w:sz w:val="19"/>
          <w:vertAlign w:val="superscript"/>
        </w:rPr>
        <w:t>99</w:t>
      </w:r>
      <w:r>
        <w:t xml:space="preserve"> – and, through them, give shape to the digital worlds that they would like to live in.</w:t>
      </w:r>
    </w:p>
    <w:p w14:paraId="4A202125" w14:textId="77777777" w:rsidR="007832C4" w:rsidRDefault="00000000">
      <w:pPr>
        <w:spacing w:after="263" w:line="259" w:lineRule="auto"/>
        <w:ind w:left="10" w:hanging="10"/>
        <w:jc w:val="center"/>
      </w:pPr>
      <w:r>
        <w:t>***</w:t>
      </w:r>
    </w:p>
    <w:p w14:paraId="4DA4583D" w14:textId="77777777" w:rsidR="007832C4" w:rsidRDefault="00000000">
      <w:pPr>
        <w:spacing w:after="413"/>
        <w:ind w:left="0" w:right="0" w:firstLine="0"/>
      </w:pPr>
      <w:r>
        <w:t>What data literacy means and how it should be taught is not a settled question yet, although broadly speaking it includes competences in working with data and being able to evaluate its value and impact. In our experience, the four exercises presented here help students (</w:t>
      </w:r>
      <w:r>
        <w:rPr>
          <w:i/>
        </w:rPr>
        <w:t>a</w:t>
      </w:r>
      <w:r>
        <w:t>) become aware of the politics of informational capitalism, (</w:t>
      </w:r>
      <w:r>
        <w:rPr>
          <w:i/>
        </w:rPr>
        <w:t>b</w:t>
      </w:r>
      <w:r>
        <w:t xml:space="preserve">) confront their internalized </w:t>
      </w:r>
      <w:proofErr w:type="spellStart"/>
      <w:r>
        <w:t>dataism</w:t>
      </w:r>
      <w:proofErr w:type="spellEnd"/>
      <w:r>
        <w:t>, (</w:t>
      </w:r>
      <w:r>
        <w:rPr>
          <w:i/>
        </w:rPr>
        <w:t>c</w:t>
      </w:r>
      <w:r>
        <w:t>) track how data flows through global networks, and (</w:t>
      </w:r>
      <w:r>
        <w:rPr>
          <w:i/>
        </w:rPr>
        <w:t>d</w:t>
      </w:r>
      <w:r>
        <w:t>) realize how mediating artefacts impact the knowledge that can be derived from data. For educators interested in the instrumental aspect of data literacy, these exercises provide interesting data for students to process and analyse; and for those arguing for a critical perspective on data literacy, these exercises can be used for non-technical students to reflect on and discuss the larger political structures that data is part of.</w:t>
      </w:r>
    </w:p>
    <w:p w14:paraId="34DA0729" w14:textId="77777777" w:rsidR="007832C4" w:rsidRDefault="00000000">
      <w:pPr>
        <w:pStyle w:val="Heading1"/>
        <w:ind w:left="-5"/>
      </w:pPr>
      <w:r>
        <w:t>Limitations of Using Access Rights in Education</w:t>
      </w:r>
    </w:p>
    <w:p w14:paraId="2B51720F" w14:textId="77777777" w:rsidR="007832C4" w:rsidRDefault="00000000">
      <w:pPr>
        <w:ind w:left="0" w:right="0" w:firstLine="0"/>
      </w:pPr>
      <w:r>
        <w:t>Based on our personal experiences and reflections described earlier, access rights can help university students develop data literacy. However, exercising them does not necessarily teach everything that researchers have indicated is important for developing this competence, and it should sit next to other approaches. The legal design of access rights and the way they are interpreted by technology companies place some limitations on how they can be used as part of a pedagogical strategy, which we highlight here. The limitations related to the DSA, the DMA, and the Data Act are speculative, since these have not gone into effect yet at the time of writing this and we have not had the chance to include them in our teaching.</w:t>
      </w:r>
    </w:p>
    <w:p w14:paraId="6E916BD5" w14:textId="77777777" w:rsidR="007832C4" w:rsidRDefault="00000000">
      <w:pPr>
        <w:ind w:left="0" w:right="0" w:firstLine="240"/>
      </w:pPr>
      <w:r>
        <w:lastRenderedPageBreak/>
        <w:t>GDPR access rights are quite easy to exercise in practice: they can be sent to any reasonable contact address, they require no additional technical expertise or financial resources, and there are plenty of text templates available. However, their focus on personal data makes them less suited for creating transparency around the processing methods or technical infrastructure of the organization, since they only reveal the digital double of an individual rather than the various algorithms, models, or databases this data is used in (for example, a person’s coordinates within a multidimensional recommender model). Devoid of the context, personal data can become rather arbitrary since decisions and classifications derive meaning from their relative position to other numbers (for example, the Instagram device setting ‘</w:t>
      </w:r>
      <w:proofErr w:type="spellStart"/>
      <w:r>
        <w:t>face_filter</w:t>
      </w:r>
      <w:proofErr w:type="spellEnd"/>
      <w:r>
        <w:t>’: ‘14’ or Spotify’s ad category inference ‘</w:t>
      </w:r>
      <w:proofErr w:type="spellStart"/>
      <w:r>
        <w:t>dfp_expiration_test</w:t>
      </w:r>
      <w:proofErr w:type="spellEnd"/>
      <w:r>
        <w:t xml:space="preserve">_ </w:t>
      </w:r>
      <w:proofErr w:type="spellStart"/>
      <w:r>
        <w:t>krishna</w:t>
      </w:r>
      <w:proofErr w:type="spellEnd"/>
      <w:r>
        <w:t xml:space="preserve">’ does not reveal much). It is possible to get a sense of the larger system by having students compare these values between them, but the personal nature of the data makes such collective aggregation a sensitive exercise. Poor compliance rates and one-month </w:t>
      </w:r>
      <w:proofErr w:type="gramStart"/>
      <w:r>
        <w:t>reply</w:t>
      </w:r>
      <w:proofErr w:type="gramEnd"/>
      <w:r>
        <w:t xml:space="preserve"> durations also make it difficult to build consecutive exercises around them within a three-month semester. At the same time, these rights have also stimulated ‘data download’ options and public reporting of similar information that provide feasible fallback options.</w:t>
      </w:r>
    </w:p>
    <w:p w14:paraId="5BE2C808" w14:textId="77777777" w:rsidR="007832C4" w:rsidRDefault="00000000">
      <w:pPr>
        <w:ind w:left="0" w:right="0" w:firstLine="240"/>
      </w:pPr>
      <w:r>
        <w:t xml:space="preserve">Access rights under the DSA provide interesting transparency about larger systems because they go beyond personal data and are instead anchored in the goal to detect systemic risks and evaluate risk management strategies, which makes the data that falls inside that scope much more variable. However, these access rights only apply to a handful of digital services (19 at the time of writing) and do not require sharing information about how the data flows beyond the borders of the organization, making it less suited for tracing networks. The access rights are also more restricted because they require an individual to be approved as a ‘vetted researcher’ by the supervisory authority, because the access is limited to the time it takes to do the research and because the researcher needs to provide ‘necessary security and confidentiality’ measures (which likely do not include sharing the data with over a hundred students). Rather than sharing their access with students directly, researcher-teachers could instead generate synthetic datasets or replicate processing pipelines that are suitable for teaching (that is, without reidentification and model inversion risks), either for their own courses or to share with other educators. Paragraph 12 of Article 40 of the DSA, which requires platforms to give real-time data access to individuals not vetted by the DSC, might also stimulate platforms to provide student accessible APIs or sandbox environments as a gesture towards compliance, </w:t>
      </w:r>
      <w:proofErr w:type="gramStart"/>
      <w:r>
        <w:t>similar to</w:t>
      </w:r>
      <w:proofErr w:type="gramEnd"/>
      <w:r>
        <w:t xml:space="preserve"> how personal data download options appeared in response to GDPR access rights. </w:t>
      </w:r>
    </w:p>
    <w:p w14:paraId="2620CC46" w14:textId="77777777" w:rsidR="007832C4" w:rsidRDefault="00000000">
      <w:pPr>
        <w:spacing w:after="441"/>
        <w:ind w:left="0" w:right="0" w:firstLine="240"/>
      </w:pPr>
      <w:r>
        <w:lastRenderedPageBreak/>
        <w:t>There is considerable overlap in the access rights established by the DMA and the Data Act. Both provide access to data provided or generated by the end user, continuous and in real time (although the Data Act adds more caveats to the access method: ‘where relevant and appropriate’, ‘where applicable’). The main difference between the two is in who it applies to. The DMA rights are, like the DSA, applicable to only a small number of ‘gatekeepers’ (seven at the time of writing) and only about their ‘core platform services’. The Data Act applies to manufacturers of connected products and providers of related data-generating services on the EU market. Another difference is that the Data Act also requires organizations to provide considerable transparency about what data is generated, how much and in what level of granularity, and who it is shared with. Both the DMA and the Data Act make it possible for users to request that their data is shared directly with third parties, which could include services that analyse and visualize that data in ways that contribute to the development of a student’s data literacy. The practical value of these rights for education, however, will depend almost entirely on how they are implemented. A generous interpretation of these access rights would mean a variety of parameterized APIs that output actual data values without any rate limits, while a more restricted interpretation would be a sandboxed environment where computations can be ran ‘in situ’ but which keeps individual data points obfuscated inside the platform.</w:t>
      </w:r>
      <w:r>
        <w:rPr>
          <w:sz w:val="19"/>
          <w:vertAlign w:val="superscript"/>
        </w:rPr>
        <w:t>100</w:t>
      </w:r>
      <w:r>
        <w:t xml:space="preserve"> </w:t>
      </w:r>
    </w:p>
    <w:p w14:paraId="53496C73" w14:textId="77777777" w:rsidR="007832C4" w:rsidRDefault="00000000">
      <w:pPr>
        <w:pStyle w:val="Heading1"/>
        <w:ind w:left="-5"/>
      </w:pPr>
      <w:r>
        <w:t xml:space="preserve">Conclusion </w:t>
      </w:r>
    </w:p>
    <w:p w14:paraId="42D25B82" w14:textId="77777777" w:rsidR="007832C4" w:rsidRDefault="00000000">
      <w:pPr>
        <w:ind w:left="0" w:right="0" w:firstLine="0"/>
      </w:pPr>
      <w:r>
        <w:t>New EU regulations are poised to expand access rights to how digital companies collect and process data, doubling down on the EU’s governance strategy to combine formal oversight with a human rights approach. How access rights contribute to structural change in the power relations of digitalized societies is not entirely clear. In this chapter, we discussed how access rights can be used in the context of education, connecting to ongoing pedagogical efforts across various disciplines around the idea of data literacy as ‘an important part of a strategy in democratic societies to come to terms with living in a digital world’.</w:t>
      </w:r>
      <w:r>
        <w:rPr>
          <w:sz w:val="19"/>
          <w:vertAlign w:val="superscript"/>
        </w:rPr>
        <w:t>101</w:t>
      </w:r>
      <w:r>
        <w:t xml:space="preserve"> Based on our experiences teaching at a Danish university over the last three years, we suggest that access rights can contribute to the development of students’ data literacy in four ways: (</w:t>
      </w:r>
      <w:r>
        <w:rPr>
          <w:i/>
        </w:rPr>
        <w:t>a</w:t>
      </w:r>
      <w:r>
        <w:t xml:space="preserve">) the experience of trying to exercise access rights and the poor compliance rates reveal the political tension and </w:t>
      </w:r>
      <w:r>
        <w:rPr>
          <w:i/>
        </w:rPr>
        <w:t>power relations between technology companies and nation states</w:t>
      </w:r>
      <w:r>
        <w:t>; (</w:t>
      </w:r>
      <w:r>
        <w:rPr>
          <w:i/>
        </w:rPr>
        <w:t>b</w:t>
      </w:r>
      <w:r>
        <w:t xml:space="preserve">) the quality and quantity of the data revealed through data access helps </w:t>
      </w:r>
      <w:r>
        <w:rPr>
          <w:i/>
        </w:rPr>
        <w:t xml:space="preserve">students confront their internalized </w:t>
      </w:r>
      <w:proofErr w:type="spellStart"/>
      <w:r>
        <w:rPr>
          <w:i/>
        </w:rPr>
        <w:t>dataism</w:t>
      </w:r>
      <w:proofErr w:type="spellEnd"/>
      <w:r>
        <w:t>; (</w:t>
      </w:r>
      <w:r>
        <w:rPr>
          <w:i/>
        </w:rPr>
        <w:t>c</w:t>
      </w:r>
      <w:r>
        <w:t xml:space="preserve">) the meta-information about whom companies receive data from and share it with can be used to </w:t>
      </w:r>
      <w:r>
        <w:rPr>
          <w:i/>
        </w:rPr>
        <w:t>trace data flows</w:t>
      </w:r>
      <w:r>
        <w:t xml:space="preserve"> and demonstrate the importance of a </w:t>
      </w:r>
      <w:r>
        <w:rPr>
          <w:i/>
        </w:rPr>
        <w:t>network and infrastructure perspective</w:t>
      </w:r>
      <w:r>
        <w:t xml:space="preserve"> on data; and (</w:t>
      </w:r>
      <w:r>
        <w:rPr>
          <w:i/>
        </w:rPr>
        <w:t>d</w:t>
      </w:r>
      <w:r>
        <w:t xml:space="preserve">) comparing outcomes of different data </w:t>
      </w:r>
      <w:r>
        <w:lastRenderedPageBreak/>
        <w:t xml:space="preserve">processing methods shows the </w:t>
      </w:r>
      <w:r>
        <w:rPr>
          <w:i/>
        </w:rPr>
        <w:t>epistemological impact</w:t>
      </w:r>
      <w:r>
        <w:t xml:space="preserve"> that </w:t>
      </w:r>
      <w:r>
        <w:rPr>
          <w:i/>
        </w:rPr>
        <w:t>mediating artefacts</w:t>
      </w:r>
      <w:r>
        <w:rPr>
          <w:b/>
        </w:rPr>
        <w:t xml:space="preserve"> </w:t>
      </w:r>
      <w:r>
        <w:t xml:space="preserve">have on the realities and knowledge that is (co-)created by technology companies. </w:t>
      </w:r>
    </w:p>
    <w:p w14:paraId="1B0D5B00" w14:textId="77777777" w:rsidR="007832C4" w:rsidRDefault="00000000">
      <w:pPr>
        <w:ind w:left="0" w:right="0" w:firstLine="240"/>
      </w:pPr>
      <w:r>
        <w:t xml:space="preserve">The use of existing and upcoming access rights for education also has limitations, primarily the history of dismal compliance rates (because of either lack of competences or active subversion of the law). Other limitations include constraints placed on who those access rights are for (that is, vetted researchers), who it applies to (for example, very large online services or gatekeepers), what kind of technical competences are required to exercise or analyse them (for instance, understanding of structured data formats or making API calls), or the ambiguous language of the access right obligations that give considerable interpretative freedom to organizations controlling data. While the actual exercise of access rights might not necessarily provide the organizational transparency and individual empowerment that regulators imagine, we expect that they will create more opportunities for </w:t>
      </w:r>
      <w:proofErr w:type="gramStart"/>
      <w:r>
        <w:t>opening up</w:t>
      </w:r>
      <w:proofErr w:type="gramEnd"/>
      <w:r>
        <w:t xml:space="preserve"> the black boxes of technologies broadly. We have seen something similar with current access rights, where even lip service to these obligations (for example, data download buttons and updated privacy policies) have proven to provide accessible opportunities for our in-class activities. In other words, we do not need every single access right to be respected for them to create new pedagogical opportunities that could contribute to the development of students’ data literacy </w:t>
      </w:r>
      <w:proofErr w:type="gramStart"/>
      <w:r>
        <w:t>as long as</w:t>
      </w:r>
      <w:proofErr w:type="gramEnd"/>
      <w:r>
        <w:t xml:space="preserve"> data and insights based on access are shared publicly or between educators.</w:t>
      </w:r>
    </w:p>
    <w:p w14:paraId="6A68E17E" w14:textId="77777777" w:rsidR="007832C4" w:rsidRDefault="00000000">
      <w:pPr>
        <w:spacing w:after="336"/>
        <w:ind w:left="0" w:right="0" w:firstLine="240"/>
      </w:pPr>
      <w:r>
        <w:t xml:space="preserve">Future work looking at the intersection of access rights and higher education could include more formal evaluations of specific exercises and learning outcomes for students </w:t>
      </w:r>
      <w:proofErr w:type="gramStart"/>
      <w:r>
        <w:t>in order to</w:t>
      </w:r>
      <w:proofErr w:type="gramEnd"/>
      <w:r>
        <w:t xml:space="preserve"> check whether and to what extent they contribute to data literacy or empowerment more generally. However, this would also require more concretization of the concept of data literacy (what exactly are the most important components and competencies) and a discussion of acceptable evaluation strategies, since the disciplines involved in these efforts span across epistemological traditions and might not be convinced by the same kind of ‘evidence’. One elephant in the room that should also be discussed is the fact that centring data literacy as a response to the negative externalities of datafication is a political choice</w:t>
      </w:r>
      <w:r>
        <w:rPr>
          <w:sz w:val="19"/>
          <w:vertAlign w:val="superscript"/>
        </w:rPr>
        <w:t>102</w:t>
      </w:r>
      <w:r>
        <w:t xml:space="preserve"> without clear evidence that it can achieve those purposes,</w:t>
      </w:r>
      <w:r>
        <w:rPr>
          <w:sz w:val="19"/>
          <w:vertAlign w:val="superscript"/>
        </w:rPr>
        <w:t>103</w:t>
      </w:r>
      <w:r>
        <w:t xml:space="preserve"> and that this choice naturally takes away resources from approaches that do not look at these issues through the lenses of individual resistance, data, or digital technology. Collective approaches or established theoretical traditions of power and political economy (and thus perhaps less glittery than data literacy) should also be considered as legitimate foundations for a pedagogy of the oppressed in digital societies.</w:t>
      </w:r>
    </w:p>
    <w:p w14:paraId="549F9E73" w14:textId="77777777" w:rsidR="007832C4" w:rsidRDefault="00000000">
      <w:pPr>
        <w:pStyle w:val="Heading1"/>
        <w:ind w:left="-5"/>
      </w:pPr>
      <w:r>
        <w:lastRenderedPageBreak/>
        <w:t>Notes</w:t>
      </w:r>
    </w:p>
    <w:p w14:paraId="0A8E8F67" w14:textId="77777777" w:rsidR="007832C4" w:rsidRDefault="00000000">
      <w:pPr>
        <w:numPr>
          <w:ilvl w:val="0"/>
          <w:numId w:val="1"/>
        </w:numPr>
        <w:ind w:right="0" w:hanging="460"/>
      </w:pPr>
      <w:r>
        <w:t xml:space="preserve">EU General Data Protection Regulation (GDPR): Regulation (EU) 2016/679 of the European Parliament and of the Council of 27 April 2016 on the protection of natural persons </w:t>
      </w:r>
      <w:proofErr w:type="gramStart"/>
      <w:r>
        <w:t>with regard to</w:t>
      </w:r>
      <w:proofErr w:type="gramEnd"/>
      <w:r>
        <w:t xml:space="preserve"> the processing of personal data and on the free movement of such data, and repealing Directive 95/46/ EC (General Data Protection Regulation), OJ 2016 L 119/1.</w:t>
      </w:r>
    </w:p>
    <w:p w14:paraId="1A200BEE" w14:textId="77777777" w:rsidR="007832C4" w:rsidRDefault="00000000">
      <w:pPr>
        <w:numPr>
          <w:ilvl w:val="0"/>
          <w:numId w:val="1"/>
        </w:numPr>
        <w:ind w:right="0" w:hanging="460"/>
      </w:pPr>
      <w:r>
        <w:t xml:space="preserve">J. </w:t>
      </w:r>
      <w:proofErr w:type="spellStart"/>
      <w:r>
        <w:t>Jaursch</w:t>
      </w:r>
      <w:proofErr w:type="spellEnd"/>
      <w:r>
        <w:t xml:space="preserve">, ‘Transcript for the Background Discussion “New EU-rules for Big Tech: How to Improve the Digital Services Act”’, Stiftung Neue </w:t>
      </w:r>
      <w:proofErr w:type="spellStart"/>
      <w:r>
        <w:t>Verantwortung</w:t>
      </w:r>
      <w:proofErr w:type="spellEnd"/>
      <w:r>
        <w:t xml:space="preserve">, 14 September 2021, https://www.stiftung-nv.de/en/ publication/transcript-background-discussion-new-eu-rules-big-tech-howimprove-digital-services-act (accessed 25 August 2023). </w:t>
      </w:r>
    </w:p>
    <w:p w14:paraId="5A767510" w14:textId="77777777" w:rsidR="007832C4" w:rsidRDefault="00000000">
      <w:pPr>
        <w:numPr>
          <w:ilvl w:val="0"/>
          <w:numId w:val="1"/>
        </w:numPr>
        <w:ind w:right="0" w:hanging="460"/>
      </w:pPr>
      <w:r>
        <w:t xml:space="preserve">EU Digital Markets Act (DMA): Regulation (EU) 2022/1925 of the European Parliament and of the Council of 14 September 2022 on contestable and fair markets in the digital sector and amending Directives (EU) 2019/1937 and (EU) 2020/1828 (Digital Markets Act), OJ 2022 L 265. </w:t>
      </w:r>
    </w:p>
    <w:p w14:paraId="0D75CB38" w14:textId="77777777" w:rsidR="007832C4" w:rsidRDefault="00000000">
      <w:pPr>
        <w:numPr>
          <w:ilvl w:val="0"/>
          <w:numId w:val="1"/>
        </w:numPr>
        <w:ind w:right="0" w:hanging="460"/>
      </w:pPr>
      <w:r>
        <w:t>EU Data Act (DA): Regulation (EU) 2023/2854 of the European Parliament and of the Council of 13 December 2023 on harmonised rules on fair access to and use of data and amending Regulation (EU) 2017/2394 and Directive (EU) 2020/1828 (Data Act), OJ 2023.</w:t>
      </w:r>
    </w:p>
    <w:p w14:paraId="7B01E61A" w14:textId="77777777" w:rsidR="007832C4" w:rsidRDefault="00000000">
      <w:pPr>
        <w:numPr>
          <w:ilvl w:val="0"/>
          <w:numId w:val="1"/>
        </w:numPr>
        <w:ind w:right="0" w:hanging="460"/>
      </w:pPr>
      <w:r>
        <w:t xml:space="preserve">O. Solon, ‘How Much Data Did Facebook Have on One Man? 1,200 Pages of Data in 57 Categories’, </w:t>
      </w:r>
      <w:r>
        <w:rPr>
          <w:i/>
        </w:rPr>
        <w:t>Wired</w:t>
      </w:r>
      <w:r>
        <w:t>, 28 December 2012, https://www.wired.</w:t>
      </w:r>
    </w:p>
    <w:p w14:paraId="12E56D95" w14:textId="77777777" w:rsidR="007832C4" w:rsidRDefault="00000000">
      <w:pPr>
        <w:ind w:left="460" w:right="0" w:firstLine="0"/>
      </w:pPr>
      <w:r>
        <w:t>co.uk/</w:t>
      </w:r>
      <w:proofErr w:type="spellStart"/>
      <w:r>
        <w:t>arcle</w:t>
      </w:r>
      <w:proofErr w:type="spellEnd"/>
      <w:r>
        <w:t>/privacy-versus-</w:t>
      </w:r>
      <w:proofErr w:type="spellStart"/>
      <w:r>
        <w:t>facebook</w:t>
      </w:r>
      <w:proofErr w:type="spellEnd"/>
      <w:r>
        <w:t xml:space="preserve"> (accessed 25 August 2023).</w:t>
      </w:r>
    </w:p>
    <w:p w14:paraId="06A9A375" w14:textId="77777777" w:rsidR="007832C4" w:rsidRDefault="00000000">
      <w:pPr>
        <w:numPr>
          <w:ilvl w:val="0"/>
          <w:numId w:val="1"/>
        </w:numPr>
        <w:ind w:right="0" w:hanging="460"/>
      </w:pPr>
      <w:r>
        <w:rPr>
          <w:i/>
        </w:rPr>
        <w:t>Uber v. Drivers</w:t>
      </w:r>
      <w:r>
        <w:t xml:space="preserve"> [2023] ECLI:</w:t>
      </w:r>
      <w:proofErr w:type="gramStart"/>
      <w:r>
        <w:t>NL:GHAMS</w:t>
      </w:r>
      <w:proofErr w:type="gramEnd"/>
      <w:r>
        <w:t xml:space="preserve">:2023:796 Court of Appeal. </w:t>
      </w:r>
    </w:p>
    <w:p w14:paraId="34F06711" w14:textId="77777777" w:rsidR="007832C4" w:rsidRDefault="00000000">
      <w:pPr>
        <w:numPr>
          <w:ilvl w:val="0"/>
          <w:numId w:val="1"/>
        </w:numPr>
        <w:ind w:right="0" w:hanging="460"/>
      </w:pPr>
      <w:r>
        <w:t>As one of the few examples, see S. Yates and E. Carmi</w:t>
      </w:r>
      <w:r>
        <w:rPr>
          <w:i/>
        </w:rPr>
        <w:t>, Developing Citizens Data Literacy: A Short Guide</w:t>
      </w:r>
      <w:r>
        <w:t xml:space="preserve"> (London: Nuffield Foundation, 2022). </w:t>
      </w:r>
    </w:p>
    <w:p w14:paraId="05AECD6C" w14:textId="77777777" w:rsidR="007832C4" w:rsidRDefault="00000000">
      <w:pPr>
        <w:numPr>
          <w:ilvl w:val="0"/>
          <w:numId w:val="1"/>
        </w:numPr>
        <w:spacing w:after="9"/>
        <w:ind w:right="0" w:hanging="460"/>
      </w:pPr>
      <w:r>
        <w:t xml:space="preserve">R. Collins, </w:t>
      </w:r>
      <w:r>
        <w:rPr>
          <w:i/>
        </w:rPr>
        <w:t>The Credential Society: An Historical Sociology of Education and Stratification</w:t>
      </w:r>
      <w:r>
        <w:t xml:space="preserve"> (Columbia University Press, 2019).</w:t>
      </w:r>
    </w:p>
    <w:p w14:paraId="1E0B5E56" w14:textId="77777777" w:rsidR="007832C4" w:rsidRDefault="00000000">
      <w:pPr>
        <w:numPr>
          <w:ilvl w:val="0"/>
          <w:numId w:val="1"/>
        </w:numPr>
        <w:ind w:right="0" w:hanging="460"/>
      </w:pPr>
      <w:r>
        <w:t xml:space="preserve">In many European countries, for example, higher education institutions were used in the last 50 years as an important ‘engine’ to bring about the structural evolution of the country into a ‘knowledge society’, leading to universities dramatically increasing their student populations and changing their management style to be more like a commercial entity. Jussi Välimaa and David Hoffman, ‘Knowledge Society Discourse and Higher Education’, </w:t>
      </w:r>
      <w:r>
        <w:rPr>
          <w:i/>
        </w:rPr>
        <w:t>Higher Education</w:t>
      </w:r>
      <w:r>
        <w:t xml:space="preserve"> 265, no. 56 (2008): 265–285.</w:t>
      </w:r>
    </w:p>
    <w:p w14:paraId="352EC243" w14:textId="77777777" w:rsidR="007832C4" w:rsidRDefault="00000000">
      <w:pPr>
        <w:numPr>
          <w:ilvl w:val="0"/>
          <w:numId w:val="1"/>
        </w:numPr>
        <w:ind w:right="0" w:hanging="460"/>
      </w:pPr>
      <w:r>
        <w:t xml:space="preserve">P. Freire, </w:t>
      </w:r>
      <w:r>
        <w:rPr>
          <w:i/>
        </w:rPr>
        <w:t>Pedagogy of the Oppressed</w:t>
      </w:r>
      <w:r>
        <w:t>, 30th anniversary ed. (Continuum, 2000 [1968]).</w:t>
      </w:r>
    </w:p>
    <w:p w14:paraId="5DDF66F2" w14:textId="77777777" w:rsidR="007832C4" w:rsidRDefault="00000000">
      <w:pPr>
        <w:numPr>
          <w:ilvl w:val="0"/>
          <w:numId w:val="1"/>
        </w:numPr>
        <w:spacing w:after="9"/>
        <w:ind w:right="0" w:hanging="460"/>
      </w:pPr>
      <w:r>
        <w:lastRenderedPageBreak/>
        <w:t xml:space="preserve">bell hooks, </w:t>
      </w:r>
      <w:r>
        <w:rPr>
          <w:i/>
        </w:rPr>
        <w:t>Teaching Critical Thinking: Practical Wisdom</w:t>
      </w:r>
      <w:r>
        <w:t xml:space="preserve"> (Routledge, 2010).</w:t>
      </w:r>
    </w:p>
    <w:p w14:paraId="5E7D2D40" w14:textId="77777777" w:rsidR="007832C4" w:rsidRDefault="00000000">
      <w:pPr>
        <w:numPr>
          <w:ilvl w:val="0"/>
          <w:numId w:val="1"/>
        </w:numPr>
        <w:ind w:right="0" w:hanging="460"/>
      </w:pPr>
      <w:r>
        <w:t xml:space="preserve">C. Fiesler, N. Garrett, and N, Beard, ‘What Do We Teach When We Teach Tech Ethics? A Syllabi Analysis’, in </w:t>
      </w:r>
      <w:r>
        <w:rPr>
          <w:i/>
        </w:rPr>
        <w:t xml:space="preserve">Proceedings of the 51st ACM Technical Symposium on Computer Science Education </w:t>
      </w:r>
      <w:r>
        <w:t>(Association for Computing Machinery, 2020), DOI: https://dl.acm.org/doi/10.1145/3328778.3366825.</w:t>
      </w:r>
    </w:p>
    <w:p w14:paraId="033DDA34" w14:textId="77777777" w:rsidR="007832C4" w:rsidRDefault="00000000">
      <w:pPr>
        <w:numPr>
          <w:ilvl w:val="0"/>
          <w:numId w:val="1"/>
        </w:numPr>
        <w:ind w:right="0" w:hanging="460"/>
      </w:pPr>
      <w:r>
        <w:t xml:space="preserve">D. Carrington and S. K. Kim, ‘Teaching Software Design with </w:t>
      </w:r>
      <w:proofErr w:type="gramStart"/>
      <w:r>
        <w:t>Open Source</w:t>
      </w:r>
      <w:proofErr w:type="gramEnd"/>
      <w:r>
        <w:t xml:space="preserve"> Software’, 33rd Annual Frontiers in Education, FIE 2003, 2003.</w:t>
      </w:r>
    </w:p>
    <w:p w14:paraId="76E8AA38" w14:textId="77777777" w:rsidR="007832C4" w:rsidRDefault="00000000">
      <w:pPr>
        <w:numPr>
          <w:ilvl w:val="0"/>
          <w:numId w:val="1"/>
        </w:numPr>
        <w:ind w:right="0" w:hanging="460"/>
      </w:pPr>
      <w:r>
        <w:t xml:space="preserve">H. Kennedy and G. Moss, ‘Known or Knowing Publics? Social Media Data Mining and the Question of Public Agency’, </w:t>
      </w:r>
      <w:r>
        <w:rPr>
          <w:i/>
        </w:rPr>
        <w:t>Big Data and Society</w:t>
      </w:r>
      <w:r>
        <w:t xml:space="preserve"> 1, no. 2 (2015), DOI: https://doi.org/10.1177/20539517156111.</w:t>
      </w:r>
    </w:p>
    <w:p w14:paraId="56D7226D" w14:textId="77777777" w:rsidR="007832C4" w:rsidRDefault="00000000">
      <w:pPr>
        <w:numPr>
          <w:ilvl w:val="0"/>
          <w:numId w:val="1"/>
        </w:numPr>
        <w:ind w:right="0" w:hanging="460"/>
      </w:pPr>
      <w:r>
        <w:t xml:space="preserve">L. Pangrazio and N. Selwyn, ‘“Personal Data Literacies”: A Critical Literacies Approach to Enhancing Understandings of Personal Digital Data’, </w:t>
      </w:r>
      <w:r>
        <w:rPr>
          <w:i/>
        </w:rPr>
        <w:t>New Media and Society</w:t>
      </w:r>
      <w:r>
        <w:t xml:space="preserve"> 419, no. 21 (2019): 419–437. </w:t>
      </w:r>
    </w:p>
    <w:p w14:paraId="16509893" w14:textId="77777777" w:rsidR="007832C4" w:rsidRDefault="00000000">
      <w:pPr>
        <w:numPr>
          <w:ilvl w:val="0"/>
          <w:numId w:val="1"/>
        </w:numPr>
        <w:ind w:right="0" w:hanging="460"/>
      </w:pPr>
      <w:proofErr w:type="spellStart"/>
      <w:r>
        <w:t>danah</w:t>
      </w:r>
      <w:proofErr w:type="spellEnd"/>
      <w:r>
        <w:t xml:space="preserve"> </w:t>
      </w:r>
      <w:proofErr w:type="spellStart"/>
      <w:r>
        <w:t>boyd</w:t>
      </w:r>
      <w:proofErr w:type="spellEnd"/>
      <w:r>
        <w:t xml:space="preserve"> and Kate Crawford, ‘Critical Questions for Big Data: Provocations for a Cultural, Technological, and Scholarly Phenomenon’, </w:t>
      </w:r>
      <w:r>
        <w:rPr>
          <w:i/>
        </w:rPr>
        <w:t>Information, Communication and Society</w:t>
      </w:r>
      <w:r>
        <w:t xml:space="preserve"> 662, no. 15 (2012): 662–679. </w:t>
      </w:r>
    </w:p>
    <w:p w14:paraId="2CFA053D" w14:textId="77777777" w:rsidR="007832C4" w:rsidRDefault="00000000">
      <w:pPr>
        <w:numPr>
          <w:ilvl w:val="0"/>
          <w:numId w:val="1"/>
        </w:numPr>
        <w:ind w:right="0" w:hanging="460"/>
      </w:pPr>
      <w:r>
        <w:t xml:space="preserve">Huw C. Davies, ‘Rescuing Data Literacy from </w:t>
      </w:r>
      <w:proofErr w:type="spellStart"/>
      <w:r>
        <w:t>Dataism</w:t>
      </w:r>
      <w:proofErr w:type="spellEnd"/>
      <w:r>
        <w:t xml:space="preserve">’, in </w:t>
      </w:r>
      <w:r>
        <w:rPr>
          <w:i/>
        </w:rPr>
        <w:t>Data Justice and the Right to the City</w:t>
      </w:r>
      <w:r>
        <w:t>, ed. Morgan Currie, Jeremy Knox, and Callum McGregor, 146–164 (Edinburgh University Press, 2022).</w:t>
      </w:r>
    </w:p>
    <w:p w14:paraId="0EA7B3BB" w14:textId="77777777" w:rsidR="007832C4" w:rsidRDefault="00000000">
      <w:pPr>
        <w:numPr>
          <w:ilvl w:val="0"/>
          <w:numId w:val="1"/>
        </w:numPr>
        <w:ind w:right="0" w:hanging="460"/>
      </w:pPr>
      <w:r>
        <w:t xml:space="preserve">Chantel Ridsdale, James Rothwell, Mike Smit, Hossam Ali-Hassan, Michael Bliemel, Dean Irvine, Daniel Kelley, Stan Matwin, and Brad Wuetherick, ‘Strategies and Best Practices for Data Literacy Education: Knowledge Synthesis Report’, </w:t>
      </w:r>
      <w:proofErr w:type="spellStart"/>
      <w:r>
        <w:t>Dalhouse</w:t>
      </w:r>
      <w:proofErr w:type="spellEnd"/>
      <w:r>
        <w:t xml:space="preserve"> University, 2015.</w:t>
      </w:r>
    </w:p>
    <w:p w14:paraId="52A6B3BF" w14:textId="77777777" w:rsidR="007832C4" w:rsidRDefault="00000000">
      <w:pPr>
        <w:numPr>
          <w:ilvl w:val="0"/>
          <w:numId w:val="1"/>
        </w:numPr>
        <w:ind w:right="0" w:hanging="460"/>
      </w:pPr>
      <w:r>
        <w:t xml:space="preserve">J. E. </w:t>
      </w:r>
      <w:proofErr w:type="spellStart"/>
      <w:r>
        <w:t>Raffaghelli</w:t>
      </w:r>
      <w:proofErr w:type="spellEnd"/>
      <w:r>
        <w:t xml:space="preserve"> and B. Stewart, ‘</w:t>
      </w:r>
      <w:proofErr w:type="spellStart"/>
      <w:r>
        <w:t>Centering</w:t>
      </w:r>
      <w:proofErr w:type="spellEnd"/>
      <w:r>
        <w:t xml:space="preserve"> Complexity in “Educators” Data Literacy’ to Support Future Practices in Faculty Development: A Systematic Review of the Literature’, </w:t>
      </w:r>
      <w:r>
        <w:rPr>
          <w:i/>
        </w:rPr>
        <w:t>Teaching in Higher Education</w:t>
      </w:r>
      <w:r>
        <w:t xml:space="preserve"> 435, no. 25 (2020): 435–455.</w:t>
      </w:r>
    </w:p>
    <w:p w14:paraId="604A83AC" w14:textId="77777777" w:rsidR="007832C4" w:rsidRDefault="00000000">
      <w:pPr>
        <w:numPr>
          <w:ilvl w:val="0"/>
          <w:numId w:val="1"/>
        </w:numPr>
        <w:ind w:right="0" w:hanging="460"/>
      </w:pPr>
      <w:r>
        <w:t xml:space="preserve">T. Koltay, ‘Data Literacy for Researchers and Data Librarians’, </w:t>
      </w:r>
      <w:r>
        <w:rPr>
          <w:i/>
        </w:rPr>
        <w:t>Journal of Librarianship and Information Science</w:t>
      </w:r>
      <w:r>
        <w:t xml:space="preserve"> 3, no. 49 (2017): 3–14. </w:t>
      </w:r>
    </w:p>
    <w:p w14:paraId="25AA3CCC" w14:textId="77777777" w:rsidR="007832C4" w:rsidRDefault="00000000">
      <w:pPr>
        <w:numPr>
          <w:ilvl w:val="0"/>
          <w:numId w:val="1"/>
        </w:numPr>
        <w:ind w:right="0" w:hanging="460"/>
      </w:pPr>
      <w:r>
        <w:t xml:space="preserve">Elinor Carmi, Simeon J. Yates, Eleanor Lockley, and Alicja Pawluczuk, ‘Data Citizenship: Rethinking Data Literacy in the Age of Disinformation, Misinformation, and </w:t>
      </w:r>
      <w:proofErr w:type="spellStart"/>
      <w:r>
        <w:t>Malinformation</w:t>
      </w:r>
      <w:proofErr w:type="spellEnd"/>
      <w:r>
        <w:t xml:space="preserve">’, </w:t>
      </w:r>
      <w:r>
        <w:rPr>
          <w:i/>
        </w:rPr>
        <w:t>Internet Policy Review</w:t>
      </w:r>
      <w:r>
        <w:t xml:space="preserve"> 9, https:// policyreview.info/node/1481 (accessed 25 August 2023); D. Crusoe, ‘Data Literacy Defined Pro Populo: To Read This Article, Please Provide a Little Information’, </w:t>
      </w:r>
      <w:r>
        <w:rPr>
          <w:i/>
        </w:rPr>
        <w:t xml:space="preserve">Journal of Community Informatics </w:t>
      </w:r>
      <w:r>
        <w:t>12 (2016), https:// openjournals.uwaterloo.ca/</w:t>
      </w:r>
      <w:proofErr w:type="spellStart"/>
      <w:r>
        <w:t>index.php</w:t>
      </w:r>
      <w:proofErr w:type="spellEnd"/>
      <w:r>
        <w:t>/JoCI/article/view/3276 (accessed 25 August 2023).</w:t>
      </w:r>
    </w:p>
    <w:p w14:paraId="0EEB1363" w14:textId="77777777" w:rsidR="007832C4" w:rsidRDefault="00000000">
      <w:pPr>
        <w:numPr>
          <w:ilvl w:val="0"/>
          <w:numId w:val="1"/>
        </w:numPr>
        <w:ind w:right="0" w:hanging="460"/>
      </w:pPr>
      <w:r>
        <w:lastRenderedPageBreak/>
        <w:t xml:space="preserve">C. </w:t>
      </w:r>
      <w:proofErr w:type="spellStart"/>
      <w:r>
        <w:t>D’Ignazio</w:t>
      </w:r>
      <w:proofErr w:type="spellEnd"/>
      <w:r>
        <w:t xml:space="preserve"> and R. Bhargava, ‘Approaches to Building Big Data Literacy’, Proceedings of the Bloomberg Data for Good Exchange Conference, New York, NY, 2015.</w:t>
      </w:r>
    </w:p>
    <w:p w14:paraId="6B53760F" w14:textId="77777777" w:rsidR="007832C4" w:rsidRDefault="00000000">
      <w:pPr>
        <w:numPr>
          <w:ilvl w:val="0"/>
          <w:numId w:val="1"/>
        </w:numPr>
        <w:ind w:right="0" w:hanging="460"/>
      </w:pPr>
      <w:r>
        <w:t xml:space="preserve">L. </w:t>
      </w:r>
      <w:proofErr w:type="spellStart"/>
      <w:r>
        <w:t>Dogruel</w:t>
      </w:r>
      <w:proofErr w:type="spellEnd"/>
      <w:r>
        <w:t xml:space="preserve">, P. Masur, and S. Joeckel, ‘Development and Validation of an Algorithm Literacy Scale for Internet Users’, </w:t>
      </w:r>
      <w:r>
        <w:rPr>
          <w:i/>
        </w:rPr>
        <w:t>Communication Methods and Measures</w:t>
      </w:r>
      <w:r>
        <w:t xml:space="preserve"> 115, no. 16 (2022).</w:t>
      </w:r>
    </w:p>
    <w:p w14:paraId="7BE50705" w14:textId="77777777" w:rsidR="007832C4" w:rsidRDefault="00000000">
      <w:pPr>
        <w:numPr>
          <w:ilvl w:val="0"/>
          <w:numId w:val="1"/>
        </w:numPr>
        <w:ind w:right="0" w:hanging="460"/>
      </w:pPr>
      <w:r>
        <w:t xml:space="preserve">J. Gray, C. Gerlitz, and L. </w:t>
      </w:r>
      <w:proofErr w:type="spellStart"/>
      <w:r>
        <w:t>Bounegru</w:t>
      </w:r>
      <w:proofErr w:type="spellEnd"/>
      <w:r>
        <w:t xml:space="preserve">, ‘Data Infrastructure Literacy’, </w:t>
      </w:r>
      <w:r>
        <w:rPr>
          <w:i/>
        </w:rPr>
        <w:t>Big Data and Society</w:t>
      </w:r>
      <w:r>
        <w:t xml:space="preserve"> 1, no. 5 (2018): 115–133.</w:t>
      </w:r>
    </w:p>
    <w:p w14:paraId="1C4B4879" w14:textId="77777777" w:rsidR="007832C4" w:rsidRDefault="00000000">
      <w:pPr>
        <w:numPr>
          <w:ilvl w:val="0"/>
          <w:numId w:val="1"/>
        </w:numPr>
        <w:ind w:right="0" w:hanging="460"/>
      </w:pPr>
      <w:r>
        <w:t xml:space="preserve">C. </w:t>
      </w:r>
      <w:proofErr w:type="spellStart"/>
      <w:r>
        <w:t>D’Ignazio</w:t>
      </w:r>
      <w:proofErr w:type="spellEnd"/>
      <w:r>
        <w:t xml:space="preserve"> and R. Bhargava, ‘Cultivating a Data Mindset in the Arts and Humanities | Public’, </w:t>
      </w:r>
      <w:r>
        <w:rPr>
          <w:i/>
        </w:rPr>
        <w:t>Public</w:t>
      </w:r>
      <w:r>
        <w:t xml:space="preserve"> 4, no. 2 (2018), https://public.imaginingamerica. org/blog/article/cultivating-a-data-mindset-in-the-arts-and-humanities (accessed 25 August 2023).</w:t>
      </w:r>
    </w:p>
    <w:p w14:paraId="0F2814F7" w14:textId="77777777" w:rsidR="007832C4" w:rsidRDefault="00000000">
      <w:pPr>
        <w:numPr>
          <w:ilvl w:val="0"/>
          <w:numId w:val="1"/>
        </w:numPr>
        <w:ind w:right="0" w:hanging="460"/>
      </w:pPr>
      <w:r>
        <w:t>Crusoe, ‘Data Literacy Defined Pro Populo’.</w:t>
      </w:r>
    </w:p>
    <w:p w14:paraId="0FB8F464" w14:textId="77777777" w:rsidR="007832C4" w:rsidRDefault="00000000">
      <w:pPr>
        <w:numPr>
          <w:ilvl w:val="0"/>
          <w:numId w:val="1"/>
        </w:numPr>
        <w:ind w:right="0" w:hanging="460"/>
      </w:pPr>
      <w:proofErr w:type="spellStart"/>
      <w:r>
        <w:t>D’Ignazio</w:t>
      </w:r>
      <w:proofErr w:type="spellEnd"/>
      <w:r>
        <w:t xml:space="preserve"> and Bhargava, ‘Approaches to Building Big Data Literacy’. </w:t>
      </w:r>
    </w:p>
    <w:p w14:paraId="45845DB2" w14:textId="77777777" w:rsidR="007832C4" w:rsidRDefault="00000000">
      <w:pPr>
        <w:numPr>
          <w:ilvl w:val="0"/>
          <w:numId w:val="1"/>
        </w:numPr>
        <w:ind w:right="0" w:hanging="460"/>
      </w:pPr>
      <w:r>
        <w:t xml:space="preserve">Gray, Gerlitz, and </w:t>
      </w:r>
      <w:proofErr w:type="spellStart"/>
      <w:r>
        <w:t>Bounegru</w:t>
      </w:r>
      <w:proofErr w:type="spellEnd"/>
      <w:r>
        <w:t xml:space="preserve">, ‘Data Infrastructure Literacy’; I. Sander, ‘What Is Critical Big Data Literacy and How Can It Be Implemented?’ </w:t>
      </w:r>
      <w:r>
        <w:rPr>
          <w:i/>
        </w:rPr>
        <w:t>Internet Policy Review</w:t>
      </w:r>
      <w:r>
        <w:t xml:space="preserve"> 9, no. 2 (2020), https://policyreview.info/node/1479 (accessed 25 August 2023). </w:t>
      </w:r>
    </w:p>
    <w:p w14:paraId="020B4671" w14:textId="77777777" w:rsidR="007832C4" w:rsidRDefault="00000000">
      <w:pPr>
        <w:numPr>
          <w:ilvl w:val="0"/>
          <w:numId w:val="1"/>
        </w:numPr>
        <w:ind w:right="0" w:hanging="460"/>
      </w:pPr>
      <w:proofErr w:type="spellStart"/>
      <w:r>
        <w:t>D’Ignazio</w:t>
      </w:r>
      <w:proofErr w:type="spellEnd"/>
      <w:r>
        <w:t xml:space="preserve"> and Bhargava, ‘Approaches to Building Big Data Literacy’. </w:t>
      </w:r>
    </w:p>
    <w:p w14:paraId="059A0930" w14:textId="77777777" w:rsidR="007832C4" w:rsidRDefault="00000000">
      <w:pPr>
        <w:numPr>
          <w:ilvl w:val="0"/>
          <w:numId w:val="1"/>
        </w:numPr>
        <w:ind w:right="0" w:hanging="460"/>
      </w:pPr>
      <w:r>
        <w:t xml:space="preserve">T. Bucher, ‘The Algorithmic Imaginary: Exploring the Ordinary </w:t>
      </w:r>
      <w:proofErr w:type="spellStart"/>
      <w:r>
        <w:t>Affects</w:t>
      </w:r>
      <w:proofErr w:type="spellEnd"/>
      <w:r>
        <w:t xml:space="preserve"> of Facebook Algorithms’, </w:t>
      </w:r>
      <w:r>
        <w:rPr>
          <w:i/>
        </w:rPr>
        <w:t>Information, Communication and Society</w:t>
      </w:r>
      <w:r>
        <w:t xml:space="preserve"> 30, no. 20 (2017): 30–44.</w:t>
      </w:r>
    </w:p>
    <w:p w14:paraId="015F2965" w14:textId="77777777" w:rsidR="007832C4" w:rsidRDefault="00000000">
      <w:pPr>
        <w:numPr>
          <w:ilvl w:val="0"/>
          <w:numId w:val="1"/>
        </w:numPr>
        <w:ind w:right="0" w:hanging="460"/>
      </w:pPr>
      <w:r>
        <w:t>Crusoe, ‘Data Literacy Defined Pro Populo’.</w:t>
      </w:r>
    </w:p>
    <w:p w14:paraId="3AC3BF95" w14:textId="77777777" w:rsidR="007832C4" w:rsidRDefault="00000000">
      <w:pPr>
        <w:numPr>
          <w:ilvl w:val="0"/>
          <w:numId w:val="1"/>
        </w:numPr>
        <w:ind w:right="0" w:hanging="460"/>
      </w:pPr>
      <w:r>
        <w:t xml:space="preserve">T. Philip, M. Olivares-Pasillas, and J. Rocha, ‘Becoming Racially Literate about Data and Data-Literate about Race: Data Visualizations in the Classroom as a Site of Racial-Ideological Micro-Contestations’, </w:t>
      </w:r>
      <w:r>
        <w:rPr>
          <w:i/>
        </w:rPr>
        <w:t>Cognition and Instruction</w:t>
      </w:r>
      <w:r>
        <w:t xml:space="preserve"> 361, no. 34 (2016): 361–388. </w:t>
      </w:r>
    </w:p>
    <w:p w14:paraId="02999CAD" w14:textId="77777777" w:rsidR="007832C4" w:rsidRDefault="00000000">
      <w:pPr>
        <w:numPr>
          <w:ilvl w:val="0"/>
          <w:numId w:val="1"/>
        </w:numPr>
        <w:ind w:right="0" w:hanging="460"/>
      </w:pPr>
      <w:r>
        <w:t xml:space="preserve">Gray, Gerlitz, and </w:t>
      </w:r>
      <w:proofErr w:type="spellStart"/>
      <w:r>
        <w:t>Bounegru</w:t>
      </w:r>
      <w:proofErr w:type="spellEnd"/>
      <w:r>
        <w:t>, ‘Data Infrastructure Literacy’.</w:t>
      </w:r>
    </w:p>
    <w:p w14:paraId="5A1C4D12" w14:textId="77777777" w:rsidR="007832C4" w:rsidRDefault="00000000">
      <w:pPr>
        <w:numPr>
          <w:ilvl w:val="0"/>
          <w:numId w:val="1"/>
        </w:numPr>
        <w:ind w:right="0" w:hanging="460"/>
      </w:pPr>
      <w:proofErr w:type="spellStart"/>
      <w:r>
        <w:t>D’Ignazio</w:t>
      </w:r>
      <w:proofErr w:type="spellEnd"/>
      <w:r>
        <w:t xml:space="preserve"> and Bhargava, ‘Cultivating a Data Mindset in the Arts and Humanities’.</w:t>
      </w:r>
    </w:p>
    <w:p w14:paraId="0AC59C89" w14:textId="77777777" w:rsidR="007832C4" w:rsidRDefault="00000000">
      <w:pPr>
        <w:numPr>
          <w:ilvl w:val="0"/>
          <w:numId w:val="1"/>
        </w:numPr>
        <w:ind w:right="0" w:hanging="460"/>
      </w:pPr>
      <w:r>
        <w:t>Pangrazio and Selwyn, ‘“Personal Data Literacies”’.</w:t>
      </w:r>
    </w:p>
    <w:p w14:paraId="5A12FAF3" w14:textId="77777777" w:rsidR="007832C4" w:rsidRDefault="00000000">
      <w:pPr>
        <w:numPr>
          <w:ilvl w:val="0"/>
          <w:numId w:val="1"/>
        </w:numPr>
        <w:ind w:right="0" w:hanging="460"/>
      </w:pPr>
      <w:r>
        <w:t xml:space="preserve">Karin van Es, </w:t>
      </w:r>
      <w:proofErr w:type="spellStart"/>
      <w:r>
        <w:t>Nicholás</w:t>
      </w:r>
      <w:proofErr w:type="spellEnd"/>
      <w:r>
        <w:t xml:space="preserve"> L. Coombs, and Thomas Boeschoten, ‘Towards a Reflexive Digital Data Analysis’, in </w:t>
      </w:r>
      <w:r>
        <w:rPr>
          <w:i/>
        </w:rPr>
        <w:t xml:space="preserve">The </w:t>
      </w:r>
      <w:proofErr w:type="spellStart"/>
      <w:r>
        <w:rPr>
          <w:i/>
        </w:rPr>
        <w:t>Datafied</w:t>
      </w:r>
      <w:proofErr w:type="spellEnd"/>
      <w:r>
        <w:rPr>
          <w:i/>
        </w:rPr>
        <w:t xml:space="preserve"> Society: Studying Culture Through Data</w:t>
      </w:r>
      <w:r>
        <w:t>, ed. Karin van Es and Mirko T Schäfer, 171–180</w:t>
      </w:r>
      <w:r>
        <w:rPr>
          <w:i/>
        </w:rPr>
        <w:t xml:space="preserve"> </w:t>
      </w:r>
      <w:r>
        <w:t>(Amsterdam University Press, 2017).</w:t>
      </w:r>
    </w:p>
    <w:p w14:paraId="25322B8C" w14:textId="77777777" w:rsidR="007832C4" w:rsidRDefault="00000000">
      <w:pPr>
        <w:numPr>
          <w:ilvl w:val="0"/>
          <w:numId w:val="1"/>
        </w:numPr>
        <w:ind w:right="0" w:hanging="460"/>
      </w:pPr>
      <w:r>
        <w:t>Sander, ‘What Is Critical Big Data Literacy and How Can It Be Implemented?’</w:t>
      </w:r>
    </w:p>
    <w:p w14:paraId="10BD6996" w14:textId="77777777" w:rsidR="007832C4" w:rsidRDefault="00000000">
      <w:pPr>
        <w:numPr>
          <w:ilvl w:val="0"/>
          <w:numId w:val="1"/>
        </w:numPr>
        <w:ind w:right="0" w:hanging="460"/>
      </w:pPr>
      <w:r>
        <w:lastRenderedPageBreak/>
        <w:t xml:space="preserve">Ying Cui, Fu Chen, Alina Lutsyk, Jacqueline P. Leighton, and Maria Cutumisu, ‘Data Literacy Assessments: A Systematic Literature Review’, </w:t>
      </w:r>
      <w:r>
        <w:rPr>
          <w:i/>
        </w:rPr>
        <w:t>Assessment in Education: Principles, Policy and Practice</w:t>
      </w:r>
      <w:r>
        <w:t xml:space="preserve"> 76, no. 30 (2023): 76–96. </w:t>
      </w:r>
    </w:p>
    <w:p w14:paraId="4D885D28" w14:textId="77777777" w:rsidR="007832C4" w:rsidRDefault="00000000">
      <w:pPr>
        <w:numPr>
          <w:ilvl w:val="0"/>
          <w:numId w:val="1"/>
        </w:numPr>
        <w:ind w:right="0" w:hanging="460"/>
      </w:pPr>
      <w:r>
        <w:t xml:space="preserve">Bahareh Ghodoosi, Tracey West, </w:t>
      </w:r>
      <w:proofErr w:type="spellStart"/>
      <w:r>
        <w:t>Qinyi</w:t>
      </w:r>
      <w:proofErr w:type="spellEnd"/>
      <w:r>
        <w:t xml:space="preserve"> Li, Geraldine Torrisi-Steele, and Sharmistha Dey, ‘A Systematic Literature Review of Data Literacy Education’, </w:t>
      </w:r>
      <w:r>
        <w:rPr>
          <w:i/>
        </w:rPr>
        <w:t>Journal of Business and Finance Librarianship</w:t>
      </w:r>
      <w:r>
        <w:t xml:space="preserve"> 112, no. 28 (2023): 112–127. </w:t>
      </w:r>
    </w:p>
    <w:p w14:paraId="036AB42E" w14:textId="77777777" w:rsidR="007832C4" w:rsidRDefault="00000000">
      <w:pPr>
        <w:numPr>
          <w:ilvl w:val="0"/>
          <w:numId w:val="1"/>
        </w:numPr>
        <w:ind w:right="0" w:hanging="460"/>
      </w:pPr>
      <w:r>
        <w:t xml:space="preserve">Ridsdale, Rothwell, Smit, Ali-Hassan, Bliemel, Irvine, Kelley, </w:t>
      </w:r>
      <w:proofErr w:type="spellStart"/>
      <w:r>
        <w:t>Matwin</w:t>
      </w:r>
      <w:proofErr w:type="spellEnd"/>
      <w:r>
        <w:t xml:space="preserve">, and </w:t>
      </w:r>
      <w:proofErr w:type="spellStart"/>
      <w:r>
        <w:t>Wuetherick</w:t>
      </w:r>
      <w:proofErr w:type="spellEnd"/>
      <w:r>
        <w:t xml:space="preserve">, ‘Strategies and Best Practices for Data Literacy Education’; Cui, Chen, </w:t>
      </w:r>
      <w:proofErr w:type="spellStart"/>
      <w:r>
        <w:t>Lutsyk</w:t>
      </w:r>
      <w:proofErr w:type="spellEnd"/>
      <w:r>
        <w:t xml:space="preserve">, Leighton, and </w:t>
      </w:r>
      <w:proofErr w:type="spellStart"/>
      <w:r>
        <w:t>Cutumisu</w:t>
      </w:r>
      <w:proofErr w:type="spellEnd"/>
      <w:r>
        <w:t xml:space="preserve">, ‘Data Literacy Assessments’. </w:t>
      </w:r>
    </w:p>
    <w:p w14:paraId="2F8F0AB9" w14:textId="77777777" w:rsidR="007832C4" w:rsidRDefault="00000000">
      <w:pPr>
        <w:numPr>
          <w:ilvl w:val="0"/>
          <w:numId w:val="1"/>
        </w:numPr>
        <w:ind w:right="0" w:hanging="460"/>
      </w:pPr>
      <w:r>
        <w:t xml:space="preserve">Ridsdale, Rothwell, Smit, Ali-Hassan, Bliemel, Irvine, Kelley, </w:t>
      </w:r>
      <w:proofErr w:type="spellStart"/>
      <w:r>
        <w:t>Matwin</w:t>
      </w:r>
      <w:proofErr w:type="spellEnd"/>
      <w:r>
        <w:t xml:space="preserve">, and </w:t>
      </w:r>
      <w:proofErr w:type="spellStart"/>
      <w:r>
        <w:t>Wuetherick</w:t>
      </w:r>
      <w:proofErr w:type="spellEnd"/>
      <w:r>
        <w:t xml:space="preserve">, ‘Strategies and Best Practices for Data Literacy Education’; Cui, Chen, </w:t>
      </w:r>
      <w:proofErr w:type="spellStart"/>
      <w:r>
        <w:t>Lutsyk</w:t>
      </w:r>
      <w:proofErr w:type="spellEnd"/>
      <w:r>
        <w:t xml:space="preserve">, Leighton, and </w:t>
      </w:r>
      <w:proofErr w:type="spellStart"/>
      <w:r>
        <w:t>Cutumisu</w:t>
      </w:r>
      <w:proofErr w:type="spellEnd"/>
      <w:r>
        <w:t>, ‘Data Literacy Assessments’.</w:t>
      </w:r>
    </w:p>
    <w:p w14:paraId="1D9B3606" w14:textId="77777777" w:rsidR="007832C4" w:rsidRDefault="00000000">
      <w:pPr>
        <w:numPr>
          <w:ilvl w:val="0"/>
          <w:numId w:val="1"/>
        </w:numPr>
        <w:ind w:right="0" w:hanging="460"/>
      </w:pPr>
      <w:r>
        <w:t xml:space="preserve">Ridsdale, Rothwell, Smit, Ali-Hassan, Bliemel, Irvine, Kelley, </w:t>
      </w:r>
      <w:proofErr w:type="spellStart"/>
      <w:r>
        <w:t>Matwin</w:t>
      </w:r>
      <w:proofErr w:type="spellEnd"/>
      <w:r>
        <w:t xml:space="preserve">, and </w:t>
      </w:r>
      <w:proofErr w:type="spellStart"/>
      <w:r>
        <w:t>Wuetherick</w:t>
      </w:r>
      <w:proofErr w:type="spellEnd"/>
      <w:r>
        <w:t xml:space="preserve">, ‘Strategies and Best Practices for Data Literacy Education’; Cui, Chen, </w:t>
      </w:r>
      <w:proofErr w:type="spellStart"/>
      <w:r>
        <w:t>Lutsyk</w:t>
      </w:r>
      <w:proofErr w:type="spellEnd"/>
      <w:r>
        <w:t xml:space="preserve">, Leighton, and </w:t>
      </w:r>
      <w:proofErr w:type="spellStart"/>
      <w:r>
        <w:t>Cutumisu</w:t>
      </w:r>
      <w:proofErr w:type="spellEnd"/>
      <w:r>
        <w:t>, ‘Data Literacy Assessments’.</w:t>
      </w:r>
    </w:p>
    <w:p w14:paraId="66743D59" w14:textId="77777777" w:rsidR="007832C4" w:rsidRDefault="00000000">
      <w:pPr>
        <w:numPr>
          <w:ilvl w:val="0"/>
          <w:numId w:val="1"/>
        </w:numPr>
        <w:ind w:right="0" w:hanging="460"/>
      </w:pPr>
      <w:proofErr w:type="spellStart"/>
      <w:r>
        <w:t>D’Ignazio</w:t>
      </w:r>
      <w:proofErr w:type="spellEnd"/>
      <w:r>
        <w:t xml:space="preserve"> and Bhargava, ‘Cultivating a Data Mindset’. </w:t>
      </w:r>
    </w:p>
    <w:p w14:paraId="14626FE1" w14:textId="77777777" w:rsidR="007832C4" w:rsidRDefault="00000000">
      <w:pPr>
        <w:numPr>
          <w:ilvl w:val="0"/>
          <w:numId w:val="1"/>
        </w:numPr>
        <w:ind w:right="0" w:hanging="460"/>
      </w:pPr>
      <w:r>
        <w:t xml:space="preserve">S. Vakil, A. Reith, and N. A. Melo, ‘Jamming Power: Youth Agency and Community-Driven Science in a Critical Technology Learning Program’, </w:t>
      </w:r>
      <w:r>
        <w:rPr>
          <w:i/>
        </w:rPr>
        <w:t xml:space="preserve">Journal of Research in Science Teaching </w:t>
      </w:r>
      <w:r>
        <w:t>60, no. 8 (2023), DOI: https:// onlinelibrary.wiley.com/</w:t>
      </w:r>
      <w:proofErr w:type="spellStart"/>
      <w:r>
        <w:t>doi</w:t>
      </w:r>
      <w:proofErr w:type="spellEnd"/>
      <w:r>
        <w:t>/abs/10.1002/tea.21843.</w:t>
      </w:r>
    </w:p>
    <w:p w14:paraId="1F6AB779" w14:textId="77777777" w:rsidR="007832C4" w:rsidRDefault="00000000">
      <w:pPr>
        <w:numPr>
          <w:ilvl w:val="0"/>
          <w:numId w:val="1"/>
        </w:numPr>
        <w:ind w:right="0" w:hanging="460"/>
      </w:pPr>
      <w:r>
        <w:t xml:space="preserve">I. Sander, ‘Critical Big Data Literacy Tools: Engaging Citizens and Promoting Empowered Internet Usage’, </w:t>
      </w:r>
      <w:r>
        <w:rPr>
          <w:i/>
        </w:rPr>
        <w:t>Data and Policy</w:t>
      </w:r>
      <w:r>
        <w:t xml:space="preserve"> 1, no. 2 (2020): e5.</w:t>
      </w:r>
    </w:p>
    <w:p w14:paraId="5C0D614A" w14:textId="77777777" w:rsidR="007832C4" w:rsidRDefault="00000000">
      <w:pPr>
        <w:numPr>
          <w:ilvl w:val="0"/>
          <w:numId w:val="1"/>
        </w:numPr>
        <w:ind w:right="0" w:hanging="460"/>
      </w:pPr>
      <w:r>
        <w:t xml:space="preserve">Rahul Bhargava, Amanda Brea, Victoria </w:t>
      </w:r>
      <w:proofErr w:type="spellStart"/>
      <w:r>
        <w:t>Palacin</w:t>
      </w:r>
      <w:proofErr w:type="spellEnd"/>
      <w:r>
        <w:t xml:space="preserve">, Laura Perovich, and Jesse Hinson, ‘Data Theatre as an Entry Point to Data Literacy’, </w:t>
      </w:r>
      <w:r>
        <w:rPr>
          <w:i/>
        </w:rPr>
        <w:t>Educational Technology and Society</w:t>
      </w:r>
      <w:r>
        <w:t xml:space="preserve"> 93, no. 25 (2022): 93–108. </w:t>
      </w:r>
    </w:p>
    <w:p w14:paraId="085A46E7" w14:textId="77777777" w:rsidR="007832C4" w:rsidRDefault="00000000">
      <w:pPr>
        <w:numPr>
          <w:ilvl w:val="0"/>
          <w:numId w:val="1"/>
        </w:numPr>
        <w:ind w:right="0" w:hanging="460"/>
      </w:pPr>
      <w:proofErr w:type="spellStart"/>
      <w:r>
        <w:t>D’Ignazio</w:t>
      </w:r>
      <w:proofErr w:type="spellEnd"/>
      <w:r>
        <w:t xml:space="preserve"> and Bhargava, ‘Cultivating a Data Mindset’. </w:t>
      </w:r>
    </w:p>
    <w:p w14:paraId="0A5EB86E" w14:textId="77777777" w:rsidR="007832C4" w:rsidRDefault="00000000">
      <w:pPr>
        <w:numPr>
          <w:ilvl w:val="0"/>
          <w:numId w:val="1"/>
        </w:numPr>
        <w:ind w:right="0" w:hanging="460"/>
      </w:pPr>
      <w:proofErr w:type="spellStart"/>
      <w:r>
        <w:t>D’Ignazio</w:t>
      </w:r>
      <w:proofErr w:type="spellEnd"/>
      <w:r>
        <w:t xml:space="preserve"> and Bhargava, ‘Cultivating a Data Mindset’.</w:t>
      </w:r>
    </w:p>
    <w:p w14:paraId="6ED60363" w14:textId="77777777" w:rsidR="007832C4" w:rsidRDefault="00000000">
      <w:pPr>
        <w:numPr>
          <w:ilvl w:val="0"/>
          <w:numId w:val="1"/>
        </w:numPr>
        <w:ind w:right="0" w:hanging="460"/>
      </w:pPr>
      <w:r>
        <w:t xml:space="preserve">L. Poirier, ‘Ethnographies of Datasets: Teaching Critical Data Analysis through R Notebooks’, </w:t>
      </w:r>
      <w:r>
        <w:rPr>
          <w:i/>
        </w:rPr>
        <w:t xml:space="preserve">Journal of Interactive Technology and Pedagogy </w:t>
      </w:r>
      <w:r>
        <w:t>(2020), https://jitp.commons.gc.cuny.edu/ethnographies-of-datasets-teachingcritical-data-analysis-through-r-notebooks (accessed 25 August 2023).</w:t>
      </w:r>
    </w:p>
    <w:p w14:paraId="234CEC58" w14:textId="77777777" w:rsidR="007832C4" w:rsidRDefault="00000000">
      <w:pPr>
        <w:numPr>
          <w:ilvl w:val="0"/>
          <w:numId w:val="1"/>
        </w:numPr>
        <w:ind w:right="0" w:hanging="460"/>
      </w:pPr>
      <w:r>
        <w:t>Starting with the Data Protection Act of the German state Hesse (</w:t>
      </w:r>
      <w:proofErr w:type="spellStart"/>
      <w:r>
        <w:t>Hessisches</w:t>
      </w:r>
      <w:proofErr w:type="spellEnd"/>
      <w:r>
        <w:t xml:space="preserve"> </w:t>
      </w:r>
      <w:proofErr w:type="spellStart"/>
      <w:r>
        <w:t>Datenschutzgesetz</w:t>
      </w:r>
      <w:proofErr w:type="spellEnd"/>
      <w:r>
        <w:t xml:space="preserve"> </w:t>
      </w:r>
      <w:proofErr w:type="spellStart"/>
      <w:r>
        <w:t>vom</w:t>
      </w:r>
      <w:proofErr w:type="spellEnd"/>
      <w:r>
        <w:t xml:space="preserve"> 7 </w:t>
      </w:r>
      <w:proofErr w:type="spellStart"/>
      <w:r>
        <w:t>oktober</w:t>
      </w:r>
      <w:proofErr w:type="spellEnd"/>
      <w:r>
        <w:t xml:space="preserve"> 1970 </w:t>
      </w:r>
      <w:proofErr w:type="spellStart"/>
      <w:r>
        <w:t>GVBl</w:t>
      </w:r>
      <w:proofErr w:type="spellEnd"/>
      <w:r>
        <w:t xml:space="preserve"> II 300-10, published at Wiesbaden, 12 October 1970, in </w:t>
      </w:r>
      <w:proofErr w:type="spellStart"/>
      <w:r>
        <w:rPr>
          <w:i/>
        </w:rPr>
        <w:t>Gesetz</w:t>
      </w:r>
      <w:proofErr w:type="spellEnd"/>
      <w:r>
        <w:rPr>
          <w:i/>
        </w:rPr>
        <w:t xml:space="preserve">-und </w:t>
      </w:r>
      <w:proofErr w:type="spellStart"/>
      <w:r>
        <w:rPr>
          <w:i/>
        </w:rPr>
        <w:t>Verordnungsblatt</w:t>
      </w:r>
      <w:proofErr w:type="spellEnd"/>
      <w:r>
        <w:rPr>
          <w:i/>
        </w:rPr>
        <w:t xml:space="preserve"> für das Land Hessen</w:t>
      </w:r>
      <w:r>
        <w:t xml:space="preserve"> [Laws and Regulations Journal], part 1, no. 41). For in-depth overviews of the history and emergence of data protection and data rights, see, for example, G. G. Fuster, </w:t>
      </w:r>
      <w:r>
        <w:rPr>
          <w:i/>
        </w:rPr>
        <w:t>The Emergence of Personal Data Protection as a Fundamental Right of the EU</w:t>
      </w:r>
      <w:r>
        <w:t xml:space="preserve"> (Springer, 2014) and J. Ausloos, </w:t>
      </w:r>
      <w:r>
        <w:rPr>
          <w:i/>
        </w:rPr>
        <w:lastRenderedPageBreak/>
        <w:t>The Right to Erasure in EU Data Protection Law: From Individual Rights to Effective Protection</w:t>
      </w:r>
      <w:r>
        <w:t xml:space="preserve"> (Oxford University Press, 2020).</w:t>
      </w:r>
    </w:p>
    <w:p w14:paraId="5913BDB7" w14:textId="77777777" w:rsidR="007832C4" w:rsidRDefault="00000000">
      <w:pPr>
        <w:numPr>
          <w:ilvl w:val="0"/>
          <w:numId w:val="1"/>
        </w:numPr>
        <w:spacing w:after="0" w:line="274" w:lineRule="auto"/>
        <w:ind w:right="0" w:hanging="460"/>
      </w:pPr>
      <w:r>
        <w:t xml:space="preserve">EU Directive 95/46: Directive 95/46/EC of the European Parliament and of the Council of 24 October 1995 on the protection of individuals </w:t>
      </w:r>
      <w:proofErr w:type="gramStart"/>
      <w:r>
        <w:t>with regard to</w:t>
      </w:r>
      <w:proofErr w:type="gramEnd"/>
      <w:r>
        <w:t xml:space="preserve"> the processing of personal data and on the free movement of such data, OJ 1995 L 281/31.</w:t>
      </w:r>
    </w:p>
    <w:p w14:paraId="6561F5D6" w14:textId="77777777" w:rsidR="007832C4" w:rsidRDefault="00000000">
      <w:pPr>
        <w:numPr>
          <w:ilvl w:val="0"/>
          <w:numId w:val="1"/>
        </w:numPr>
        <w:ind w:right="0" w:hanging="460"/>
      </w:pPr>
      <w:r>
        <w:t>GDPR, OJ 2016 L 119/1, Article 15.</w:t>
      </w:r>
    </w:p>
    <w:p w14:paraId="7A210335" w14:textId="77777777" w:rsidR="007832C4" w:rsidRDefault="00000000">
      <w:pPr>
        <w:numPr>
          <w:ilvl w:val="0"/>
          <w:numId w:val="1"/>
        </w:numPr>
        <w:ind w:right="0" w:hanging="460"/>
      </w:pPr>
      <w:r>
        <w:t xml:space="preserve">GDPR, OJ 2016 L 119/1, Article 15. </w:t>
      </w:r>
    </w:p>
    <w:p w14:paraId="5F84FABE" w14:textId="77777777" w:rsidR="007832C4" w:rsidRDefault="00000000">
      <w:pPr>
        <w:numPr>
          <w:ilvl w:val="0"/>
          <w:numId w:val="1"/>
        </w:numPr>
        <w:ind w:right="0" w:hanging="460"/>
      </w:pPr>
      <w:r>
        <w:t>European Commission, ‘Commission Staff Working Paper Impact Assessment Accompanying the Document Regulation of the European Parliament and of the Council on the Protection of Individuals with Regard to the Processing of Personal Data and on the Free Movement of Such Data (General Data Protection Regulation) and Directive of the European Parliament and of the Council on the Protection of Individuals with Regard to the Processing of Personal Data by Competent Authorities for the Purposes of Prevention, Investigation, Detection or Prosecution of Criminal Offences or the Execution of Criminal Penalties, and the Free Movement of Such Data’, 2012, https:// eur-lex.europa.eu/legal-content/EN/TXT/?</w:t>
      </w:r>
      <w:proofErr w:type="spellStart"/>
      <w:r>
        <w:t>uri</w:t>
      </w:r>
      <w:proofErr w:type="spellEnd"/>
      <w:r>
        <w:t>=CELEX%3A52012SC0072 (accessed 1 December 2024).</w:t>
      </w:r>
    </w:p>
    <w:p w14:paraId="0B9439D9" w14:textId="77777777" w:rsidR="007832C4" w:rsidRDefault="00000000">
      <w:pPr>
        <w:numPr>
          <w:ilvl w:val="0"/>
          <w:numId w:val="1"/>
        </w:numPr>
        <w:spacing w:after="9"/>
        <w:ind w:right="0" w:hanging="460"/>
      </w:pPr>
      <w:r>
        <w:t xml:space="preserve">Such as the French </w:t>
      </w:r>
      <w:r>
        <w:rPr>
          <w:i/>
        </w:rPr>
        <w:t xml:space="preserve">Loi Informatique et </w:t>
      </w:r>
      <w:proofErr w:type="spellStart"/>
      <w:r>
        <w:rPr>
          <w:i/>
        </w:rPr>
        <w:t>Libertés</w:t>
      </w:r>
      <w:proofErr w:type="spellEnd"/>
      <w:r>
        <w:t xml:space="preserve"> of 1978 (</w:t>
      </w:r>
      <w:r>
        <w:rPr>
          <w:i/>
        </w:rPr>
        <w:t xml:space="preserve">Loi n° 78–17 du 6 </w:t>
      </w:r>
      <w:proofErr w:type="spellStart"/>
      <w:r>
        <w:rPr>
          <w:i/>
        </w:rPr>
        <w:t>janvier</w:t>
      </w:r>
      <w:proofErr w:type="spellEnd"/>
      <w:r>
        <w:rPr>
          <w:i/>
        </w:rPr>
        <w:t xml:space="preserve"> 1978 relative à </w:t>
      </w:r>
      <w:proofErr w:type="spellStart"/>
      <w:r>
        <w:rPr>
          <w:i/>
        </w:rPr>
        <w:t>l’informatique</w:t>
      </w:r>
      <w:proofErr w:type="spellEnd"/>
      <w:r>
        <w:rPr>
          <w:i/>
        </w:rPr>
        <w:t xml:space="preserve">, aux </w:t>
      </w:r>
      <w:proofErr w:type="spellStart"/>
      <w:r>
        <w:rPr>
          <w:i/>
        </w:rPr>
        <w:t>fichiers</w:t>
      </w:r>
      <w:proofErr w:type="spellEnd"/>
      <w:r>
        <w:rPr>
          <w:i/>
        </w:rPr>
        <w:t xml:space="preserve"> et aux </w:t>
      </w:r>
      <w:proofErr w:type="spellStart"/>
      <w:r>
        <w:rPr>
          <w:i/>
        </w:rPr>
        <w:t>libertés</w:t>
      </w:r>
      <w:proofErr w:type="spellEnd"/>
      <w:r>
        <w:t>).</w:t>
      </w:r>
    </w:p>
    <w:p w14:paraId="507BDFBF" w14:textId="77777777" w:rsidR="007832C4" w:rsidRDefault="00000000">
      <w:pPr>
        <w:numPr>
          <w:ilvl w:val="0"/>
          <w:numId w:val="1"/>
        </w:numPr>
        <w:ind w:right="0" w:hanging="460"/>
      </w:pPr>
      <w:r>
        <w:t xml:space="preserve">Such as the Data Protection Directive, 1995. OJ 1995 L 281/31. </w:t>
      </w:r>
    </w:p>
    <w:p w14:paraId="3B4378C8" w14:textId="77777777" w:rsidR="007832C4" w:rsidRDefault="00000000">
      <w:pPr>
        <w:numPr>
          <w:ilvl w:val="0"/>
          <w:numId w:val="1"/>
        </w:numPr>
        <w:ind w:right="0" w:hanging="460"/>
      </w:pPr>
      <w:r>
        <w:t>European Data Protection Board, ‘Guidelines 01/2022 on Data Subject Rights: Right of Access’, 2022, https://www.edpb.europa.eu/system/ files/2023-04/edpb_guidelines_202201_data_subject_rights_access_v2_ en.pdf (accessed 1 December 2024).</w:t>
      </w:r>
    </w:p>
    <w:p w14:paraId="267D54B1" w14:textId="77777777" w:rsidR="007832C4" w:rsidRDefault="00000000">
      <w:pPr>
        <w:numPr>
          <w:ilvl w:val="0"/>
          <w:numId w:val="1"/>
        </w:numPr>
        <w:ind w:right="0" w:hanging="460"/>
      </w:pPr>
      <w:r>
        <w:t xml:space="preserve">European Data Protection Board, ‘Guidelines on the Right to Data Portability under Regulation 2016/679, WP242 rev.01’, 2017, https://www.edpb. europa.eu/our-work-tools/our-documents/guidelines/guidelines-right-dataportability-under-regulation-2016679_en (accessed 1 December 2024). </w:t>
      </w:r>
    </w:p>
    <w:p w14:paraId="3126E172" w14:textId="77777777" w:rsidR="007832C4" w:rsidRDefault="00000000">
      <w:pPr>
        <w:numPr>
          <w:ilvl w:val="0"/>
          <w:numId w:val="1"/>
        </w:numPr>
        <w:ind w:right="0" w:hanging="460"/>
      </w:pPr>
      <w:r>
        <w:t>District Court of Amsterdam, 11 March 2021, ECLI:</w:t>
      </w:r>
      <w:proofErr w:type="gramStart"/>
      <w:r>
        <w:t>NL:RBAMS</w:t>
      </w:r>
      <w:proofErr w:type="gramEnd"/>
      <w:r>
        <w:t>:2021:1020.</w:t>
      </w:r>
    </w:p>
    <w:p w14:paraId="3BA38F68" w14:textId="77777777" w:rsidR="007832C4" w:rsidRDefault="00000000">
      <w:pPr>
        <w:numPr>
          <w:ilvl w:val="0"/>
          <w:numId w:val="1"/>
        </w:numPr>
        <w:ind w:right="0" w:hanging="460"/>
      </w:pPr>
      <w:proofErr w:type="spellStart"/>
      <w:r>
        <w:t>Tietosuojavaltuutetun</w:t>
      </w:r>
      <w:proofErr w:type="spellEnd"/>
      <w:r>
        <w:t xml:space="preserve"> </w:t>
      </w:r>
      <w:proofErr w:type="spellStart"/>
      <w:r>
        <w:t>toimisto</w:t>
      </w:r>
      <w:proofErr w:type="spellEnd"/>
      <w:r>
        <w:t xml:space="preserve"> (Finnish DPA) 22 </w:t>
      </w:r>
      <w:proofErr w:type="spellStart"/>
      <w:r>
        <w:t>Marhc</w:t>
      </w:r>
      <w:proofErr w:type="spellEnd"/>
      <w:r>
        <w:t xml:space="preserve"> 2023, Case 10048/182/20.</w:t>
      </w:r>
    </w:p>
    <w:p w14:paraId="0CC15D14" w14:textId="77777777" w:rsidR="007832C4" w:rsidRDefault="00000000">
      <w:pPr>
        <w:numPr>
          <w:ilvl w:val="0"/>
          <w:numId w:val="1"/>
        </w:numPr>
        <w:ind w:right="0" w:hanging="460"/>
      </w:pPr>
      <w:r>
        <w:t>EU Digital Services Act (DSA):</w:t>
      </w:r>
      <w:r>
        <w:rPr>
          <w:i/>
        </w:rPr>
        <w:t xml:space="preserve"> </w:t>
      </w:r>
      <w:r>
        <w:t xml:space="preserve">Regulation (EU) 2022/2065 of the European Parliament and of the Council of 19 October 2022 on a Single </w:t>
      </w:r>
      <w:r>
        <w:lastRenderedPageBreak/>
        <w:t xml:space="preserve">Market for Digital Services and amending Directive 2000/31/EC (Digital Services Act), OJ 2022 L 277/1. </w:t>
      </w:r>
    </w:p>
    <w:p w14:paraId="711C8900" w14:textId="77777777" w:rsidR="007832C4" w:rsidRDefault="00000000">
      <w:pPr>
        <w:numPr>
          <w:ilvl w:val="0"/>
          <w:numId w:val="1"/>
        </w:numPr>
        <w:ind w:right="0" w:hanging="460"/>
      </w:pPr>
      <w:r>
        <w:t>European Commission, ‘Commission Staff Working Document Executive Summary of the Impact Assessment Report Accompanying the Document Proposal for a Regulation of the European Parliament and the Council on a Single Market for Digital Services (Digital Services Act) and Amending Directive 2000/31/EC’, 2020, https://eur-lex.europa.eu/legal-content/EN/ ALL/?</w:t>
      </w:r>
      <w:proofErr w:type="spellStart"/>
      <w:r>
        <w:t>uri</w:t>
      </w:r>
      <w:proofErr w:type="spellEnd"/>
      <w:r>
        <w:t xml:space="preserve">=CELEX%3A52020SC0349 (accessed 1 December 2024). </w:t>
      </w:r>
    </w:p>
    <w:p w14:paraId="6EC0C2CD" w14:textId="77777777" w:rsidR="007832C4" w:rsidRDefault="00000000">
      <w:pPr>
        <w:numPr>
          <w:ilvl w:val="0"/>
          <w:numId w:val="1"/>
        </w:numPr>
        <w:ind w:right="0" w:hanging="460"/>
      </w:pPr>
      <w:r>
        <w:t xml:space="preserve">DMA, OJ 2022 L 265. </w:t>
      </w:r>
    </w:p>
    <w:p w14:paraId="73FE31C6" w14:textId="77777777" w:rsidR="007832C4" w:rsidRDefault="00000000">
      <w:pPr>
        <w:numPr>
          <w:ilvl w:val="0"/>
          <w:numId w:val="1"/>
        </w:numPr>
        <w:ind w:right="0" w:hanging="460"/>
      </w:pPr>
      <w:r>
        <w:t>DMA, OJ 2022 L 265, recital 59.</w:t>
      </w:r>
    </w:p>
    <w:p w14:paraId="79C86A25" w14:textId="77777777" w:rsidR="007832C4" w:rsidRDefault="00000000">
      <w:pPr>
        <w:numPr>
          <w:ilvl w:val="0"/>
          <w:numId w:val="1"/>
        </w:numPr>
        <w:ind w:right="0" w:hanging="460"/>
      </w:pPr>
      <w:r>
        <w:t>DMA, OJ 2022 L 265, recital 59.</w:t>
      </w:r>
    </w:p>
    <w:p w14:paraId="189CF8F7" w14:textId="77777777" w:rsidR="007832C4" w:rsidRDefault="00000000">
      <w:pPr>
        <w:numPr>
          <w:ilvl w:val="0"/>
          <w:numId w:val="1"/>
        </w:numPr>
        <w:ind w:right="0" w:hanging="460"/>
      </w:pPr>
      <w:r>
        <w:t xml:space="preserve">Gernot Rieder, ‘Tracing Big Data Imaginaries through Public Policy: The Case of the European Commission’, in </w:t>
      </w:r>
      <w:r>
        <w:rPr>
          <w:i/>
        </w:rPr>
        <w:t>The Politics and Policies of Big Data: Big Data, Big Brother?</w:t>
      </w:r>
      <w:r>
        <w:t xml:space="preserve"> ed. Ann R. </w:t>
      </w:r>
      <w:proofErr w:type="spellStart"/>
      <w:r>
        <w:t>Sætnan</w:t>
      </w:r>
      <w:proofErr w:type="spellEnd"/>
      <w:r>
        <w:t>, Ingrid Schneider, and Nicola Green, 89–109</w:t>
      </w:r>
      <w:r>
        <w:rPr>
          <w:i/>
        </w:rPr>
        <w:t xml:space="preserve"> </w:t>
      </w:r>
      <w:r>
        <w:t xml:space="preserve">(Routledge, 2018).  </w:t>
      </w:r>
    </w:p>
    <w:p w14:paraId="5907E862" w14:textId="77777777" w:rsidR="007832C4" w:rsidRDefault="00000000">
      <w:pPr>
        <w:numPr>
          <w:ilvl w:val="0"/>
          <w:numId w:val="1"/>
        </w:numPr>
        <w:ind w:right="0" w:hanging="460"/>
      </w:pPr>
      <w:r>
        <w:t>European Commission, ‘Commission Staff Working Document Impact Assessment Report Accompanying the Document Proposal for a Regulation of the European Parliament and of the Council on Harmonised Rules on Fair Access to and Use of Data (Data Act)’, 2022, https://eur-lex.europa.eu/legal-</w:t>
      </w:r>
    </w:p>
    <w:p w14:paraId="1F6ACA79" w14:textId="77777777" w:rsidR="007832C4" w:rsidRDefault="00000000">
      <w:pPr>
        <w:ind w:left="460" w:right="0" w:firstLine="0"/>
      </w:pPr>
      <w:r>
        <w:t>content/EN/TXT/?</w:t>
      </w:r>
      <w:proofErr w:type="spellStart"/>
      <w:r>
        <w:t>uri</w:t>
      </w:r>
      <w:proofErr w:type="spellEnd"/>
      <w:r>
        <w:t>=CELEX%3A52022SC0034 (accessed 1 December 2024).</w:t>
      </w:r>
    </w:p>
    <w:p w14:paraId="5EE659C0" w14:textId="77777777" w:rsidR="007832C4" w:rsidRDefault="00000000">
      <w:pPr>
        <w:numPr>
          <w:ilvl w:val="0"/>
          <w:numId w:val="1"/>
        </w:numPr>
        <w:ind w:right="0" w:hanging="460"/>
      </w:pPr>
      <w:r>
        <w:t xml:space="preserve">Alex Bowyer, Jack Holt, Josephine Go Jefferies, Rob Wilson, David Kirk, and Jan David, ‘Human–GDPR Interaction: Practical Experiences of Accessing Personal Data’, </w:t>
      </w:r>
      <w:r>
        <w:rPr>
          <w:i/>
        </w:rPr>
        <w:t>CHI ’22: Proceedings of the 2022 CHI Conference on Human Factors in Computing Systems</w:t>
      </w:r>
      <w:r>
        <w:t xml:space="preserve"> (2022), DOI: https://dl.acm.org/ </w:t>
      </w:r>
      <w:proofErr w:type="spellStart"/>
      <w:r>
        <w:t>doi</w:t>
      </w:r>
      <w:proofErr w:type="spellEnd"/>
      <w:r>
        <w:t>/10.1145/3491102.3501947.</w:t>
      </w:r>
    </w:p>
    <w:p w14:paraId="460DF3C4" w14:textId="77777777" w:rsidR="007832C4" w:rsidRDefault="00000000">
      <w:pPr>
        <w:numPr>
          <w:ilvl w:val="0"/>
          <w:numId w:val="1"/>
        </w:numPr>
        <w:ind w:right="0" w:hanging="460"/>
      </w:pPr>
      <w:r>
        <w:t xml:space="preserve">Directorate-General for Justice and Consumers (European Commission) and Kantar, </w:t>
      </w:r>
      <w:r>
        <w:rPr>
          <w:i/>
        </w:rPr>
        <w:t xml:space="preserve">The General Data Protection Regulation: Report </w:t>
      </w:r>
      <w:r>
        <w:t>(Publications Office of the European Union, 2019).</w:t>
      </w:r>
    </w:p>
    <w:p w14:paraId="204D77F4" w14:textId="77777777" w:rsidR="007832C4" w:rsidRDefault="00000000">
      <w:pPr>
        <w:numPr>
          <w:ilvl w:val="0"/>
          <w:numId w:val="1"/>
        </w:numPr>
        <w:ind w:right="0" w:hanging="460"/>
      </w:pPr>
      <w:r>
        <w:t xml:space="preserve">M. Castells, </w:t>
      </w:r>
      <w:r>
        <w:rPr>
          <w:i/>
        </w:rPr>
        <w:t>The Rise of the Network Society</w:t>
      </w:r>
      <w:r>
        <w:t>, vol. 1, 2nd ed. (Blackwell Publishers, 2009 [1996]), 18.</w:t>
      </w:r>
    </w:p>
    <w:p w14:paraId="56FF85A2" w14:textId="77777777" w:rsidR="007832C4" w:rsidRDefault="00000000">
      <w:pPr>
        <w:numPr>
          <w:ilvl w:val="0"/>
          <w:numId w:val="1"/>
        </w:numPr>
        <w:ind w:right="0" w:hanging="460"/>
      </w:pPr>
      <w:proofErr w:type="spellStart"/>
      <w:r>
        <w:t>boyd</w:t>
      </w:r>
      <w:proofErr w:type="spellEnd"/>
      <w:r>
        <w:t xml:space="preserve"> and Crawford, ‘Critical Questions for Big Data’.</w:t>
      </w:r>
    </w:p>
    <w:p w14:paraId="23B68852" w14:textId="77777777" w:rsidR="007832C4" w:rsidRDefault="00000000">
      <w:pPr>
        <w:numPr>
          <w:ilvl w:val="0"/>
          <w:numId w:val="1"/>
        </w:numPr>
        <w:ind w:right="0" w:hanging="460"/>
      </w:pPr>
      <w:r>
        <w:t>‘Data Studies’, Aarhus University, https://kursuskatalog.au.dk/en/ course/112914/Data-studies (accessed 25 August 2023).</w:t>
      </w:r>
    </w:p>
    <w:p w14:paraId="2C987DEB" w14:textId="77777777" w:rsidR="007832C4" w:rsidRDefault="00000000">
      <w:pPr>
        <w:numPr>
          <w:ilvl w:val="0"/>
          <w:numId w:val="1"/>
        </w:numPr>
        <w:ind w:right="0" w:hanging="460"/>
      </w:pPr>
      <w:r>
        <w:t>‘Datafication of Society’, Aarhus University, https://kursuskatalog.au.dk/en/ course/110859/Datafication-of-Society (accessed 25 August 2023).</w:t>
      </w:r>
    </w:p>
    <w:p w14:paraId="712368D3" w14:textId="77777777" w:rsidR="007832C4" w:rsidRDefault="00000000">
      <w:pPr>
        <w:numPr>
          <w:ilvl w:val="0"/>
          <w:numId w:val="1"/>
        </w:numPr>
        <w:ind w:right="0" w:hanging="460"/>
      </w:pPr>
      <w:r>
        <w:lastRenderedPageBreak/>
        <w:t xml:space="preserve">‘Digital Living’, Aarhus University, https://kandidat.au.dk/informations </w:t>
      </w:r>
      <w:proofErr w:type="spellStart"/>
      <w:r>
        <w:t>videnskab</w:t>
      </w:r>
      <w:proofErr w:type="spellEnd"/>
      <w:r>
        <w:t xml:space="preserve"> (accessed 25 August 2023).</w:t>
      </w:r>
    </w:p>
    <w:p w14:paraId="7679594A" w14:textId="77777777" w:rsidR="007832C4" w:rsidRPr="005D4BB5" w:rsidRDefault="00000000">
      <w:pPr>
        <w:numPr>
          <w:ilvl w:val="0"/>
          <w:numId w:val="1"/>
        </w:numPr>
        <w:ind w:right="0" w:hanging="460"/>
        <w:rPr>
          <w:lang w:val="da-DK"/>
        </w:rPr>
      </w:pPr>
      <w:r w:rsidRPr="005D4BB5">
        <w:rPr>
          <w:lang w:val="da-DK"/>
        </w:rPr>
        <w:t xml:space="preserve">For </w:t>
      </w:r>
      <w:proofErr w:type="spellStart"/>
      <w:r w:rsidRPr="005D4BB5">
        <w:rPr>
          <w:lang w:val="da-DK"/>
        </w:rPr>
        <w:t>example</w:t>
      </w:r>
      <w:proofErr w:type="spellEnd"/>
      <w:r w:rsidRPr="005D4BB5">
        <w:rPr>
          <w:lang w:val="da-DK"/>
        </w:rPr>
        <w:t>, ‘Hvad er dine rettigheder’, Datatilsynet, https://www. datatilsynet.dk/borger/hvad-er-dine-rettigheder (</w:t>
      </w:r>
      <w:proofErr w:type="spellStart"/>
      <w:r w:rsidRPr="005D4BB5">
        <w:rPr>
          <w:lang w:val="da-DK"/>
        </w:rPr>
        <w:t>accessed</w:t>
      </w:r>
      <w:proofErr w:type="spellEnd"/>
      <w:r w:rsidRPr="005D4BB5">
        <w:rPr>
          <w:lang w:val="da-DK"/>
        </w:rPr>
        <w:t xml:space="preserve"> 25 August 2023) and ‘For the Public’, Information </w:t>
      </w:r>
      <w:proofErr w:type="spellStart"/>
      <w:r w:rsidRPr="005D4BB5">
        <w:rPr>
          <w:lang w:val="da-DK"/>
        </w:rPr>
        <w:t>Commissioner’s</w:t>
      </w:r>
      <w:proofErr w:type="spellEnd"/>
      <w:r w:rsidRPr="005D4BB5">
        <w:rPr>
          <w:lang w:val="da-DK"/>
        </w:rPr>
        <w:t xml:space="preserve"> Office, https://ico.org.uk/ for-the-public (</w:t>
      </w:r>
      <w:proofErr w:type="spellStart"/>
      <w:r w:rsidRPr="005D4BB5">
        <w:rPr>
          <w:lang w:val="da-DK"/>
        </w:rPr>
        <w:t>accessed</w:t>
      </w:r>
      <w:proofErr w:type="spellEnd"/>
      <w:r w:rsidRPr="005D4BB5">
        <w:rPr>
          <w:lang w:val="da-DK"/>
        </w:rPr>
        <w:t xml:space="preserve"> 25 August 2023). </w:t>
      </w:r>
    </w:p>
    <w:p w14:paraId="286368A4" w14:textId="77777777" w:rsidR="007832C4" w:rsidRDefault="00000000">
      <w:pPr>
        <w:numPr>
          <w:ilvl w:val="0"/>
          <w:numId w:val="1"/>
        </w:numPr>
        <w:ind w:right="0" w:hanging="460"/>
      </w:pPr>
      <w:r>
        <w:t>J. Ausloos and P. Dewitte, ‘Shattering One-Way Mirrors: Data Subject Access Rights in Practice’, 20 January 2018, https://papers.ssrn.com/ abstract=3106632 (accessed 25 August 2023).</w:t>
      </w:r>
    </w:p>
    <w:p w14:paraId="08B21FB1" w14:textId="77777777" w:rsidR="007832C4" w:rsidRDefault="00000000">
      <w:pPr>
        <w:numPr>
          <w:ilvl w:val="0"/>
          <w:numId w:val="1"/>
        </w:numPr>
        <w:ind w:right="0" w:hanging="460"/>
      </w:pPr>
      <w:r>
        <w:t xml:space="preserve">R. Mahieu, H. Asghari, and M. van Eeten, ‘Collectively Exercising the Right of Access: Individual Effort, Societal Effect’, 13 July 2018, https://papers. ssrn.com/abstract=3216615 (accessed 25 August 2023). </w:t>
      </w:r>
    </w:p>
    <w:p w14:paraId="3476810C" w14:textId="77777777" w:rsidR="007832C4" w:rsidRDefault="00000000">
      <w:pPr>
        <w:numPr>
          <w:ilvl w:val="0"/>
          <w:numId w:val="1"/>
        </w:numPr>
        <w:ind w:right="0" w:hanging="460"/>
      </w:pPr>
      <w:r>
        <w:t xml:space="preserve">Clive Norris, Paul de Hert, and Xavier </w:t>
      </w:r>
      <w:proofErr w:type="spellStart"/>
      <w:r>
        <w:t>L’Hoiry</w:t>
      </w:r>
      <w:proofErr w:type="spellEnd"/>
      <w:r>
        <w:t xml:space="preserve">, and Antonella Galetta (eds.), </w:t>
      </w:r>
      <w:r>
        <w:rPr>
          <w:i/>
        </w:rPr>
        <w:t>The Unaccountable State of Surveillance: Exercising Access Rights in Europe</w:t>
      </w:r>
      <w:r>
        <w:t xml:space="preserve">, vol. 34 (Springer International Publishing, 2017). </w:t>
      </w:r>
    </w:p>
    <w:p w14:paraId="41418898" w14:textId="77777777" w:rsidR="007832C4" w:rsidRDefault="00000000">
      <w:pPr>
        <w:numPr>
          <w:ilvl w:val="0"/>
          <w:numId w:val="1"/>
        </w:numPr>
        <w:ind w:right="0" w:hanging="460"/>
      </w:pPr>
      <w:r>
        <w:t>For a historical perspective, see M. F. Jensen, ‘</w:t>
      </w:r>
      <w:proofErr w:type="spellStart"/>
      <w:r>
        <w:t>Statebuilding</w:t>
      </w:r>
      <w:proofErr w:type="spellEnd"/>
      <w:r>
        <w:t xml:space="preserve">, Establishing Rule of Law and Fighting Corruption in Denmark, 1660–1900’, in </w:t>
      </w:r>
      <w:r>
        <w:rPr>
          <w:i/>
        </w:rPr>
        <w:t>Anticorruption in History: From Antiquity to the Modern Era</w:t>
      </w:r>
      <w:r>
        <w:t xml:space="preserve">, ed. Ronald Kroeze, André Vitória and Guy Geltner, 197–210 (Oxford University Press 2017). For a quantitative ranking, see World Justice Project, </w:t>
      </w:r>
      <w:r>
        <w:rPr>
          <w:i/>
        </w:rPr>
        <w:t>Rule of Law Index 2022</w:t>
      </w:r>
      <w:r>
        <w:t xml:space="preserve"> (World Justice Project, 2022), https://worldjusticeproject.org/sites/default/ files/documents/WJPIndex2022.pdf (accessed 1 December 2024).</w:t>
      </w:r>
    </w:p>
    <w:p w14:paraId="0A2203E4" w14:textId="77777777" w:rsidR="007832C4" w:rsidRDefault="00000000">
      <w:pPr>
        <w:numPr>
          <w:ilvl w:val="0"/>
          <w:numId w:val="1"/>
        </w:numPr>
        <w:ind w:right="0" w:hanging="460"/>
      </w:pPr>
      <w:r>
        <w:t xml:space="preserve">European Foundation for the Improvement of Living and Working Conditions, </w:t>
      </w:r>
      <w:r>
        <w:rPr>
          <w:i/>
        </w:rPr>
        <w:t>Societal Change and Trust in Institutions</w:t>
      </w:r>
      <w:r>
        <w:t xml:space="preserve"> (</w:t>
      </w:r>
      <w:proofErr w:type="spellStart"/>
      <w:r>
        <w:t>Eurofound</w:t>
      </w:r>
      <w:proofErr w:type="spellEnd"/>
      <w:r>
        <w:t xml:space="preserve">, 2018). </w:t>
      </w:r>
    </w:p>
    <w:p w14:paraId="55FBFF0B" w14:textId="77777777" w:rsidR="007832C4" w:rsidRDefault="00000000">
      <w:pPr>
        <w:numPr>
          <w:ilvl w:val="0"/>
          <w:numId w:val="1"/>
        </w:numPr>
        <w:ind w:right="0" w:hanging="460"/>
      </w:pPr>
      <w:proofErr w:type="spellStart"/>
      <w:r>
        <w:t>boyd</w:t>
      </w:r>
      <w:proofErr w:type="spellEnd"/>
      <w:r>
        <w:t xml:space="preserve"> and Crawford, ‘Critical Questions for Big Data’. </w:t>
      </w:r>
    </w:p>
    <w:p w14:paraId="3F743232" w14:textId="77777777" w:rsidR="007832C4" w:rsidRDefault="00000000">
      <w:pPr>
        <w:numPr>
          <w:ilvl w:val="0"/>
          <w:numId w:val="1"/>
        </w:numPr>
        <w:ind w:right="0" w:hanging="460"/>
      </w:pPr>
      <w:r>
        <w:t xml:space="preserve">Jose van Dijck, ‘Datafication, </w:t>
      </w:r>
      <w:proofErr w:type="spellStart"/>
      <w:r>
        <w:t>Dataism</w:t>
      </w:r>
      <w:proofErr w:type="spellEnd"/>
      <w:r>
        <w:t xml:space="preserve"> and Dataveillance: Big Data between Scientific Paradigm and Ideology’, </w:t>
      </w:r>
      <w:r>
        <w:rPr>
          <w:i/>
        </w:rPr>
        <w:t>Surveillance and Society</w:t>
      </w:r>
      <w:r>
        <w:t xml:space="preserve"> 197, no. 12 (2014): 197–208. </w:t>
      </w:r>
    </w:p>
    <w:p w14:paraId="67B682E6" w14:textId="77777777" w:rsidR="007832C4" w:rsidRDefault="00000000">
      <w:pPr>
        <w:numPr>
          <w:ilvl w:val="0"/>
          <w:numId w:val="1"/>
        </w:numPr>
        <w:ind w:right="0" w:hanging="460"/>
      </w:pPr>
      <w:r>
        <w:t xml:space="preserve">For example, Leanne Bowler, Amelia Acker, Wei Jeng, and Yu Chi, ‘“It Lives All around Us”: Aspects of Data Literacy in Teen’s Lives’, </w:t>
      </w:r>
      <w:r>
        <w:rPr>
          <w:i/>
        </w:rPr>
        <w:t>Proceedings of the Association for Information Science and Technology</w:t>
      </w:r>
      <w:r>
        <w:t xml:space="preserve"> 54, no. 1 (2017): 27–35 and R. W. Erwin, ‘Data Literacy: Real-World Learning through </w:t>
      </w:r>
      <w:proofErr w:type="spellStart"/>
      <w:r>
        <w:t>Problemsolving</w:t>
      </w:r>
      <w:proofErr w:type="spellEnd"/>
      <w:r>
        <w:t xml:space="preserve"> with Data Sets’, </w:t>
      </w:r>
      <w:r>
        <w:rPr>
          <w:i/>
        </w:rPr>
        <w:t>American Secondary Education</w:t>
      </w:r>
      <w:r>
        <w:t xml:space="preserve"> 18, no. 43 (2015): 18–26.</w:t>
      </w:r>
    </w:p>
    <w:p w14:paraId="5FC8B07B" w14:textId="77777777" w:rsidR="007832C4" w:rsidRDefault="00000000">
      <w:pPr>
        <w:numPr>
          <w:ilvl w:val="0"/>
          <w:numId w:val="1"/>
        </w:numPr>
        <w:ind w:right="0" w:hanging="460"/>
      </w:pPr>
      <w:r>
        <w:t xml:space="preserve">K. D. Haggerty and R. V. Ericson, ‘The Surveillant Assemblage’, in </w:t>
      </w:r>
      <w:r>
        <w:rPr>
          <w:i/>
        </w:rPr>
        <w:t>Surveillance, Crime and Social Control</w:t>
      </w:r>
      <w:r>
        <w:t>, ed. Clive Norris and Dean Wilson, 61–78 (Routledge, 2006).</w:t>
      </w:r>
    </w:p>
    <w:p w14:paraId="31275359" w14:textId="77777777" w:rsidR="007832C4" w:rsidRDefault="00000000">
      <w:pPr>
        <w:numPr>
          <w:ilvl w:val="0"/>
          <w:numId w:val="1"/>
        </w:numPr>
        <w:spacing w:after="9"/>
        <w:ind w:right="0" w:hanging="460"/>
      </w:pPr>
      <w:r>
        <w:t xml:space="preserve">S. Jasanoff and S. H. Kim, </w:t>
      </w:r>
      <w:r>
        <w:rPr>
          <w:i/>
        </w:rPr>
        <w:t>Dreamscapes of Modernity: Sociotechnical Imaginaries and the Fabrication of Power</w:t>
      </w:r>
      <w:r>
        <w:t xml:space="preserve"> (University of Chicago Press, 2015). </w:t>
      </w:r>
    </w:p>
    <w:p w14:paraId="4CB5500D" w14:textId="77777777" w:rsidR="007832C4" w:rsidRDefault="00000000">
      <w:pPr>
        <w:numPr>
          <w:ilvl w:val="0"/>
          <w:numId w:val="1"/>
        </w:numPr>
        <w:ind w:right="0" w:hanging="460"/>
      </w:pPr>
      <w:proofErr w:type="spellStart"/>
      <w:r>
        <w:lastRenderedPageBreak/>
        <w:t>boyd</w:t>
      </w:r>
      <w:proofErr w:type="spellEnd"/>
      <w:r>
        <w:t xml:space="preserve"> and Crawford, ‘Critical Questions for Big Data’. </w:t>
      </w:r>
    </w:p>
    <w:p w14:paraId="62CCF0F1" w14:textId="77777777" w:rsidR="007832C4" w:rsidRDefault="00000000">
      <w:pPr>
        <w:numPr>
          <w:ilvl w:val="0"/>
          <w:numId w:val="1"/>
        </w:numPr>
        <w:ind w:right="0" w:hanging="460"/>
      </w:pPr>
      <w:r>
        <w:t xml:space="preserve">Case C-154/21 </w:t>
      </w:r>
      <w:r>
        <w:rPr>
          <w:i/>
        </w:rPr>
        <w:t xml:space="preserve">RW v </w:t>
      </w:r>
      <w:proofErr w:type="spellStart"/>
      <w:r>
        <w:rPr>
          <w:i/>
        </w:rPr>
        <w:t>Österreichische</w:t>
      </w:r>
      <w:proofErr w:type="spellEnd"/>
      <w:r>
        <w:rPr>
          <w:i/>
        </w:rPr>
        <w:t xml:space="preserve"> Post AG </w:t>
      </w:r>
      <w:r>
        <w:t>[2023] ECR I-1.</w:t>
      </w:r>
    </w:p>
    <w:p w14:paraId="6B442ECE" w14:textId="77777777" w:rsidR="007832C4" w:rsidRDefault="00000000">
      <w:pPr>
        <w:numPr>
          <w:ilvl w:val="0"/>
          <w:numId w:val="1"/>
        </w:numPr>
        <w:ind w:right="0" w:hanging="460"/>
      </w:pPr>
      <w:r>
        <w:t xml:space="preserve">S. Flensburg and S. Lomborg, ‘Datafication Research: Mapping the Field for a Future Agenda’, </w:t>
      </w:r>
      <w:r>
        <w:rPr>
          <w:i/>
        </w:rPr>
        <w:t>New Media and Society</w:t>
      </w:r>
      <w:r>
        <w:t xml:space="preserve"> 25, no. 6 (2021), DOI: https://doi. org/10.1177/14614448211046616.</w:t>
      </w:r>
    </w:p>
    <w:p w14:paraId="31C48C33" w14:textId="77777777" w:rsidR="007832C4" w:rsidRDefault="00000000">
      <w:pPr>
        <w:numPr>
          <w:ilvl w:val="0"/>
          <w:numId w:val="1"/>
        </w:numPr>
        <w:spacing w:after="9"/>
        <w:ind w:right="0" w:hanging="460"/>
      </w:pPr>
      <w:r>
        <w:t xml:space="preserve">G. C. Bowker and S. L. Star, </w:t>
      </w:r>
      <w:r>
        <w:rPr>
          <w:i/>
        </w:rPr>
        <w:t>Sorting Things Out: Classification and Its Consequences</w:t>
      </w:r>
      <w:r>
        <w:t xml:space="preserve"> (MIT Press, 1999). </w:t>
      </w:r>
    </w:p>
    <w:p w14:paraId="5C4341A3" w14:textId="77777777" w:rsidR="007832C4" w:rsidRDefault="00000000">
      <w:pPr>
        <w:numPr>
          <w:ilvl w:val="0"/>
          <w:numId w:val="1"/>
        </w:numPr>
        <w:ind w:right="0" w:hanging="460"/>
      </w:pPr>
      <w:r>
        <w:t xml:space="preserve">Jean-Christophe Plantin, Carl Lagoze, Paul N. Edwards, and Christian Sandvig, ‘Infrastructure Studies Meet Platform Studies in the Age of Google and Facebook’, </w:t>
      </w:r>
      <w:r>
        <w:rPr>
          <w:i/>
        </w:rPr>
        <w:t>New Media and Society</w:t>
      </w:r>
      <w:r>
        <w:t xml:space="preserve"> 293, no. 20 (2018), DOI: https://doi. org/10.1177/1461444816661553. </w:t>
      </w:r>
    </w:p>
    <w:p w14:paraId="1B3A0480" w14:textId="77777777" w:rsidR="007832C4" w:rsidRDefault="00000000">
      <w:pPr>
        <w:numPr>
          <w:ilvl w:val="0"/>
          <w:numId w:val="1"/>
        </w:numPr>
        <w:ind w:right="0" w:hanging="460"/>
      </w:pPr>
      <w:r>
        <w:t xml:space="preserve">J. C. Plantin, ‘Data Cleaners for Pristine Datasets: Visibility and Invisibility of Data Processors in Social Science’, </w:t>
      </w:r>
      <w:r>
        <w:rPr>
          <w:i/>
        </w:rPr>
        <w:t>Science, Technology, and Human Values</w:t>
      </w:r>
      <w:r>
        <w:t xml:space="preserve"> 44, no. 1 (2019): 52–73.</w:t>
      </w:r>
    </w:p>
    <w:p w14:paraId="1BCB66C3" w14:textId="77777777" w:rsidR="007832C4" w:rsidRDefault="00000000">
      <w:pPr>
        <w:numPr>
          <w:ilvl w:val="0"/>
          <w:numId w:val="1"/>
        </w:numPr>
        <w:ind w:right="0" w:hanging="460"/>
      </w:pPr>
      <w:r>
        <w:t xml:space="preserve">G. C. Bowker, </w:t>
      </w:r>
      <w:r>
        <w:rPr>
          <w:i/>
        </w:rPr>
        <w:t>Memory Practices in the Sciences</w:t>
      </w:r>
      <w:r>
        <w:t xml:space="preserve"> (paperback edition) (MIT Press, 2008); L. Gitelman, </w:t>
      </w:r>
      <w:r>
        <w:rPr>
          <w:i/>
        </w:rPr>
        <w:t>Raw Data Is an Oxymoron</w:t>
      </w:r>
      <w:r>
        <w:t xml:space="preserve"> (MIT Press, 2013).</w:t>
      </w:r>
    </w:p>
    <w:p w14:paraId="65320C85" w14:textId="77777777" w:rsidR="007832C4" w:rsidRDefault="00000000">
      <w:pPr>
        <w:numPr>
          <w:ilvl w:val="0"/>
          <w:numId w:val="1"/>
        </w:numPr>
        <w:ind w:right="0" w:hanging="460"/>
      </w:pPr>
      <w:r>
        <w:t xml:space="preserve">Bowker and Star, </w:t>
      </w:r>
      <w:r>
        <w:rPr>
          <w:i/>
        </w:rPr>
        <w:t>Sorting Things Out.</w:t>
      </w:r>
      <w:r>
        <w:t xml:space="preserve"> </w:t>
      </w:r>
    </w:p>
    <w:p w14:paraId="4C1747AC" w14:textId="77777777" w:rsidR="007832C4" w:rsidRDefault="00000000">
      <w:pPr>
        <w:numPr>
          <w:ilvl w:val="0"/>
          <w:numId w:val="1"/>
        </w:numPr>
        <w:ind w:right="0" w:hanging="460"/>
      </w:pPr>
      <w:r>
        <w:t xml:space="preserve">VADER and </w:t>
      </w:r>
      <w:proofErr w:type="spellStart"/>
      <w:r>
        <w:t>TextBlob</w:t>
      </w:r>
      <w:proofErr w:type="spellEnd"/>
      <w:r>
        <w:t xml:space="preserve"> are two popular natural language processing libraries that include functions which calculate the sentiment of a text string. These libraries are trained on different data and use different ways to calculate sentiment, so the output when applied to the same text is almost always different.</w:t>
      </w:r>
    </w:p>
    <w:p w14:paraId="342566E7" w14:textId="77777777" w:rsidR="007832C4" w:rsidRDefault="00000000">
      <w:pPr>
        <w:numPr>
          <w:ilvl w:val="0"/>
          <w:numId w:val="1"/>
        </w:numPr>
        <w:ind w:right="0" w:hanging="460"/>
      </w:pPr>
      <w:r>
        <w:t xml:space="preserve">EfficientNetV2 and </w:t>
      </w:r>
      <w:proofErr w:type="spellStart"/>
      <w:r>
        <w:t>ResNeXt</w:t>
      </w:r>
      <w:proofErr w:type="spellEnd"/>
      <w:r>
        <w:t xml:space="preserve"> are two popular pre-trained image classification models. When given an image as an input, it provides a list of different words that the model believes describe the content of the image and confidence scores that represent how strongly the model thinks that description matches with the image.</w:t>
      </w:r>
    </w:p>
    <w:p w14:paraId="19E98875" w14:textId="77777777" w:rsidR="007832C4" w:rsidRDefault="00000000">
      <w:pPr>
        <w:numPr>
          <w:ilvl w:val="0"/>
          <w:numId w:val="1"/>
        </w:numPr>
        <w:ind w:right="0" w:hanging="460"/>
      </w:pPr>
      <w:r>
        <w:t xml:space="preserve">K. van Es, M. Wieringa, and M. T. Schäfer, ‘Tool Criticism: From Digital Methods to Digital Methodology’, </w:t>
      </w:r>
      <w:r>
        <w:rPr>
          <w:i/>
        </w:rPr>
        <w:t>WS.2 2018: Proceedings of the 2nd International Conference on Web Studies</w:t>
      </w:r>
      <w:r>
        <w:t xml:space="preserve"> (2018), DOI: http://dl.acm.org/ </w:t>
      </w:r>
      <w:proofErr w:type="spellStart"/>
      <w:r>
        <w:t>citation.cfm?doid</w:t>
      </w:r>
      <w:proofErr w:type="spellEnd"/>
      <w:r>
        <w:t xml:space="preserve">=3240431.3240436. </w:t>
      </w:r>
    </w:p>
    <w:p w14:paraId="2F24B07E" w14:textId="77777777" w:rsidR="007832C4" w:rsidRDefault="00000000">
      <w:pPr>
        <w:numPr>
          <w:ilvl w:val="0"/>
          <w:numId w:val="1"/>
        </w:numPr>
        <w:ind w:right="0" w:hanging="460"/>
      </w:pPr>
      <w:r>
        <w:t xml:space="preserve">Abeba Birhane, Pratyusha Kalluri, Dallas Card, William Agnew, Ravit Dotan, and Michelle Bao, ‘The Values Encoded in Machine Learning Research’, </w:t>
      </w:r>
      <w:proofErr w:type="spellStart"/>
      <w:r>
        <w:rPr>
          <w:i/>
        </w:rPr>
        <w:t>FAccT</w:t>
      </w:r>
      <w:proofErr w:type="spellEnd"/>
      <w:r>
        <w:rPr>
          <w:i/>
        </w:rPr>
        <w:t xml:space="preserve"> ’22: Proceedings of the 2022 ACM Conference on Fairness, Accountability, and Transparency </w:t>
      </w:r>
      <w:r>
        <w:t xml:space="preserve">(2022), DOI: https://dl.acm.org/ </w:t>
      </w:r>
      <w:proofErr w:type="spellStart"/>
      <w:r>
        <w:t>doi</w:t>
      </w:r>
      <w:proofErr w:type="spellEnd"/>
      <w:r>
        <w:t xml:space="preserve">/10.1145/3531146.3533083. </w:t>
      </w:r>
    </w:p>
    <w:p w14:paraId="2D93B042" w14:textId="77777777" w:rsidR="007832C4" w:rsidRDefault="00000000">
      <w:pPr>
        <w:numPr>
          <w:ilvl w:val="0"/>
          <w:numId w:val="1"/>
        </w:numPr>
        <w:ind w:right="0" w:hanging="460"/>
      </w:pPr>
      <w:r>
        <w:t xml:space="preserve">M. Hildebrandt, ‘Privacy as Protection of the Incomputable Self: From Agnostic to Agonistic Machine Learning’, </w:t>
      </w:r>
      <w:r>
        <w:rPr>
          <w:i/>
        </w:rPr>
        <w:t>Theoretical Inquiries in Law</w:t>
      </w:r>
      <w:r>
        <w:t xml:space="preserve"> 83, no. 20 (2019): 83–121. </w:t>
      </w:r>
    </w:p>
    <w:p w14:paraId="15DDAFB1" w14:textId="77777777" w:rsidR="007832C4" w:rsidRDefault="00000000">
      <w:pPr>
        <w:numPr>
          <w:ilvl w:val="0"/>
          <w:numId w:val="1"/>
        </w:numPr>
        <w:ind w:right="0" w:hanging="460"/>
      </w:pPr>
      <w:r>
        <w:lastRenderedPageBreak/>
        <w:t xml:space="preserve">H. Korsgaard, C. N. Klokmose, and S. Bødker, ‘Computational Alternatives in Participatory Design: Putting the t Back in Socio-Technical Research’, </w:t>
      </w:r>
      <w:r>
        <w:rPr>
          <w:i/>
        </w:rPr>
        <w:t>PDC ’16: Proceedings of the 14th Participatory Design Conference</w:t>
      </w:r>
      <w:r>
        <w:t xml:space="preserve"> (2016), DOI: http://dl.acm.org/citation.cfm?doid=2940299.2940314.</w:t>
      </w:r>
    </w:p>
    <w:p w14:paraId="74A9D95D" w14:textId="77777777" w:rsidR="007832C4" w:rsidRDefault="00000000">
      <w:pPr>
        <w:numPr>
          <w:ilvl w:val="0"/>
          <w:numId w:val="1"/>
        </w:numPr>
        <w:ind w:right="0" w:hanging="460"/>
      </w:pPr>
      <w:r>
        <w:t xml:space="preserve">Joint Research Centre (European Commission), </w:t>
      </w:r>
      <w:r>
        <w:rPr>
          <w:i/>
        </w:rPr>
        <w:t>The EU Digital Markets Act: A Report from a Panel of Economic Experts</w:t>
      </w:r>
      <w:r>
        <w:t xml:space="preserve"> (Publications Office of the European Union, 2021), DOI: https://data.europa.eu/doi/10.2760/139337. </w:t>
      </w:r>
    </w:p>
    <w:p w14:paraId="3304AA3D" w14:textId="77777777" w:rsidR="007832C4" w:rsidRDefault="00000000">
      <w:pPr>
        <w:numPr>
          <w:ilvl w:val="0"/>
          <w:numId w:val="1"/>
        </w:numPr>
        <w:ind w:right="0" w:hanging="460"/>
      </w:pPr>
      <w:r>
        <w:t xml:space="preserve">L. Pangrazio and J. Sefton-Green, ‘The Social Utility of “Data Literacy”’, </w:t>
      </w:r>
      <w:r>
        <w:rPr>
          <w:i/>
        </w:rPr>
        <w:t>Learning, Media and Technology</w:t>
      </w:r>
      <w:r>
        <w:t xml:space="preserve"> 208, no. 45 (2020): 208–220. </w:t>
      </w:r>
    </w:p>
    <w:p w14:paraId="5503BDC0" w14:textId="77777777" w:rsidR="007832C4" w:rsidRDefault="00000000">
      <w:pPr>
        <w:numPr>
          <w:ilvl w:val="0"/>
          <w:numId w:val="1"/>
        </w:numPr>
        <w:ind w:right="0" w:hanging="460"/>
      </w:pPr>
      <w:r>
        <w:t xml:space="preserve">Jansen F, ‘Critical Is Not Political: The Need to (Re)Politicize Data Literacy’, </w:t>
      </w:r>
      <w:r>
        <w:rPr>
          <w:i/>
        </w:rPr>
        <w:t>Seminar.net</w:t>
      </w:r>
      <w:r>
        <w:t xml:space="preserve"> 17, no. 2 (2021), https://journals.oslomet.no/index.php/ seminar/article/view/4280 (accessed 25 August 2023). </w:t>
      </w:r>
    </w:p>
    <w:p w14:paraId="0B93558E" w14:textId="77777777" w:rsidR="007832C4" w:rsidRDefault="00000000">
      <w:pPr>
        <w:numPr>
          <w:ilvl w:val="0"/>
          <w:numId w:val="1"/>
        </w:numPr>
        <w:spacing w:after="0" w:line="274" w:lineRule="auto"/>
        <w:ind w:right="0" w:hanging="460"/>
      </w:pPr>
      <w:r>
        <w:t xml:space="preserve">J. Elisa Raffaghelli, ‘Is Data Literacy a Catalyst of Social Justice? A Response from Nine Data Literacy Initiatives in Higher Education’, </w:t>
      </w:r>
      <w:r>
        <w:rPr>
          <w:i/>
        </w:rPr>
        <w:t>Education Sciences</w:t>
      </w:r>
      <w:r>
        <w:t xml:space="preserve"> 10, no. 9 (2020), DOI: https://doi.org/10.3390/educsci10090233. </w:t>
      </w:r>
    </w:p>
    <w:sectPr w:rsidR="007832C4">
      <w:headerReference w:type="even" r:id="rId7"/>
      <w:headerReference w:type="default" r:id="rId8"/>
      <w:footerReference w:type="even" r:id="rId9"/>
      <w:footerReference w:type="default" r:id="rId10"/>
      <w:headerReference w:type="first" r:id="rId11"/>
      <w:footerReference w:type="first" r:id="rId12"/>
      <w:pgSz w:w="9480" w:h="13800"/>
      <w:pgMar w:top="1834" w:right="1495" w:bottom="1372" w:left="1500" w:header="720" w:footer="720" w:gutter="0"/>
      <w:pgNumType w:start="73"/>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4D845" w14:textId="77777777" w:rsidR="00295DBA" w:rsidRDefault="00295DBA">
      <w:pPr>
        <w:spacing w:after="0" w:line="240" w:lineRule="auto"/>
      </w:pPr>
      <w:r>
        <w:separator/>
      </w:r>
    </w:p>
  </w:endnote>
  <w:endnote w:type="continuationSeparator" w:id="0">
    <w:p w14:paraId="0F50AB5A" w14:textId="77777777" w:rsidR="00295DBA" w:rsidRDefault="00295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697E1" w14:textId="77777777" w:rsidR="007832C4" w:rsidRDefault="00000000">
    <w:pPr>
      <w:spacing w:after="0" w:line="259" w:lineRule="auto"/>
      <w:ind w:left="-1500" w:right="7985"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CA6935B" wp14:editId="3D6FD5D0">
              <wp:simplePos x="0" y="0"/>
              <wp:positionH relativeFrom="page">
                <wp:posOffset>0</wp:posOffset>
              </wp:positionH>
              <wp:positionV relativeFrom="page">
                <wp:posOffset>8496300</wp:posOffset>
              </wp:positionV>
              <wp:extent cx="266700" cy="266700"/>
              <wp:effectExtent l="0" t="0" r="0" b="0"/>
              <wp:wrapSquare wrapText="bothSides"/>
              <wp:docPr id="25614" name="Group 2561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615" name="Shape 2561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16" name="Shape 25616"/>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14" style="width:21pt;height:21pt;position:absolute;mso-position-horizontal-relative:page;mso-position-horizontal:absolute;margin-left:0pt;mso-position-vertical-relative:page;margin-top:669pt;" coordsize="2667,2667">
              <v:shape id="Shape 25615" style="position:absolute;width:1905;height:0;left:0;top:0;" coordsize="190500,0" path="m190500,0l0,0">
                <v:stroke weight="0.25pt" endcap="flat" joinstyle="miter" miterlimit="10" on="true" color="#000000"/>
                <v:fill on="false" color="#000000" opacity="0"/>
              </v:shape>
              <v:shape id="Shape 25616"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066A588B" wp14:editId="38D38704">
              <wp:simplePos x="0" y="0"/>
              <wp:positionH relativeFrom="page">
                <wp:posOffset>5753100</wp:posOffset>
              </wp:positionH>
              <wp:positionV relativeFrom="page">
                <wp:posOffset>8496300</wp:posOffset>
              </wp:positionV>
              <wp:extent cx="266700" cy="266700"/>
              <wp:effectExtent l="0" t="0" r="0" b="0"/>
              <wp:wrapSquare wrapText="bothSides"/>
              <wp:docPr id="25617" name="Group 2561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618" name="Shape 25618"/>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19" name="Shape 25619"/>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17" style="width:21pt;height:21pt;position:absolute;mso-position-horizontal-relative:page;mso-position-horizontal:absolute;margin-left:453pt;mso-position-vertical-relative:page;margin-top:669pt;" coordsize="2667,2667">
              <v:shape id="Shape 25618" style="position:absolute;width:1905;height:0;left:762;top:0;" coordsize="190500,0" path="m0,0l190500,0">
                <v:stroke weight="0.25pt" endcap="flat" joinstyle="miter" miterlimit="10" on="true" color="#000000"/>
                <v:fill on="false" color="#000000" opacity="0"/>
              </v:shape>
              <v:shape id="Shape 25619"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7882A" w14:textId="77777777" w:rsidR="007832C4" w:rsidRDefault="00000000">
    <w:pPr>
      <w:spacing w:after="0" w:line="259" w:lineRule="auto"/>
      <w:ind w:left="-1500" w:right="7985"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25EF78F9" wp14:editId="6F00BE19">
              <wp:simplePos x="0" y="0"/>
              <wp:positionH relativeFrom="page">
                <wp:posOffset>0</wp:posOffset>
              </wp:positionH>
              <wp:positionV relativeFrom="page">
                <wp:posOffset>8496300</wp:posOffset>
              </wp:positionV>
              <wp:extent cx="266700" cy="266700"/>
              <wp:effectExtent l="0" t="0" r="0" b="0"/>
              <wp:wrapSquare wrapText="bothSides"/>
              <wp:docPr id="25590" name="Group 2559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591" name="Shape 25591"/>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592" name="Shape 25592"/>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90" style="width:21pt;height:21pt;position:absolute;mso-position-horizontal-relative:page;mso-position-horizontal:absolute;margin-left:0pt;mso-position-vertical-relative:page;margin-top:669pt;" coordsize="2667,2667">
              <v:shape id="Shape 25591" style="position:absolute;width:1905;height:0;left:0;top:0;" coordsize="190500,0" path="m190500,0l0,0">
                <v:stroke weight="0.25pt" endcap="flat" joinstyle="miter" miterlimit="10" on="true" color="#000000"/>
                <v:fill on="false" color="#000000" opacity="0"/>
              </v:shape>
              <v:shape id="Shape 25592"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0A89B687" wp14:editId="602C0CAB">
              <wp:simplePos x="0" y="0"/>
              <wp:positionH relativeFrom="page">
                <wp:posOffset>5753100</wp:posOffset>
              </wp:positionH>
              <wp:positionV relativeFrom="page">
                <wp:posOffset>8496300</wp:posOffset>
              </wp:positionV>
              <wp:extent cx="266700" cy="266700"/>
              <wp:effectExtent l="0" t="0" r="0" b="0"/>
              <wp:wrapSquare wrapText="bothSides"/>
              <wp:docPr id="25593" name="Group 2559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594" name="Shape 25594"/>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595" name="Shape 25595"/>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93" style="width:21pt;height:21pt;position:absolute;mso-position-horizontal-relative:page;mso-position-horizontal:absolute;margin-left:453pt;mso-position-vertical-relative:page;margin-top:669pt;" coordsize="2667,2667">
              <v:shape id="Shape 25594" style="position:absolute;width:1905;height:0;left:762;top:0;" coordsize="190500,0" path="m0,0l190500,0">
                <v:stroke weight="0.25pt" endcap="flat" joinstyle="miter" miterlimit="10" on="true" color="#000000"/>
                <v:fill on="false" color="#000000" opacity="0"/>
              </v:shape>
              <v:shape id="Shape 25595"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31B14" w14:textId="77777777" w:rsidR="007832C4" w:rsidRDefault="00000000">
    <w:pPr>
      <w:spacing w:after="0" w:line="259" w:lineRule="auto"/>
      <w:ind w:left="-1500" w:right="7985"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1787BDF3" wp14:editId="4D8ED18B">
              <wp:simplePos x="0" y="0"/>
              <wp:positionH relativeFrom="page">
                <wp:posOffset>0</wp:posOffset>
              </wp:positionH>
              <wp:positionV relativeFrom="page">
                <wp:posOffset>8496300</wp:posOffset>
              </wp:positionV>
              <wp:extent cx="266700" cy="266700"/>
              <wp:effectExtent l="0" t="0" r="0" b="0"/>
              <wp:wrapSquare wrapText="bothSides"/>
              <wp:docPr id="25566" name="Group 2556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567" name="Shape 2556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568" name="Shape 25568"/>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66" style="width:21pt;height:21pt;position:absolute;mso-position-horizontal-relative:page;mso-position-horizontal:absolute;margin-left:0pt;mso-position-vertical-relative:page;margin-top:669pt;" coordsize="2667,2667">
              <v:shape id="Shape 25567" style="position:absolute;width:1905;height:0;left:0;top:0;" coordsize="190500,0" path="m190500,0l0,0">
                <v:stroke weight="0.25pt" endcap="flat" joinstyle="miter" miterlimit="10" on="true" color="#000000"/>
                <v:fill on="false" color="#000000" opacity="0"/>
              </v:shape>
              <v:shape id="Shape 25568"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7B099929" wp14:editId="3A45A7AA">
              <wp:simplePos x="0" y="0"/>
              <wp:positionH relativeFrom="page">
                <wp:posOffset>5753100</wp:posOffset>
              </wp:positionH>
              <wp:positionV relativeFrom="page">
                <wp:posOffset>8496300</wp:posOffset>
              </wp:positionV>
              <wp:extent cx="266700" cy="266700"/>
              <wp:effectExtent l="0" t="0" r="0" b="0"/>
              <wp:wrapSquare wrapText="bothSides"/>
              <wp:docPr id="25569" name="Group 2556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570" name="Shape 25570"/>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571" name="Shape 25571"/>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69" style="width:21pt;height:21pt;position:absolute;mso-position-horizontal-relative:page;mso-position-horizontal:absolute;margin-left:453pt;mso-position-vertical-relative:page;margin-top:669pt;" coordsize="2667,2667">
              <v:shape id="Shape 25570" style="position:absolute;width:1905;height:0;left:762;top:0;" coordsize="190500,0" path="m0,0l190500,0">
                <v:stroke weight="0.25pt" endcap="flat" joinstyle="miter" miterlimit="10" on="true" color="#000000"/>
                <v:fill on="false" color="#000000" opacity="0"/>
              </v:shape>
              <v:shape id="Shape 25571"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3739E" w14:textId="77777777" w:rsidR="00295DBA" w:rsidRDefault="00295DBA">
      <w:pPr>
        <w:spacing w:after="0" w:line="240" w:lineRule="auto"/>
      </w:pPr>
      <w:r>
        <w:separator/>
      </w:r>
    </w:p>
  </w:footnote>
  <w:footnote w:type="continuationSeparator" w:id="0">
    <w:p w14:paraId="319E7037" w14:textId="77777777" w:rsidR="00295DBA" w:rsidRDefault="00295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E8BE8" w14:textId="752229AF" w:rsidR="007832C4" w:rsidRDefault="00000000">
    <w:pPr>
      <w:tabs>
        <w:tab w:val="right" w:pos="6485"/>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3DFEAD61" wp14:editId="6E4E3BC6">
              <wp:simplePos x="0" y="0"/>
              <wp:positionH relativeFrom="page">
                <wp:posOffset>0</wp:posOffset>
              </wp:positionH>
              <wp:positionV relativeFrom="page">
                <wp:posOffset>0</wp:posOffset>
              </wp:positionV>
              <wp:extent cx="266700" cy="266700"/>
              <wp:effectExtent l="0" t="0" r="0" b="0"/>
              <wp:wrapSquare wrapText="bothSides"/>
              <wp:docPr id="25604" name="Group 2560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605" name="Shape 2560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06" name="Shape 2560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04" style="width:21pt;height:21pt;position:absolute;mso-position-horizontal-relative:page;mso-position-horizontal:absolute;margin-left:0pt;mso-position-vertical-relative:page;margin-top:0pt;" coordsize="2667,2667">
              <v:shape id="Shape 25605" style="position:absolute;width:1905;height:0;left:0;top:2667;" coordsize="190500,0" path="m190500,0l0,0">
                <v:stroke weight="0.25pt" endcap="flat" joinstyle="miter" miterlimit="10" on="true" color="#000000"/>
                <v:fill on="false" color="#000000" opacity="0"/>
              </v:shape>
              <v:shape id="Shape 25606"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A581D74" wp14:editId="316ED504">
              <wp:simplePos x="0" y="0"/>
              <wp:positionH relativeFrom="page">
                <wp:posOffset>5753100</wp:posOffset>
              </wp:positionH>
              <wp:positionV relativeFrom="page">
                <wp:posOffset>0</wp:posOffset>
              </wp:positionV>
              <wp:extent cx="266700" cy="266700"/>
              <wp:effectExtent l="0" t="0" r="0" b="0"/>
              <wp:wrapSquare wrapText="bothSides"/>
              <wp:docPr id="25607" name="Group 2560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608" name="Shape 25608"/>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09" name="Shape 25609"/>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07" style="width:21pt;height:21pt;position:absolute;mso-position-horizontal-relative:page;mso-position-horizontal:absolute;margin-left:453pt;mso-position-vertical-relative:page;margin-top:0pt;" coordsize="2667,2667">
              <v:shape id="Shape 25608" style="position:absolute;width:1905;height:0;left:762;top:2667;" coordsize="190500,0" path="m0,0l190500,0">
                <v:stroke weight="0.25pt" endcap="flat" joinstyle="miter" miterlimit="10" on="true" color="#000000"/>
                <v:fill on="false" color="#000000" opacity="0"/>
              </v:shape>
              <v:shape id="Shape 25609"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19"/>
      </w:rPr>
      <w:t>74</w:t>
    </w:r>
    <w:r>
      <w:rPr>
        <w:rFonts w:ascii="Calibri" w:eastAsia="Calibri" w:hAnsi="Calibri" w:cs="Calibri"/>
        <w:sz w:val="19"/>
      </w:rPr>
      <w:fldChar w:fldCharType="end"/>
    </w:r>
    <w:r>
      <w:rPr>
        <w:rFonts w:ascii="Calibri" w:eastAsia="Calibri" w:hAnsi="Calibri" w:cs="Calibri"/>
        <w:sz w:val="19"/>
      </w:rPr>
      <w:tab/>
      <w:t>Midas Nouwens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89D3" w14:textId="77777777" w:rsidR="007832C4" w:rsidRDefault="00000000">
    <w:pPr>
      <w:tabs>
        <w:tab w:val="right" w:pos="6485"/>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3EEC72F" wp14:editId="7A5C098C">
              <wp:simplePos x="0" y="0"/>
              <wp:positionH relativeFrom="page">
                <wp:posOffset>0</wp:posOffset>
              </wp:positionH>
              <wp:positionV relativeFrom="page">
                <wp:posOffset>0</wp:posOffset>
              </wp:positionV>
              <wp:extent cx="266700" cy="266700"/>
              <wp:effectExtent l="0" t="0" r="0" b="0"/>
              <wp:wrapSquare wrapText="bothSides"/>
              <wp:docPr id="25580" name="Group 2558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581" name="Shape 25581"/>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582" name="Shape 25582"/>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80" style="width:21pt;height:21pt;position:absolute;mso-position-horizontal-relative:page;mso-position-horizontal:absolute;margin-left:0pt;mso-position-vertical-relative:page;margin-top:0pt;" coordsize="2667,2667">
              <v:shape id="Shape 25581" style="position:absolute;width:1905;height:0;left:0;top:2667;" coordsize="190500,0" path="m190500,0l0,0">
                <v:stroke weight="0.25pt" endcap="flat" joinstyle="miter" miterlimit="10" on="true" color="#000000"/>
                <v:fill on="false" color="#000000" opacity="0"/>
              </v:shape>
              <v:shape id="Shape 25582"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37E737E5" wp14:editId="3C582595">
              <wp:simplePos x="0" y="0"/>
              <wp:positionH relativeFrom="page">
                <wp:posOffset>5753100</wp:posOffset>
              </wp:positionH>
              <wp:positionV relativeFrom="page">
                <wp:posOffset>0</wp:posOffset>
              </wp:positionV>
              <wp:extent cx="266700" cy="266700"/>
              <wp:effectExtent l="0" t="0" r="0" b="0"/>
              <wp:wrapSquare wrapText="bothSides"/>
              <wp:docPr id="25583" name="Group 2558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584" name="Shape 25584"/>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585" name="Shape 25585"/>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83" style="width:21pt;height:21pt;position:absolute;mso-position-horizontal-relative:page;mso-position-horizontal:absolute;margin-left:453pt;mso-position-vertical-relative:page;margin-top:0pt;" coordsize="2667,2667">
              <v:shape id="Shape 25584" style="position:absolute;width:1905;height:0;left:762;top:2667;" coordsize="190500,0" path="m0,0l190500,0">
                <v:stroke weight="0.25pt" endcap="flat" joinstyle="miter" miterlimit="10" on="true" color="#000000"/>
                <v:fill on="false" color="#000000" opacity="0"/>
              </v:shape>
              <v:shape id="Shape 25585"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sz w:val="19"/>
      </w:rPr>
      <w:t>From Rights to Skills</w:t>
    </w:r>
    <w:r>
      <w:rPr>
        <w:rFonts w:ascii="Calibri" w:eastAsia="Calibri" w:hAnsi="Calibri" w:cs="Calibri"/>
        <w:sz w:val="19"/>
      </w:rPr>
      <w:tab/>
    </w:r>
    <w:r>
      <w:fldChar w:fldCharType="begin"/>
    </w:r>
    <w:r>
      <w:instrText xml:space="preserve"> PAGE   \* MERGEFORMAT </w:instrText>
    </w:r>
    <w:r>
      <w:fldChar w:fldCharType="separate"/>
    </w:r>
    <w:r>
      <w:rPr>
        <w:rFonts w:ascii="Calibri" w:eastAsia="Calibri" w:hAnsi="Calibri" w:cs="Calibri"/>
        <w:sz w:val="19"/>
      </w:rPr>
      <w:t>75</w:t>
    </w:r>
    <w:r>
      <w:rPr>
        <w:rFonts w:ascii="Calibri" w:eastAsia="Calibri" w:hAnsi="Calibri" w:cs="Calibri"/>
        <w:sz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AA8B4" w14:textId="77777777" w:rsidR="007832C4" w:rsidRDefault="00000000">
    <w:pPr>
      <w:spacing w:after="0" w:line="259" w:lineRule="auto"/>
      <w:ind w:left="-1500" w:right="7985"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14EEDBBC" wp14:editId="2A706615">
              <wp:simplePos x="0" y="0"/>
              <wp:positionH relativeFrom="page">
                <wp:posOffset>0</wp:posOffset>
              </wp:positionH>
              <wp:positionV relativeFrom="page">
                <wp:posOffset>0</wp:posOffset>
              </wp:positionV>
              <wp:extent cx="266700" cy="266700"/>
              <wp:effectExtent l="0" t="0" r="0" b="0"/>
              <wp:wrapSquare wrapText="bothSides"/>
              <wp:docPr id="25556" name="Group 2555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557" name="Shape 25557"/>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558" name="Shape 25558"/>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56" style="width:21pt;height:21pt;position:absolute;mso-position-horizontal-relative:page;mso-position-horizontal:absolute;margin-left:0pt;mso-position-vertical-relative:page;margin-top:0pt;" coordsize="2667,2667">
              <v:shape id="Shape 25557" style="position:absolute;width:1905;height:0;left:0;top:2667;" coordsize="190500,0" path="m190500,0l0,0">
                <v:stroke weight="0.25pt" endcap="flat" joinstyle="miter" miterlimit="10" on="true" color="#000000"/>
                <v:fill on="false" color="#000000" opacity="0"/>
              </v:shape>
              <v:shape id="Shape 25558"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3509029B" wp14:editId="35B5B905">
              <wp:simplePos x="0" y="0"/>
              <wp:positionH relativeFrom="page">
                <wp:posOffset>5753100</wp:posOffset>
              </wp:positionH>
              <wp:positionV relativeFrom="page">
                <wp:posOffset>0</wp:posOffset>
              </wp:positionV>
              <wp:extent cx="266700" cy="266700"/>
              <wp:effectExtent l="0" t="0" r="0" b="0"/>
              <wp:wrapSquare wrapText="bothSides"/>
              <wp:docPr id="25559" name="Group 2555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560" name="Shape 25560"/>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561" name="Shape 25561"/>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59" style="width:21pt;height:21pt;position:absolute;mso-position-horizontal-relative:page;mso-position-horizontal:absolute;margin-left:453pt;mso-position-vertical-relative:page;margin-top:0pt;" coordsize="2667,2667">
              <v:shape id="Shape 25560" style="position:absolute;width:1905;height:0;left:762;top:2667;" coordsize="190500,0" path="m0,0l190500,0">
                <v:stroke weight="0.25pt" endcap="flat" joinstyle="miter" miterlimit="10" on="true" color="#000000"/>
                <v:fill on="false" color="#000000" opacity="0"/>
              </v:shape>
              <v:shape id="Shape 25561"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F4A78"/>
    <w:multiLevelType w:val="hybridMultilevel"/>
    <w:tmpl w:val="61241842"/>
    <w:lvl w:ilvl="0" w:tplc="ECA63456">
      <w:start w:val="1"/>
      <w:numFmt w:val="decimal"/>
      <w:lvlText w:val="%1."/>
      <w:lvlJc w:val="left"/>
      <w:pPr>
        <w:ind w:left="545"/>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1" w:tplc="1458C662">
      <w:start w:val="1"/>
      <w:numFmt w:val="lowerLetter"/>
      <w:lvlText w:val="%2"/>
      <w:lvlJc w:val="left"/>
      <w:pPr>
        <w:ind w:left="1098"/>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2" w:tplc="3EC693EC">
      <w:start w:val="1"/>
      <w:numFmt w:val="lowerRoman"/>
      <w:lvlText w:val="%3"/>
      <w:lvlJc w:val="left"/>
      <w:pPr>
        <w:ind w:left="1818"/>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3" w:tplc="6324CBB2">
      <w:start w:val="1"/>
      <w:numFmt w:val="decimal"/>
      <w:lvlText w:val="%4"/>
      <w:lvlJc w:val="left"/>
      <w:pPr>
        <w:ind w:left="2538"/>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4" w:tplc="DF8EE5F8">
      <w:start w:val="1"/>
      <w:numFmt w:val="lowerLetter"/>
      <w:lvlText w:val="%5"/>
      <w:lvlJc w:val="left"/>
      <w:pPr>
        <w:ind w:left="3258"/>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5" w:tplc="FF761DE0">
      <w:start w:val="1"/>
      <w:numFmt w:val="lowerRoman"/>
      <w:lvlText w:val="%6"/>
      <w:lvlJc w:val="left"/>
      <w:pPr>
        <w:ind w:left="3978"/>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6" w:tplc="66F41E56">
      <w:start w:val="1"/>
      <w:numFmt w:val="decimal"/>
      <w:lvlText w:val="%7"/>
      <w:lvlJc w:val="left"/>
      <w:pPr>
        <w:ind w:left="4698"/>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7" w:tplc="4D8078BE">
      <w:start w:val="1"/>
      <w:numFmt w:val="lowerLetter"/>
      <w:lvlText w:val="%8"/>
      <w:lvlJc w:val="left"/>
      <w:pPr>
        <w:ind w:left="5418"/>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8" w:tplc="789EA324">
      <w:start w:val="1"/>
      <w:numFmt w:val="lowerRoman"/>
      <w:lvlText w:val="%9"/>
      <w:lvlJc w:val="left"/>
      <w:pPr>
        <w:ind w:left="6138"/>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abstractNum>
  <w:num w:numId="1" w16cid:durableId="1536428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2C4"/>
    <w:rsid w:val="00295DBA"/>
    <w:rsid w:val="002F72C6"/>
    <w:rsid w:val="00315452"/>
    <w:rsid w:val="003B0872"/>
    <w:rsid w:val="003E1557"/>
    <w:rsid w:val="003F68B5"/>
    <w:rsid w:val="0053467D"/>
    <w:rsid w:val="005D4BB5"/>
    <w:rsid w:val="007832C4"/>
    <w:rsid w:val="00D82732"/>
    <w:rsid w:val="00DA7590"/>
    <w:rsid w:val="00E1767E"/>
    <w:rsid w:val="00E61A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EF83E45"/>
  <w15:docId w15:val="{12FA1D60-608C-EA4E-82C6-FCD14464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370" w:right="5" w:hanging="370"/>
      <w:jc w:val="both"/>
    </w:pPr>
    <w:rPr>
      <w:rFonts w:ascii="Garamond" w:eastAsia="Garamond" w:hAnsi="Garamond" w:cs="Garamond"/>
      <w:color w:val="1A1919"/>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A1919"/>
      <w:sz w:val="3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i/>
      <w:color w:val="1A1919"/>
      <w:sz w:val="27"/>
    </w:rPr>
  </w:style>
  <w:style w:type="paragraph" w:styleId="Heading3">
    <w:name w:val="heading 3"/>
    <w:next w:val="Normal"/>
    <w:link w:val="Heading3Char"/>
    <w:uiPriority w:val="9"/>
    <w:unhideWhenUsed/>
    <w:qFormat/>
    <w:pPr>
      <w:keepNext/>
      <w:keepLines/>
      <w:spacing w:after="34" w:line="259" w:lineRule="auto"/>
      <w:ind w:left="10" w:hanging="10"/>
      <w:outlineLvl w:val="2"/>
    </w:pPr>
    <w:rPr>
      <w:rFonts w:ascii="Calibri" w:eastAsia="Calibri" w:hAnsi="Calibri" w:cs="Calibri"/>
      <w:color w:val="1A19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1A1919"/>
      <w:sz w:val="24"/>
    </w:rPr>
  </w:style>
  <w:style w:type="character" w:customStyle="1" w:styleId="Heading2Char">
    <w:name w:val="Heading 2 Char"/>
    <w:link w:val="Heading2"/>
    <w:rPr>
      <w:rFonts w:ascii="Calibri" w:eastAsia="Calibri" w:hAnsi="Calibri" w:cs="Calibri"/>
      <w:i/>
      <w:color w:val="1A1919"/>
      <w:sz w:val="27"/>
    </w:rPr>
  </w:style>
  <w:style w:type="character" w:customStyle="1" w:styleId="Heading1Char">
    <w:name w:val="Heading 1 Char"/>
    <w:link w:val="Heading1"/>
    <w:rPr>
      <w:rFonts w:ascii="Calibri" w:eastAsia="Calibri" w:hAnsi="Calibri" w:cs="Calibri"/>
      <w:b/>
      <w:color w:val="1A1919"/>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11159</Words>
  <Characters>63609</Characters>
  <Application>Microsoft Office Word</Application>
  <DocSecurity>0</DocSecurity>
  <Lines>530</Lines>
  <Paragraphs>149</Paragraphs>
  <ScaleCrop>false</ScaleCrop>
  <Company/>
  <LinksUpToDate>false</LinksUpToDate>
  <CharactersWithSpaces>74619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Midas Nouwens</cp:lastModifiedBy>
  <cp:revision>3</cp:revision>
  <dcterms:created xsi:type="dcterms:W3CDTF">2025-12-02T16:32:00Z</dcterms:created>
  <dcterms:modified xsi:type="dcterms:W3CDTF">2025-12-02T16:34:00Z</dcterms:modified>
</cp:coreProperties>
</file>