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CCA54" w14:textId="6A4E1CE0" w:rsidR="008D0C88" w:rsidRDefault="008D0C88">
      <w:pPr>
        <w:spacing w:after="0" w:line="259" w:lineRule="auto"/>
        <w:ind w:left="0" w:right="4" w:firstLine="0"/>
        <w:jc w:val="center"/>
      </w:pPr>
    </w:p>
    <w:p w14:paraId="06BAE88A" w14:textId="77777777" w:rsidR="008D0C88" w:rsidRDefault="00000000">
      <w:pPr>
        <w:spacing w:after="613" w:line="216" w:lineRule="auto"/>
        <w:ind w:left="13" w:right="0" w:firstLine="0"/>
        <w:jc w:val="center"/>
      </w:pPr>
      <w:r>
        <w:rPr>
          <w:rFonts w:ascii="Times New Roman" w:eastAsia="Times New Roman" w:hAnsi="Times New Roman" w:cs="Times New Roman"/>
          <w:b/>
          <w:sz w:val="34"/>
        </w:rPr>
        <w:t>Digging into EU Data Laws and Their Impact on African Researchers</w:t>
      </w:r>
      <w:r>
        <w:rPr>
          <w:rFonts w:ascii="Times New Roman" w:eastAsia="Times New Roman" w:hAnsi="Times New Roman" w:cs="Times New Roman"/>
          <w:b/>
          <w:sz w:val="30"/>
          <w:vertAlign w:val="superscript"/>
        </w:rPr>
        <w:footnoteReference w:id="1"/>
      </w:r>
    </w:p>
    <w:p w14:paraId="4B779886" w14:textId="77777777" w:rsidR="008D0C88" w:rsidRDefault="00000000">
      <w:pPr>
        <w:spacing w:after="1450" w:line="259" w:lineRule="auto"/>
        <w:ind w:left="0" w:right="4" w:firstLine="0"/>
        <w:jc w:val="center"/>
      </w:pPr>
      <w:r>
        <w:rPr>
          <w:rFonts w:ascii="Times New Roman" w:eastAsia="Times New Roman" w:hAnsi="Times New Roman" w:cs="Times New Roman"/>
          <w:i/>
          <w:sz w:val="20"/>
        </w:rPr>
        <w:t xml:space="preserve">Paul </w:t>
      </w:r>
      <w:proofErr w:type="spellStart"/>
      <w:r>
        <w:rPr>
          <w:rFonts w:ascii="Times New Roman" w:eastAsia="Times New Roman" w:hAnsi="Times New Roman" w:cs="Times New Roman"/>
          <w:i/>
          <w:sz w:val="20"/>
        </w:rPr>
        <w:t>Esselaar</w:t>
      </w:r>
      <w:proofErr w:type="spellEnd"/>
    </w:p>
    <w:p w14:paraId="462334D4" w14:textId="77777777" w:rsidR="008D0C88" w:rsidRDefault="00000000">
      <w:pPr>
        <w:ind w:right="0"/>
      </w:pPr>
      <w:r>
        <w:t>There is a well-known saying that when the United States (US) sneezes, the rest of the world catches a cold. While this used to be true for Africa, the European Union (EU) has become the single most important market for African goods, with Africa exporting 33 per cent of its goods to the EU and importing 31 per cent of its goods from the continent.</w:t>
      </w:r>
      <w:r>
        <w:rPr>
          <w:sz w:val="19"/>
          <w:vertAlign w:val="superscript"/>
        </w:rPr>
        <w:t>1</w:t>
      </w:r>
      <w:r>
        <w:t xml:space="preserve"> In addition, the EU is the largest source of foreign direct investment in South Africa,</w:t>
      </w:r>
      <w:r>
        <w:rPr>
          <w:sz w:val="19"/>
          <w:vertAlign w:val="superscript"/>
        </w:rPr>
        <w:t>2</w:t>
      </w:r>
      <w:r>
        <w:t xml:space="preserve"> and legislative changes to the EU have an inevitable and significant impact on African countries. This has been referred to as the ‘Brussels effect’ and essentially shows how the EU effectively exports norms and regulations to other countries. Anu Bradford</w:t>
      </w:r>
      <w:r>
        <w:rPr>
          <w:sz w:val="19"/>
          <w:vertAlign w:val="superscript"/>
        </w:rPr>
        <w:t>3</w:t>
      </w:r>
      <w:r>
        <w:t xml:space="preserve"> sets out three main preconditions for the Brussels effect, namely (</w:t>
      </w:r>
      <w:r>
        <w:rPr>
          <w:i/>
        </w:rPr>
        <w:t>a</w:t>
      </w:r>
      <w:r>
        <w:t>) market size, (</w:t>
      </w:r>
      <w:r>
        <w:rPr>
          <w:i/>
        </w:rPr>
        <w:t>b</w:t>
      </w:r>
      <w:r>
        <w:t>) laws that are precise, comprehensive, available in multiple languages, and easy to copy, and (</w:t>
      </w:r>
      <w:r>
        <w:rPr>
          <w:i/>
        </w:rPr>
        <w:t>c</w:t>
      </w:r>
      <w:r>
        <w:t>) flexible drafting which allows the laws to work across different legal systems.</w:t>
      </w:r>
    </w:p>
    <w:p w14:paraId="4FAE9549" w14:textId="77777777" w:rsidR="008D0C88" w:rsidRDefault="00000000">
      <w:pPr>
        <w:spacing w:after="43"/>
        <w:ind w:left="0" w:right="0" w:firstLine="240"/>
      </w:pPr>
      <w:r>
        <w:t>While the Brussels effect refers to the influence of Europe on other countries, it has been particularly noticeable in the digital space, where African countries have been in a flurry of activity to enact legislation to protect personal data, most of which has been published in the last 10 years.</w:t>
      </w:r>
      <w:r>
        <w:rPr>
          <w:sz w:val="19"/>
          <w:vertAlign w:val="superscript"/>
        </w:rPr>
        <w:t>4</w:t>
      </w:r>
      <w:r>
        <w:t xml:space="preserve"> A good deal of the motivation for this has been to harmonize their laws with the EU’s General Data Protection Regulation (GDPR), 2016, to the extent that ‘of the 60 countries that have enacted new data protection laws over the last decade, almost all modelled their approach in full or in part on the GDPR’.</w:t>
      </w:r>
      <w:r>
        <w:rPr>
          <w:sz w:val="19"/>
          <w:vertAlign w:val="superscript"/>
        </w:rPr>
        <w:t>5</w:t>
      </w:r>
      <w:r>
        <w:t xml:space="preserve"> </w:t>
      </w:r>
    </w:p>
    <w:p w14:paraId="77A1FD6A" w14:textId="77777777" w:rsidR="008D0C88" w:rsidRDefault="00000000">
      <w:pPr>
        <w:spacing w:after="44"/>
        <w:ind w:left="0" w:right="0" w:firstLine="240"/>
      </w:pPr>
      <w:r>
        <w:lastRenderedPageBreak/>
        <w:t>The Brussels effect has influenced not only the laws the African countries but also their regulators, and even court decisions have followed the approach of the Court of Justice of the EU.</w:t>
      </w:r>
      <w:r>
        <w:rPr>
          <w:sz w:val="19"/>
          <w:vertAlign w:val="superscript"/>
        </w:rPr>
        <w:t>6</w:t>
      </w:r>
      <w:r>
        <w:t xml:space="preserve"> Regional organizations such as the Economic Community of West African States (WAEMU) and the Common Market for Easter and Southern Africa (COMESA) have also been modelled on the EU, to such an extent that the Court of Justice for WAEMU ruled that the Treaty of Dakar (which established WAEMU) should be interpreted with reference to the Treaty of Rome (which founded the European Community and the jurisprudence of the Court of Justice of the EU).</w:t>
      </w:r>
      <w:r>
        <w:rPr>
          <w:sz w:val="19"/>
          <w:vertAlign w:val="superscript"/>
        </w:rPr>
        <w:t>7</w:t>
      </w:r>
    </w:p>
    <w:p w14:paraId="1C83BAEE" w14:textId="77777777" w:rsidR="008D0C88" w:rsidRDefault="00000000">
      <w:pPr>
        <w:ind w:left="0" w:right="0" w:firstLine="240"/>
      </w:pPr>
      <w:r>
        <w:t xml:space="preserve">The Brussels effect refers not only to the </w:t>
      </w:r>
      <w:r>
        <w:rPr>
          <w:i/>
        </w:rPr>
        <w:t>de jure</w:t>
      </w:r>
      <w:r>
        <w:t xml:space="preserve"> influence of Europe, but also a </w:t>
      </w:r>
      <w:r>
        <w:rPr>
          <w:i/>
        </w:rPr>
        <w:t>de facto</w:t>
      </w:r>
      <w:r>
        <w:t xml:space="preserve"> influence. An example of this effect is African farmers’ food safety practices which are largely determined by the EU.</w:t>
      </w:r>
      <w:r>
        <w:rPr>
          <w:sz w:val="19"/>
          <w:vertAlign w:val="superscript"/>
        </w:rPr>
        <w:t>8</w:t>
      </w:r>
      <w:r>
        <w:t xml:space="preserve"> Another example was the EU decision to prevent the South African company De Beers from buying rough diamonds from the Russian company Alrosa</w:t>
      </w:r>
      <w:r>
        <w:rPr>
          <w:sz w:val="19"/>
          <w:vertAlign w:val="superscript"/>
        </w:rPr>
        <w:t>9</w:t>
      </w:r>
      <w:r>
        <w:t xml:space="preserve"> – effectively resulting in an international prohibition even though neither company </w:t>
      </w:r>
      <w:proofErr w:type="gramStart"/>
      <w:r>
        <w:t>was located in</w:t>
      </w:r>
      <w:proofErr w:type="gramEnd"/>
      <w:r>
        <w:t xml:space="preserve"> Europe. Indeed, if an international merger is prohibited in the EU, then it is effectively banned worldwide, even if it is deemed acceptable by regulators in other jurisdictions.</w:t>
      </w:r>
      <w:r>
        <w:rPr>
          <w:sz w:val="19"/>
          <w:vertAlign w:val="superscript"/>
        </w:rPr>
        <w:t>10</w:t>
      </w:r>
      <w:r>
        <w:t xml:space="preserve"> In short, when the EU changes its laws relating to data, there is a good chance that African countries will be forced to follow suit sooner or later. </w:t>
      </w:r>
    </w:p>
    <w:p w14:paraId="04A6F3D6" w14:textId="77777777" w:rsidR="008D0C88" w:rsidRDefault="00000000">
      <w:pPr>
        <w:spacing w:after="416"/>
        <w:ind w:left="0" w:right="0" w:firstLine="240"/>
      </w:pPr>
      <w:r>
        <w:t xml:space="preserve">Bearing in mind the Brussels effect, the remainder of this chapter considers the recent developments in the regulation of data by the EU. The chapter concludes with a call on the EU to expand the scope of its impact assessment to include countries outside of it and, in so doing, acknowledge the de facto and de jure Brussels effect on African researchers. </w:t>
      </w:r>
    </w:p>
    <w:p w14:paraId="13E51523" w14:textId="77777777" w:rsidR="008D0C88" w:rsidRDefault="00000000">
      <w:pPr>
        <w:pStyle w:val="Heading1"/>
        <w:ind w:left="-5"/>
      </w:pPr>
      <w:r>
        <w:t>The EU Strategy for Data</w:t>
      </w:r>
    </w:p>
    <w:p w14:paraId="5668A2A0" w14:textId="77777777" w:rsidR="008D0C88" w:rsidRDefault="00000000">
      <w:pPr>
        <w:ind w:right="0"/>
      </w:pPr>
      <w:r>
        <w:t>In 2020, the European Commission released a European strategy for data</w:t>
      </w:r>
      <w:r>
        <w:rPr>
          <w:sz w:val="19"/>
          <w:vertAlign w:val="superscript"/>
        </w:rPr>
        <w:t>11</w:t>
      </w:r>
      <w:r>
        <w:t xml:space="preserve"> in which it outlined its vision for the regulation of data. The strategy referenced existing legislation – such as the regulation of the free flow of non-personal data (FFD)</w:t>
      </w:r>
      <w:r>
        <w:rPr>
          <w:sz w:val="19"/>
          <w:vertAlign w:val="superscript"/>
        </w:rPr>
        <w:t>12</w:t>
      </w:r>
      <w:r>
        <w:t xml:space="preserve"> which focuses on preventing EU members from implementing data localization – and outlined a strategy to create a single European market for data, which would hold not only data from the EU but also from around the world and include personal data, non-personal data, and sensitive business data, including high-quality product data.</w:t>
      </w:r>
      <w:r>
        <w:rPr>
          <w:sz w:val="19"/>
          <w:vertAlign w:val="superscript"/>
        </w:rPr>
        <w:t>13</w:t>
      </w:r>
      <w:r>
        <w:t xml:space="preserve"> In particular, the strategy focused on the flow of data and the incorporation of European values, particularly personal data protection, consumer protection, and competition law. </w:t>
      </w:r>
    </w:p>
    <w:p w14:paraId="0733B5D6" w14:textId="77777777" w:rsidR="008D0C88" w:rsidRDefault="00000000">
      <w:pPr>
        <w:ind w:left="0" w:right="0" w:firstLine="240"/>
      </w:pPr>
      <w:r>
        <w:t xml:space="preserve">The strategy further noted that ‘sensitive data (e.g. health data) in public databases is often not made available for research purposes, in the absence of capacity of mechanisms that allow specific research actions to be taken in a </w:t>
      </w:r>
      <w:r>
        <w:lastRenderedPageBreak/>
        <w:t>manner compliant with personal data protection rules’.</w:t>
      </w:r>
      <w:r>
        <w:rPr>
          <w:sz w:val="19"/>
          <w:vertAlign w:val="superscript"/>
        </w:rPr>
        <w:t>14</w:t>
      </w:r>
      <w:r>
        <w:t xml:space="preserve"> The European Open Science Cloud is an example of an initiative that provides access to </w:t>
      </w:r>
      <w:r>
        <w:rPr>
          <w:i/>
        </w:rPr>
        <w:t>European</w:t>
      </w:r>
      <w:r>
        <w:t xml:space="preserve"> researchers; the creation of the common European Health Data Space</w:t>
      </w:r>
      <w:r>
        <w:rPr>
          <w:sz w:val="19"/>
          <w:vertAlign w:val="superscript"/>
        </w:rPr>
        <w:t>15</w:t>
      </w:r>
      <w:r>
        <w:t xml:space="preserve"> aims to assist with preventing, detecting, and curing diseases, as well as allowing for informed, evidence-based decisions to improve the accessibility, effectiveness, and sustainability of healthcare systems. </w:t>
      </w:r>
    </w:p>
    <w:p w14:paraId="65D380D2" w14:textId="77777777" w:rsidR="008D0C88" w:rsidRDefault="00000000">
      <w:pPr>
        <w:spacing w:after="300"/>
        <w:ind w:left="0" w:right="0" w:firstLine="240"/>
      </w:pPr>
      <w:r>
        <w:t>Although there are many observations to make on the EU strategy for Data, there are two aspects to highlight for our purposes: (</w:t>
      </w:r>
      <w:r>
        <w:rPr>
          <w:i/>
        </w:rPr>
        <w:t>a</w:t>
      </w:r>
      <w:r>
        <w:t>) data needs to be managed in a holistic manner, taking into consideration consumer protection, competition law, and so on – not just from a data protection or privacy perspective, and (</w:t>
      </w:r>
      <w:r>
        <w:rPr>
          <w:i/>
        </w:rPr>
        <w:t>b</w:t>
      </w:r>
      <w:r>
        <w:t xml:space="preserve">) the EU is open to receiving data from around the world but is less focused on providing access to the data for non-European researchers. </w:t>
      </w:r>
    </w:p>
    <w:p w14:paraId="7E01ED53" w14:textId="77777777" w:rsidR="008D0C88" w:rsidRDefault="00000000">
      <w:pPr>
        <w:pStyle w:val="Heading2"/>
        <w:ind w:left="-5"/>
      </w:pPr>
      <w:r>
        <w:t>Putting the EU Strategy for Data into Law</w:t>
      </w:r>
    </w:p>
    <w:p w14:paraId="2AFA7EB7" w14:textId="77777777" w:rsidR="008D0C88" w:rsidRDefault="00000000">
      <w:pPr>
        <w:ind w:right="0"/>
      </w:pPr>
      <w:r>
        <w:t>Since the publication of the EU strategy for Data, there have been several EU laws focusing on data regulation that have been published, namely the Digital Services Act (DSA), 2022;</w:t>
      </w:r>
      <w:r>
        <w:rPr>
          <w:sz w:val="19"/>
          <w:vertAlign w:val="superscript"/>
        </w:rPr>
        <w:t>16</w:t>
      </w:r>
      <w:r>
        <w:t xml:space="preserve"> the Digital Markets Act (DMA), 2022;</w:t>
      </w:r>
      <w:r>
        <w:rPr>
          <w:sz w:val="19"/>
          <w:vertAlign w:val="superscript"/>
        </w:rPr>
        <w:t>17</w:t>
      </w:r>
      <w:r>
        <w:t xml:space="preserve"> and the recent Artificial Intelligence Act (AIA), 2024,</w:t>
      </w:r>
      <w:r>
        <w:rPr>
          <w:sz w:val="19"/>
          <w:vertAlign w:val="superscript"/>
        </w:rPr>
        <w:t>18</w:t>
      </w:r>
      <w:r>
        <w:t xml:space="preserve"> as well as the Data Act (DA), 2023</w:t>
      </w:r>
      <w:r>
        <w:rPr>
          <w:sz w:val="19"/>
          <w:vertAlign w:val="superscript"/>
        </w:rPr>
        <w:t>19</w:t>
      </w:r>
      <w:r>
        <w:t xml:space="preserve"> (collectively referred to as the EU data laws). Each of these Acts is discussed briefly </w:t>
      </w:r>
      <w:proofErr w:type="gramStart"/>
      <w:r>
        <w:t>in order to</w:t>
      </w:r>
      <w:proofErr w:type="gramEnd"/>
      <w:r>
        <w:t xml:space="preserve"> contextualize the EU’s holistic approach to data regulation. </w:t>
      </w:r>
    </w:p>
    <w:p w14:paraId="66DC0C2B" w14:textId="77777777" w:rsidR="008D0C88" w:rsidRDefault="00000000">
      <w:pPr>
        <w:ind w:left="0" w:right="0" w:firstLine="240"/>
      </w:pPr>
      <w:r>
        <w:t xml:space="preserve">At a high level, the </w:t>
      </w:r>
      <w:r>
        <w:rPr>
          <w:i/>
        </w:rPr>
        <w:t>DSA</w:t>
      </w:r>
      <w:r>
        <w:t xml:space="preserve"> seeks to manage illegal content, ensure advertising is transparent, and combat disinformation in large (over 45 million users) platforms,</w:t>
      </w:r>
      <w:r>
        <w:rPr>
          <w:sz w:val="19"/>
          <w:vertAlign w:val="superscript"/>
        </w:rPr>
        <w:t>20</w:t>
      </w:r>
      <w:r>
        <w:t xml:space="preserve"> which are designated as very large online platforms (VLOPs) and very large online search engines (VLOSEs). It does this by placing obligations on social media platforms and search engines to address illegal content, disclose how their algorithms work to the regulators, and provide transparency on how decisions are made to remove content and how advertisers target users. It was fully implemented in 2024. In short, the Act is focused on expanding consumer rights </w:t>
      </w:r>
      <w:proofErr w:type="gramStart"/>
      <w:r>
        <w:t>with regard to</w:t>
      </w:r>
      <w:proofErr w:type="gramEnd"/>
      <w:r>
        <w:t xml:space="preserve"> digital services. </w:t>
      </w:r>
    </w:p>
    <w:p w14:paraId="22CBB7B9" w14:textId="77777777" w:rsidR="008D0C88" w:rsidRDefault="00000000">
      <w:pPr>
        <w:ind w:left="0" w:right="0" w:firstLine="240"/>
      </w:pPr>
      <w:r>
        <w:t xml:space="preserve">The </w:t>
      </w:r>
      <w:r>
        <w:rPr>
          <w:i/>
        </w:rPr>
        <w:t xml:space="preserve">DMA </w:t>
      </w:r>
      <w:r>
        <w:t>is a sister piece of legislation that aims at preventing large companies (gatekeepers</w:t>
      </w:r>
      <w:r>
        <w:rPr>
          <w:sz w:val="19"/>
          <w:vertAlign w:val="superscript"/>
        </w:rPr>
        <w:t>21</w:t>
      </w:r>
      <w:r>
        <w:t xml:space="preserve">) from abusing their market power by preventing self-preferencing (providing prominence to its own products), reuse of personal data, providing business rights to smaller companies, prohibiting contractual requirements to offer the best deals exclusively on the companies’ platform, preserving device neutrality (where pre-installed applications can be deleted), and prohibiting the bundling of products. In short, the DMA is focused on encouraging competition in digital markets. </w:t>
      </w:r>
    </w:p>
    <w:p w14:paraId="7C53EF79" w14:textId="77777777" w:rsidR="008D0C88" w:rsidRDefault="00000000">
      <w:pPr>
        <w:ind w:left="0" w:right="0" w:firstLine="240"/>
      </w:pPr>
      <w:r>
        <w:lastRenderedPageBreak/>
        <w:t xml:space="preserve">The </w:t>
      </w:r>
      <w:r>
        <w:rPr>
          <w:i/>
        </w:rPr>
        <w:t>AIA</w:t>
      </w:r>
      <w:r>
        <w:rPr>
          <w:sz w:val="19"/>
          <w:vertAlign w:val="superscript"/>
        </w:rPr>
        <w:t>22</w:t>
      </w:r>
      <w:r>
        <w:t xml:space="preserve"> is a relatively groundbreaking piece of legislation and seeks not only to articulate the principles of artificial intelligence (AI) regulation but also to amend various other EU laws to bring them in line with the AIA. The AIA creates and defines ‘high-risk’ AI systems,</w:t>
      </w:r>
      <w:r>
        <w:rPr>
          <w:sz w:val="19"/>
          <w:vertAlign w:val="superscript"/>
        </w:rPr>
        <w:t>23</w:t>
      </w:r>
      <w:r>
        <w:t xml:space="preserve"> provides standards for risk management</w:t>
      </w:r>
      <w:r>
        <w:rPr>
          <w:sz w:val="19"/>
          <w:vertAlign w:val="superscript"/>
        </w:rPr>
        <w:t>24</w:t>
      </w:r>
      <w:r>
        <w:t xml:space="preserve"> and data governance,</w:t>
      </w:r>
      <w:r>
        <w:rPr>
          <w:sz w:val="19"/>
          <w:vertAlign w:val="superscript"/>
        </w:rPr>
        <w:t>25</w:t>
      </w:r>
      <w:r>
        <w:t xml:space="preserve"> and, interestingly, explicitly mandates the use of human oversight, including the ability to stop the AI using ‘a “stop” button’.</w:t>
      </w:r>
      <w:r>
        <w:rPr>
          <w:sz w:val="19"/>
          <w:vertAlign w:val="superscript"/>
        </w:rPr>
        <w:t>26</w:t>
      </w:r>
      <w:r>
        <w:t xml:space="preserve"> The AIA also requires that each EU member country have a notifying authority,</w:t>
      </w:r>
      <w:r>
        <w:rPr>
          <w:sz w:val="19"/>
          <w:vertAlign w:val="superscript"/>
        </w:rPr>
        <w:t>27</w:t>
      </w:r>
      <w:r>
        <w:t xml:space="preserve"> national supervisory authority,</w:t>
      </w:r>
      <w:r>
        <w:rPr>
          <w:sz w:val="19"/>
          <w:vertAlign w:val="superscript"/>
        </w:rPr>
        <w:t>28</w:t>
      </w:r>
      <w:r>
        <w:t xml:space="preserve"> and market surveillance authority</w:t>
      </w:r>
      <w:r>
        <w:rPr>
          <w:sz w:val="19"/>
          <w:vertAlign w:val="superscript"/>
        </w:rPr>
        <w:t>29</w:t>
      </w:r>
      <w:r>
        <w:t xml:space="preserve"> to monitor and manage AI use. Generative content created by AI systems – including so-called deepfakes – must be labelled, and summaries of the data used to train the AI must be provided to users.</w:t>
      </w:r>
      <w:r>
        <w:rPr>
          <w:sz w:val="19"/>
          <w:vertAlign w:val="superscript"/>
        </w:rPr>
        <w:t>30</w:t>
      </w:r>
      <w:r>
        <w:t xml:space="preserve"> </w:t>
      </w:r>
    </w:p>
    <w:p w14:paraId="3B16E8CC" w14:textId="77777777" w:rsidR="008D0C88" w:rsidRDefault="00000000">
      <w:pPr>
        <w:ind w:left="0" w:right="0" w:firstLine="240"/>
      </w:pPr>
      <w:r>
        <w:t xml:space="preserve">Finally, the </w:t>
      </w:r>
      <w:r>
        <w:rPr>
          <w:i/>
        </w:rPr>
        <w:t>DA</w:t>
      </w:r>
      <w:r>
        <w:rPr>
          <w:sz w:val="19"/>
          <w:vertAlign w:val="superscript"/>
        </w:rPr>
        <w:t>31</w:t>
      </w:r>
      <w:r>
        <w:t xml:space="preserve"> is designed to regulate the Internet of Things (IoT). It aims to do the following: </w:t>
      </w:r>
    </w:p>
    <w:p w14:paraId="78EDACE7" w14:textId="77777777" w:rsidR="008D0C88" w:rsidRDefault="00000000">
      <w:pPr>
        <w:ind w:right="0"/>
      </w:pPr>
      <w:r>
        <w:rPr>
          <w:i/>
        </w:rPr>
        <w:t>Facilitate access to data</w:t>
      </w:r>
      <w:r>
        <w:t xml:space="preserve"> by consumers and businesses by creating legal certainty as to when data can be requested or must be provided, as well as setting out contractual rules for sharing of data. </w:t>
      </w:r>
    </w:p>
    <w:p w14:paraId="510F0F1B" w14:textId="77777777" w:rsidR="008D0C88" w:rsidRDefault="00000000">
      <w:pPr>
        <w:ind w:right="0"/>
      </w:pPr>
      <w:r>
        <w:rPr>
          <w:i/>
        </w:rPr>
        <w:t>Force businesses to provide data to public bodies</w:t>
      </w:r>
      <w:r>
        <w:t>,</w:t>
      </w:r>
      <w:r>
        <w:rPr>
          <w:i/>
        </w:rPr>
        <w:t xml:space="preserve"> </w:t>
      </w:r>
      <w:r>
        <w:t xml:space="preserve">primarily in emergency situations, but also when business to government data sharing is justified. </w:t>
      </w:r>
    </w:p>
    <w:p w14:paraId="49C35BF2" w14:textId="77777777" w:rsidR="008D0C88" w:rsidRDefault="00000000">
      <w:pPr>
        <w:ind w:right="0"/>
      </w:pPr>
      <w:r>
        <w:rPr>
          <w:i/>
        </w:rPr>
        <w:t>Facilitate switching between cloud and edge services</w:t>
      </w:r>
      <w:r>
        <w:t>, where cloud (typically with a central data centre) can send data to the ‘edge’ (typically outside of a data centre) which is</w:t>
      </w:r>
      <w:r>
        <w:rPr>
          <w:b/>
        </w:rPr>
        <w:t xml:space="preserve"> </w:t>
      </w:r>
      <w:r>
        <w:t xml:space="preserve">closer to the user who is able to collect data. </w:t>
      </w:r>
    </w:p>
    <w:p w14:paraId="66AB2449" w14:textId="77777777" w:rsidR="008D0C88" w:rsidRDefault="00000000">
      <w:pPr>
        <w:ind w:right="0"/>
      </w:pPr>
      <w:r>
        <w:rPr>
          <w:i/>
        </w:rPr>
        <w:t>Control access to data by non-EU countries</w:t>
      </w:r>
      <w:r>
        <w:rPr>
          <w:b/>
        </w:rPr>
        <w:t xml:space="preserve"> </w:t>
      </w:r>
      <w:proofErr w:type="gramStart"/>
      <w:r>
        <w:t>in order to</w:t>
      </w:r>
      <w:proofErr w:type="gramEnd"/>
      <w:r>
        <w:t xml:space="preserve"> enhance trust in the EU data economy. </w:t>
      </w:r>
    </w:p>
    <w:p w14:paraId="4E9BE866" w14:textId="77777777" w:rsidR="008D0C88" w:rsidRDefault="00000000">
      <w:pPr>
        <w:ind w:right="0"/>
      </w:pPr>
      <w:r>
        <w:rPr>
          <w:i/>
        </w:rPr>
        <w:t>Develop interoperability standards to make it easier to move services between service providers</w:t>
      </w:r>
      <w:r>
        <w:rPr>
          <w:b/>
        </w:rPr>
        <w:t xml:space="preserve"> </w:t>
      </w:r>
      <w:r>
        <w:t xml:space="preserve">which would include smart contracts that could be based on predetermined conditions set up by the user. </w:t>
      </w:r>
    </w:p>
    <w:p w14:paraId="4E2F6FC3" w14:textId="77777777" w:rsidR="008D0C88" w:rsidRDefault="00000000">
      <w:pPr>
        <w:spacing w:after="47"/>
        <w:ind w:right="0"/>
      </w:pPr>
      <w:r>
        <w:rPr>
          <w:i/>
        </w:rPr>
        <w:t>Integrate the DA with other EU legislation</w:t>
      </w:r>
      <w:r>
        <w:t>,</w:t>
      </w:r>
      <w:r>
        <w:rPr>
          <w:b/>
        </w:rPr>
        <w:t xml:space="preserve"> </w:t>
      </w:r>
      <w:r>
        <w:t>particularly the GDPR, and respect the confidentiality of all data in equipment used by the user (terminal equipment).</w:t>
      </w:r>
      <w:r>
        <w:rPr>
          <w:sz w:val="19"/>
          <w:vertAlign w:val="superscript"/>
        </w:rPr>
        <w:t>32</w:t>
      </w:r>
    </w:p>
    <w:p w14:paraId="0CDF7C76" w14:textId="77777777" w:rsidR="008D0C88" w:rsidRDefault="00000000">
      <w:pPr>
        <w:ind w:left="0" w:right="0" w:firstLine="240"/>
      </w:pPr>
      <w:r>
        <w:t xml:space="preserve">These EU data laws are the natural progression of the EU strategy for data and illustrate a holistic approach to managing data, rather than focusing exclusively on personal data. At a fundamental level, these EU data laws rely on data categorization </w:t>
      </w:r>
      <w:proofErr w:type="gramStart"/>
      <w:r>
        <w:t>in order to</w:t>
      </w:r>
      <w:proofErr w:type="gramEnd"/>
      <w:r>
        <w:t xml:space="preserve"> regulate the operation of data, and it is to how data is categorized that we now turn. </w:t>
      </w:r>
    </w:p>
    <w:p w14:paraId="74B66E91" w14:textId="77777777" w:rsidR="008D0C88" w:rsidRDefault="00000000">
      <w:pPr>
        <w:pStyle w:val="Heading1"/>
        <w:ind w:left="-5"/>
      </w:pPr>
      <w:r>
        <w:t>One Concept to Rule them All: Data Categorization</w:t>
      </w:r>
    </w:p>
    <w:p w14:paraId="15BC9741" w14:textId="77777777" w:rsidR="008D0C88" w:rsidRDefault="00000000">
      <w:pPr>
        <w:ind w:right="0"/>
      </w:pPr>
      <w:r>
        <w:t xml:space="preserve">A careful look at the legislation governing data reveals that each of the EU Acts governing data relies on data categorization. For example, the GDPR only governs ‘personal data’, and any data that is not considered to be ‘personal’ is outside the scope of the GDPR. Similarly, the DA manages ‘product data’ which </w:t>
      </w:r>
      <w:r>
        <w:lastRenderedPageBreak/>
        <w:t xml:space="preserve">is generated from ‘connected products’ linked to the internet (IoT). Since the correct categorization of data is so fundamental to the operation of the legislation, it is critical that the distinction between the different types of data is clear and unambiguous. In the section that follows, some of the problems with data categorization are highlighted, and in the subsequent section its knock-on impact is discussed. </w:t>
      </w:r>
    </w:p>
    <w:p w14:paraId="7F0365B6" w14:textId="77777777" w:rsidR="008D0C88" w:rsidRDefault="00000000">
      <w:pPr>
        <w:spacing w:after="47"/>
        <w:ind w:left="0" w:right="0" w:firstLine="240"/>
      </w:pPr>
      <w:r>
        <w:t xml:space="preserve">Beginning with the distinction between ‘personal data’ and ‘non-personal data’, this concept has seen some significant sea changes in the EU, which is surprising, considering how entrenched the concept of personal data was thought to be. One </w:t>
      </w:r>
      <w:proofErr w:type="gramStart"/>
      <w:r>
        <w:t>particular development</w:t>
      </w:r>
      <w:proofErr w:type="gramEnd"/>
      <w:r>
        <w:t xml:space="preserve"> occurred on 26 April 2023 in the case of </w:t>
      </w:r>
      <w:r>
        <w:rPr>
          <w:i/>
        </w:rPr>
        <w:t>Single Resolution Board v. European Data Protection Supervisor</w:t>
      </w:r>
      <w:r>
        <w:rPr>
          <w:sz w:val="19"/>
          <w:vertAlign w:val="superscript"/>
        </w:rPr>
        <w:t xml:space="preserve"> </w:t>
      </w:r>
      <w:r>
        <w:t>in the General Court (Eighth Chamber, Extended Composition)</w:t>
      </w:r>
      <w:r>
        <w:rPr>
          <w:sz w:val="19"/>
          <w:vertAlign w:val="superscript"/>
        </w:rPr>
        <w:t>33</w:t>
      </w:r>
      <w:r>
        <w:t xml:space="preserve"> </w:t>
      </w:r>
      <w:proofErr w:type="spellStart"/>
      <w:r>
        <w:t>Pwhere</w:t>
      </w:r>
      <w:proofErr w:type="spellEnd"/>
      <w:r>
        <w:t xml:space="preserve"> the court was required to provide guidance on whether pseudonymized data was ‘data’ or ‘personal data’. Up until this case, it </w:t>
      </w:r>
      <w:proofErr w:type="gramStart"/>
      <w:r>
        <w:t>was considered to be</w:t>
      </w:r>
      <w:proofErr w:type="gramEnd"/>
      <w:r>
        <w:t xml:space="preserve"> settled law that ‘pseudonymized data’ was always ‘personal data’.</w:t>
      </w:r>
      <w:r>
        <w:rPr>
          <w:sz w:val="19"/>
          <w:vertAlign w:val="superscript"/>
        </w:rPr>
        <w:t>34</w:t>
      </w:r>
    </w:p>
    <w:p w14:paraId="4061F3CC" w14:textId="77777777" w:rsidR="008D0C88" w:rsidRDefault="00000000">
      <w:pPr>
        <w:ind w:left="0" w:right="0" w:firstLine="240"/>
      </w:pPr>
      <w:r>
        <w:t>In this matter, a central resolution authority within the banking union in Europe provided data to Deloitte. The information was pseudonymized by means of a unique and randomized 33-digit alphanumeric code which was assigned to each record. It was later discovered by some of the data subjects who submitted personal data to the Single Resolution Board (SRB) that their data had been provided to Deloitte, and they duly laid complaints with the European Data Protection Supervisor (EDPS) that the SRB had breached its duties in terms of Article 15 of Regulation 2018/1725</w:t>
      </w:r>
      <w:r>
        <w:rPr>
          <w:sz w:val="19"/>
          <w:vertAlign w:val="superscript"/>
        </w:rPr>
        <w:t>35</w:t>
      </w:r>
      <w:r>
        <w:t xml:space="preserve"> by failing to indicate that it was providing personal data to third parties in its privacy statement. The SRB refuted this complaint and argued that, in the hands of Deloitte, the data was not personal data as the company had no reasonable prospect of re-identifying the data. </w:t>
      </w:r>
    </w:p>
    <w:p w14:paraId="08D2BC8B" w14:textId="77777777" w:rsidR="008D0C88" w:rsidRDefault="00000000">
      <w:pPr>
        <w:spacing w:after="43"/>
        <w:ind w:left="0" w:right="0" w:firstLine="240"/>
      </w:pPr>
      <w:r>
        <w:t>In upholding the SRB’s position against the EDPS, the court indicated that in the hands of Deloitte, the data was not personal data, and so there was no obligation of the SRB to disclose the sharing of the data with Deloitte. Specifically, the court referred to the test as set out in Recital 16 of Regulation 2018/1725 which indicates that all objective factors, including (but not limited to) (</w:t>
      </w:r>
      <w:r>
        <w:rPr>
          <w:i/>
        </w:rPr>
        <w:t>a</w:t>
      </w:r>
      <w:r>
        <w:t>) cost of reidentifying, (</w:t>
      </w:r>
      <w:r>
        <w:rPr>
          <w:i/>
        </w:rPr>
        <w:t>b</w:t>
      </w:r>
      <w:r>
        <w:t>) amount of time required to reidentify, (</w:t>
      </w:r>
      <w:r>
        <w:rPr>
          <w:i/>
        </w:rPr>
        <w:t>c</w:t>
      </w:r>
      <w:r>
        <w:t>) available technology at time, and (</w:t>
      </w:r>
      <w:r>
        <w:rPr>
          <w:i/>
        </w:rPr>
        <w:t>d</w:t>
      </w:r>
      <w:r>
        <w:t xml:space="preserve">) expected technological developments, should be considered when determining whether the information is ‘data’ or ‘personal data’. The court also endorsed the approach of </w:t>
      </w:r>
      <w:proofErr w:type="spellStart"/>
      <w:r>
        <w:rPr>
          <w:i/>
        </w:rPr>
        <w:t>Breyer</w:t>
      </w:r>
      <w:proofErr w:type="spellEnd"/>
      <w:r>
        <w:rPr>
          <w:i/>
        </w:rPr>
        <w:t xml:space="preserve"> v. </w:t>
      </w:r>
      <w:proofErr w:type="spellStart"/>
      <w:r>
        <w:rPr>
          <w:i/>
        </w:rPr>
        <w:t>Bundesrepublik</w:t>
      </w:r>
      <w:proofErr w:type="spellEnd"/>
      <w:r>
        <w:rPr>
          <w:i/>
        </w:rPr>
        <w:t xml:space="preserve"> Deutschland</w:t>
      </w:r>
      <w:r>
        <w:t>, 19 October 2016, Case C-582/14, that re-identification was not reasonably possible if ‘the identification of the data subject was prohibited by law or practically impossible on account of the fact that it requires a disproportionate effort in terms of time, cost and man-power, so that the risk of identification appears in reality to be insignificant.’</w:t>
      </w:r>
      <w:r>
        <w:rPr>
          <w:sz w:val="19"/>
          <w:vertAlign w:val="superscript"/>
        </w:rPr>
        <w:t>36</w:t>
      </w:r>
      <w:r>
        <w:t xml:space="preserve"> </w:t>
      </w:r>
    </w:p>
    <w:p w14:paraId="1797D566" w14:textId="77777777" w:rsidR="008D0C88" w:rsidRDefault="00000000">
      <w:pPr>
        <w:ind w:left="0" w:right="0" w:firstLine="240"/>
      </w:pPr>
      <w:r>
        <w:lastRenderedPageBreak/>
        <w:t>The SRB case is a critical watershed in data protection law in that it provides some assistance in how personal data could be differentiated from non-personal data. In particular, the following points are worth emphasizing: (</w:t>
      </w:r>
      <w:r>
        <w:rPr>
          <w:i/>
        </w:rPr>
        <w:t>a</w:t>
      </w:r>
      <w:r>
        <w:t>) the test was to determine whether the data was subjective (that is, in the hands of Deloitte) rather than approached from the perspective of a reasonably competent and objective third party, and (</w:t>
      </w:r>
      <w:r>
        <w:rPr>
          <w:i/>
        </w:rPr>
        <w:t>b</w:t>
      </w:r>
      <w:r>
        <w:t>) the lack of a ‘legal’ manner to re-identify the data would result in the data being considered to be de-identified.</w:t>
      </w:r>
    </w:p>
    <w:p w14:paraId="36E266AC" w14:textId="77777777" w:rsidR="008D0C88" w:rsidRDefault="00000000">
      <w:pPr>
        <w:spacing w:after="32"/>
        <w:ind w:left="0" w:right="0" w:firstLine="240"/>
      </w:pPr>
      <w:r>
        <w:t>The SRB case has since been appealed by the European Data Protection Board (EDPB) on the grounds that the court misdirected itself when it required that the EDPB assess whether the data was personal or not, misinterpreted whether pseudonymized data was personal or not, and placed the onus on the EDPS to prove that the SRB had effectively anonymized the data it was processing.</w:t>
      </w:r>
      <w:r>
        <w:rPr>
          <w:sz w:val="19"/>
          <w:vertAlign w:val="superscript"/>
        </w:rPr>
        <w:t>37</w:t>
      </w:r>
      <w:r>
        <w:t xml:space="preserve"> </w:t>
      </w:r>
    </w:p>
    <w:p w14:paraId="2689AC4D" w14:textId="77777777" w:rsidR="008D0C88" w:rsidRDefault="00000000">
      <w:pPr>
        <w:spacing w:after="251"/>
        <w:ind w:left="0" w:right="0" w:firstLine="240"/>
      </w:pPr>
      <w:r>
        <w:t>While the definitive text on personal data is the GDPR, it could be argued that the DA should be confined to non-personal data or ‘product data’. While this seems to be mostly the intention, the DA itself does not do this and deals with both personal data and non-personal data which emanates from ‘connected products’.</w:t>
      </w:r>
      <w:r>
        <w:rPr>
          <w:sz w:val="19"/>
          <w:vertAlign w:val="superscript"/>
        </w:rPr>
        <w:t>38</w:t>
      </w:r>
      <w:r>
        <w:t xml:space="preserve"> The definition of ‘connected product’ in Article 2(5) is clearly a critical definition on which the DA hinges and is defined thus: </w:t>
      </w:r>
    </w:p>
    <w:p w14:paraId="0AA3DB52" w14:textId="77777777" w:rsidR="008D0C88" w:rsidRDefault="00000000">
      <w:pPr>
        <w:spacing w:after="301"/>
        <w:ind w:left="250" w:right="244"/>
      </w:pPr>
      <w:r>
        <w:t xml:space="preserve">… an item that obtains, generates or collects data concerning its use or environment and that </w:t>
      </w:r>
      <w:proofErr w:type="gramStart"/>
      <w:r>
        <w:t>is able to</w:t>
      </w:r>
      <w:proofErr w:type="gramEnd"/>
      <w:r>
        <w:t xml:space="preserve"> communicate product data via an electronic communications service, physical connection or on-device access, and whose primary function is not the storing, processing or transmission of data on behalf of any party other than the user.</w:t>
      </w:r>
      <w:r>
        <w:rPr>
          <w:sz w:val="18"/>
          <w:vertAlign w:val="superscript"/>
        </w:rPr>
        <w:t>39</w:t>
      </w:r>
    </w:p>
    <w:p w14:paraId="4B2187FE" w14:textId="77777777" w:rsidR="008D0C88" w:rsidRDefault="00000000">
      <w:pPr>
        <w:ind w:right="0"/>
      </w:pPr>
      <w:r>
        <w:t>From this definition, it is possible to extrapolate that ‘product data’ is data which (</w:t>
      </w:r>
      <w:r>
        <w:rPr>
          <w:i/>
        </w:rPr>
        <w:t>a</w:t>
      </w:r>
      <w:r>
        <w:t>) emanates from a product, (</w:t>
      </w:r>
      <w:r>
        <w:rPr>
          <w:i/>
        </w:rPr>
        <w:t>b</w:t>
      </w:r>
      <w:r>
        <w:t>) is about the product itself or its use in its environment, (</w:t>
      </w:r>
      <w:r>
        <w:rPr>
          <w:i/>
        </w:rPr>
        <w:t>c</w:t>
      </w:r>
      <w:r>
        <w:t>) is communicated via the internet, and (</w:t>
      </w:r>
      <w:r>
        <w:rPr>
          <w:i/>
        </w:rPr>
        <w:t>d</w:t>
      </w:r>
      <w:r>
        <w:t>) excludes data from, for instance, telecommunications platforms and server farms.</w:t>
      </w:r>
    </w:p>
    <w:p w14:paraId="606B05BF" w14:textId="77777777" w:rsidR="008D0C88" w:rsidRDefault="00000000">
      <w:pPr>
        <w:ind w:left="0" w:right="0" w:firstLine="240"/>
      </w:pPr>
      <w:r>
        <w:t>Logically, this definition also means that the DA creates a distinction between ‘product data’ and ‘non-product data’, which some commentators have described as both artificial and confusing.</w:t>
      </w:r>
      <w:r>
        <w:rPr>
          <w:sz w:val="19"/>
          <w:vertAlign w:val="superscript"/>
        </w:rPr>
        <w:t>40</w:t>
      </w:r>
      <w:r>
        <w:t xml:space="preserve"> This is not the end of the difficulties as there is now a new category of ‘exportable data’, which refers to input and output data (including data which is co-generated by the customer and the data holder) but excludes data which is protected by intellectual property rights or constitutes a trade secret.</w:t>
      </w:r>
      <w:r>
        <w:rPr>
          <w:sz w:val="19"/>
          <w:vertAlign w:val="superscript"/>
        </w:rPr>
        <w:t>41</w:t>
      </w:r>
      <w:r>
        <w:t xml:space="preserve"> Two further new definitions are introduced of ‘related service data’: (</w:t>
      </w:r>
      <w:r>
        <w:rPr>
          <w:i/>
        </w:rPr>
        <w:t>a</w:t>
      </w:r>
      <w:r>
        <w:t>) data generated by the use of the product and (</w:t>
      </w:r>
      <w:r>
        <w:rPr>
          <w:i/>
        </w:rPr>
        <w:t>b</w:t>
      </w:r>
      <w:r>
        <w:t>) ‘readily available data’ which refers to data which can obtained without disproportionate effort.</w:t>
      </w:r>
      <w:r>
        <w:rPr>
          <w:sz w:val="19"/>
          <w:vertAlign w:val="superscript"/>
        </w:rPr>
        <w:t>42</w:t>
      </w:r>
      <w:r>
        <w:t xml:space="preserve"> </w:t>
      </w:r>
    </w:p>
    <w:p w14:paraId="04C84E80" w14:textId="77777777" w:rsidR="008D0C88" w:rsidRDefault="00000000">
      <w:pPr>
        <w:ind w:left="0" w:right="0" w:firstLine="240"/>
      </w:pPr>
      <w:r>
        <w:lastRenderedPageBreak/>
        <w:t xml:space="preserve">On a practical level, these definitions demand that data holders – holders of product data – need to undertake a significant amount of work to restructure their underlying framework for data </w:t>
      </w:r>
      <w:proofErr w:type="gramStart"/>
      <w:r>
        <w:t>in order to</w:t>
      </w:r>
      <w:proofErr w:type="gramEnd"/>
      <w:r>
        <w:t xml:space="preserve"> place it into the various categories as required by the DA. An example of these ‘categories’ which a data holder would be required to implement would be (</w:t>
      </w:r>
      <w:r>
        <w:rPr>
          <w:i/>
        </w:rPr>
        <w:t>a</w:t>
      </w:r>
      <w:r>
        <w:t>) product data (data generated by the use of the product)</w:t>
      </w:r>
      <w:r>
        <w:rPr>
          <w:sz w:val="19"/>
          <w:vertAlign w:val="superscript"/>
        </w:rPr>
        <w:t>43</w:t>
      </w:r>
      <w:r>
        <w:t xml:space="preserve"> which is personal, (</w:t>
      </w:r>
      <w:r>
        <w:rPr>
          <w:i/>
        </w:rPr>
        <w:t>b</w:t>
      </w:r>
      <w:r>
        <w:t>) product data which is personal and exportable, (</w:t>
      </w:r>
      <w:r>
        <w:rPr>
          <w:i/>
        </w:rPr>
        <w:t>c</w:t>
      </w:r>
      <w:r>
        <w:t>) product data which is personal and readily available, (</w:t>
      </w:r>
      <w:r>
        <w:rPr>
          <w:i/>
        </w:rPr>
        <w:t>d</w:t>
      </w:r>
      <w:r>
        <w:t>) non-product data which is personal, (</w:t>
      </w:r>
      <w:r>
        <w:rPr>
          <w:i/>
        </w:rPr>
        <w:t>e</w:t>
      </w:r>
      <w:r>
        <w:t>) non-product data which is personal and exportable, and (</w:t>
      </w:r>
      <w:r>
        <w:rPr>
          <w:i/>
        </w:rPr>
        <w:t>f</w:t>
      </w:r>
      <w:r>
        <w:t>) non-product data which is personal and readily available. (The categorization can continue with product and non-product data which is non-personal.)</w:t>
      </w:r>
    </w:p>
    <w:p w14:paraId="13783D60" w14:textId="77777777" w:rsidR="008D0C88" w:rsidRDefault="00000000">
      <w:pPr>
        <w:ind w:left="0" w:right="0" w:firstLine="240"/>
      </w:pPr>
      <w:r>
        <w:t xml:space="preserve">While the DA may attempt to differentiate data into these constituent categories, the data itself resists the attempt to fit into these definitions. Moreover, it is unfortunate that businesses will be required to implement significant changes to their underlying information technology (IT) structure without having a clear indication that the </w:t>
      </w:r>
      <w:proofErr w:type="gramStart"/>
      <w:r>
        <w:t>manner in which</w:t>
      </w:r>
      <w:proofErr w:type="gramEnd"/>
      <w:r>
        <w:t xml:space="preserve"> they do so will be consistent with the DA. </w:t>
      </w:r>
    </w:p>
    <w:p w14:paraId="06D73A2F" w14:textId="77777777" w:rsidR="008D0C88" w:rsidRDefault="00000000">
      <w:pPr>
        <w:spacing w:after="416"/>
        <w:ind w:left="0" w:right="0" w:firstLine="240"/>
      </w:pPr>
      <w:r>
        <w:t xml:space="preserve">In the section that follows, we discuss how difficulties with data categorization affect African researchers. </w:t>
      </w:r>
    </w:p>
    <w:p w14:paraId="09DFDA4B" w14:textId="77777777" w:rsidR="008D0C88" w:rsidRDefault="00000000">
      <w:pPr>
        <w:pStyle w:val="Heading1"/>
        <w:ind w:left="-5"/>
      </w:pPr>
      <w:r>
        <w:t xml:space="preserve">Barriers to International Data Transfer of Data to African Researchers </w:t>
      </w:r>
    </w:p>
    <w:p w14:paraId="6BC63214" w14:textId="77777777" w:rsidR="008D0C88" w:rsidRDefault="00000000">
      <w:pPr>
        <w:spacing w:after="38"/>
        <w:ind w:right="0"/>
      </w:pPr>
      <w:r>
        <w:t>African researchers have been highlighted in this chapter as they are less numerous, poorly resourced, and have a greater workload as compared to their peers in the rest of the world. For example, a Malawian qualitative study into the challenges facing African researchers found that lack of funds, mentorship, interest by policymakers, and a heavy workload all contribute to the challenge for African scientists.</w:t>
      </w:r>
      <w:r>
        <w:rPr>
          <w:sz w:val="19"/>
          <w:vertAlign w:val="superscript"/>
        </w:rPr>
        <w:t>44</w:t>
      </w:r>
      <w:r>
        <w:t xml:space="preserve"> Although some real progress has been made to develop African researchers, this comes off a very low base. In its report on a decade of development in Sub-Saharan African research, the World Bank noted that international collaboration (and thus access to international data) was a key requirement for African research.</w:t>
      </w:r>
      <w:r>
        <w:rPr>
          <w:sz w:val="19"/>
          <w:vertAlign w:val="superscript"/>
        </w:rPr>
        <w:t>45</w:t>
      </w:r>
      <w:r>
        <w:t xml:space="preserve"> Even more telling was the fact that collaboration with extra-regional partners outside of the Sub-Saharan African region amounted to 42 per cent to 79 per cent of research, far exceeding the inter-regional collaboration at 0.9 per cent to 2.9 per cent.</w:t>
      </w:r>
      <w:r>
        <w:rPr>
          <w:sz w:val="19"/>
          <w:vertAlign w:val="superscript"/>
        </w:rPr>
        <w:t>46</w:t>
      </w:r>
      <w:r>
        <w:t xml:space="preserve"> This, in turn, results in a tendency for African researchers to have an asymmetric relationship with their international partners and for them to adopt the research agenda of international partners.</w:t>
      </w:r>
      <w:r>
        <w:rPr>
          <w:sz w:val="19"/>
          <w:vertAlign w:val="superscript"/>
        </w:rPr>
        <w:t>47</w:t>
      </w:r>
      <w:r>
        <w:t xml:space="preserve"> </w:t>
      </w:r>
    </w:p>
    <w:p w14:paraId="2D7C2A5E" w14:textId="77777777" w:rsidR="008D0C88" w:rsidRDefault="00000000">
      <w:pPr>
        <w:spacing w:after="300"/>
        <w:ind w:left="0" w:right="0" w:firstLine="240"/>
      </w:pPr>
      <w:r>
        <w:lastRenderedPageBreak/>
        <w:t xml:space="preserve">In short, African researchers rely on access to the Global North for funding, collaboration, and access to data. It is against this background that the impact of the EU data legislation is considered. </w:t>
      </w:r>
    </w:p>
    <w:p w14:paraId="0F7230CB" w14:textId="77777777" w:rsidR="008D0C88" w:rsidRDefault="00000000">
      <w:pPr>
        <w:pStyle w:val="Heading2"/>
        <w:ind w:left="-5"/>
      </w:pPr>
      <w:r>
        <w:t>Lack of Clarity on Data Categorization</w:t>
      </w:r>
    </w:p>
    <w:p w14:paraId="2AC68AA7" w14:textId="77777777" w:rsidR="008D0C88" w:rsidRDefault="00000000">
      <w:pPr>
        <w:ind w:right="0"/>
      </w:pPr>
      <w:r>
        <w:t xml:space="preserve">As illustrated earlier, the DA creates a new category of ‘product data’, which, in turn, creates a knock-on effect on organizations who will need to firstly define and then implement internal controls to be able to differentiate between different types of data to create controls to manage it. This is a thankless task as not only are there new categories of data, but the boundaries to the categories themselves also are likely to change as understanding of DA matures. </w:t>
      </w:r>
    </w:p>
    <w:p w14:paraId="1DC1F745" w14:textId="77777777" w:rsidR="008D0C88" w:rsidRDefault="00000000">
      <w:pPr>
        <w:spacing w:after="49"/>
        <w:ind w:left="0" w:right="0" w:firstLine="240"/>
      </w:pPr>
      <w:r>
        <w:t xml:space="preserve">Even what </w:t>
      </w:r>
      <w:proofErr w:type="gramStart"/>
      <w:r>
        <w:t>was considered to be</w:t>
      </w:r>
      <w:proofErr w:type="gramEnd"/>
      <w:r>
        <w:t xml:space="preserve"> the settled concept of pseudonymized data being personal data has been called into question. Additionally, as technology and mathematical approaches are developed, previously de-identified data may become identifiable, making pseudonymization and anonymization techniques obsolete or ineffective.</w:t>
      </w:r>
      <w:r>
        <w:rPr>
          <w:sz w:val="19"/>
          <w:vertAlign w:val="superscript"/>
        </w:rPr>
        <w:t>48</w:t>
      </w:r>
    </w:p>
    <w:p w14:paraId="3537DA4C" w14:textId="77777777" w:rsidR="008D0C88" w:rsidRDefault="00000000">
      <w:pPr>
        <w:spacing w:after="416"/>
        <w:ind w:left="0" w:right="0" w:firstLine="240"/>
      </w:pPr>
      <w:r>
        <w:t xml:space="preserve">This lack of certainty means that it becomes difficult for researchers to place the data they need in a category and so be able to determine what rules apply to it. </w:t>
      </w:r>
    </w:p>
    <w:p w14:paraId="3ABE7358" w14:textId="77777777" w:rsidR="008D0C88" w:rsidRDefault="00000000">
      <w:pPr>
        <w:pStyle w:val="Heading1"/>
        <w:ind w:left="-5"/>
      </w:pPr>
      <w:r>
        <w:t xml:space="preserve">Lack of Clarity on Adequate Measures </w:t>
      </w:r>
    </w:p>
    <w:p w14:paraId="375BD9BA" w14:textId="77777777" w:rsidR="008D0C88" w:rsidRDefault="00000000">
      <w:pPr>
        <w:ind w:right="0"/>
      </w:pPr>
      <w:r>
        <w:t>In its explanatory memorandum to the earlier version of the proposed DA, the European Commission notes that 76 per cent of its respondents were concerned about access by foreign authorities to non-personal data based on foreign legislation, with 19 per cent indicating that it was a major risk.</w:t>
      </w:r>
      <w:r>
        <w:rPr>
          <w:sz w:val="19"/>
          <w:vertAlign w:val="superscript"/>
        </w:rPr>
        <w:t>49</w:t>
      </w:r>
      <w:r>
        <w:t xml:space="preserve"> This is understandable bearing in mind that there are various countries – such as Russia – which are actively antagonistic towards the EU. While EU data laws have the potential to facilitate access to data by EU member states, it is quite possible – even likely – that they will hamper non-EU states from being able to access data. </w:t>
      </w:r>
    </w:p>
    <w:p w14:paraId="59BC777B" w14:textId="77777777" w:rsidR="008D0C88" w:rsidRDefault="00000000">
      <w:pPr>
        <w:ind w:left="0" w:right="0" w:firstLine="240"/>
      </w:pPr>
      <w:r>
        <w:t xml:space="preserve">For example, Article 32(1) of the DA provides that data processing services must take ‘all adequate technical, organisational and legal measures, including contracts, in order to prevent international and third-country governmental access and transfer of non-personal data held in the Union where such transfer or access would create a conflict with Union law or with the national law of the relevant Member State’. It is likely that there will be a great deal of uncertainty as to what ‘adequate’ measures are that need to be taken and how these measures differ from the requirements of international transfers in terms of the GDPR. In the face of this uncertainty, it will simply be easier (and more legally certain) for </w:t>
      </w:r>
      <w:r>
        <w:lastRenderedPageBreak/>
        <w:t xml:space="preserve">researchers to collaborate with their peers in Europe. This has the potential to lump African researchers into the same basket as Russian researchers. </w:t>
      </w:r>
    </w:p>
    <w:p w14:paraId="2E408B64" w14:textId="77777777" w:rsidR="008D0C88" w:rsidRDefault="00000000">
      <w:pPr>
        <w:spacing w:after="300"/>
        <w:ind w:left="0" w:right="0" w:firstLine="240"/>
      </w:pPr>
      <w:r>
        <w:t xml:space="preserve">At a high level, Article 32 of the DA is mostly aimed at administrative bodies, such as a regulator or the courts and tribunals of a foreign country, rather than researchers or their organization. But what about local legal and political interference </w:t>
      </w:r>
      <w:proofErr w:type="gramStart"/>
      <w:r>
        <w:t>with regard to</w:t>
      </w:r>
      <w:proofErr w:type="gramEnd"/>
      <w:r>
        <w:t xml:space="preserve"> African researchers? </w:t>
      </w:r>
    </w:p>
    <w:p w14:paraId="7D304FC5" w14:textId="77777777" w:rsidR="008D0C88" w:rsidRDefault="00000000">
      <w:pPr>
        <w:pStyle w:val="Heading2"/>
        <w:ind w:left="-5"/>
      </w:pPr>
      <w:r>
        <w:t>Political Interference with African Researchers</w:t>
      </w:r>
    </w:p>
    <w:p w14:paraId="41712D9B" w14:textId="77777777" w:rsidR="008D0C88" w:rsidRDefault="00000000">
      <w:pPr>
        <w:spacing w:after="416"/>
        <w:ind w:right="0"/>
      </w:pPr>
      <w:r>
        <w:t>If an African researcher enters into an agreement with their European counterpart to engage in a joint research project, it would be much easier for the African administrative authority or court to order the local researcher to divulge the product data than to attempt to prosecute the same case in Europe. This then creates another problem, where it is not the integrity of the researcher but rather the political and legislative climate of the country in which the African researcher resides that is of concern. This seems borne out by the Scholars at Risk (SAR) network which found that of the 285 reported attacks on higher education in 2021, 76 of these (or 26 per cent) came from African countries.</w:t>
      </w:r>
      <w:r>
        <w:rPr>
          <w:sz w:val="19"/>
          <w:vertAlign w:val="superscript"/>
        </w:rPr>
        <w:t>50</w:t>
      </w:r>
      <w:r>
        <w:t xml:space="preserve"> A specific example can be found in Egypt where four members of the intellectual community – two professors, a human rights activist, and a novelist – were also arrested for demanding that the state take measures to guard against COVID-19 outbreaks in prison.</w:t>
      </w:r>
      <w:r>
        <w:rPr>
          <w:sz w:val="19"/>
          <w:vertAlign w:val="superscript"/>
        </w:rPr>
        <w:t>51</w:t>
      </w:r>
      <w:r>
        <w:t xml:space="preserve"> This then raises the – unfortunately realistic – fear that it is not only the integrity of the African researcher that is of concern but also the likelihood of state or political interference that must be considered before deciding to share data with an African researcher. </w:t>
      </w:r>
    </w:p>
    <w:p w14:paraId="2DEF6282" w14:textId="77777777" w:rsidR="008D0C88" w:rsidRDefault="00000000">
      <w:pPr>
        <w:pStyle w:val="Heading1"/>
        <w:ind w:left="-5"/>
      </w:pPr>
      <w:r>
        <w:t>Administrative Burden</w:t>
      </w:r>
    </w:p>
    <w:p w14:paraId="53A2EED7" w14:textId="77777777" w:rsidR="008D0C88" w:rsidRDefault="00000000">
      <w:pPr>
        <w:ind w:right="0"/>
      </w:pPr>
      <w:r>
        <w:t xml:space="preserve">Starting with the DA, the administrative burden on African researchers to get access to data is </w:t>
      </w:r>
      <w:proofErr w:type="gramStart"/>
      <w:r>
        <w:t>similar to</w:t>
      </w:r>
      <w:proofErr w:type="gramEnd"/>
      <w:r>
        <w:t xml:space="preserve"> obtaining a Schengen visa for data. While this may not seem to be a large obstacle, this can amount to a significant barrier for African researchers and could well result in EU–African collaboration becoming undesirable. Certainly, it is less than clear that the claimed benefits of the DA will ‘far outweigh the associated administrative costs’</w:t>
      </w:r>
      <w:r>
        <w:rPr>
          <w:sz w:val="19"/>
          <w:vertAlign w:val="superscript"/>
        </w:rPr>
        <w:t>52</w:t>
      </w:r>
      <w:r>
        <w:t xml:space="preserve"> for African researchers. On the contrary, it seems likely that the introduction of the EU data laws will amount to something akin to a non-tariff trade barrier for African researchers. </w:t>
      </w:r>
    </w:p>
    <w:p w14:paraId="2CB1913D" w14:textId="77777777" w:rsidR="008D0C88" w:rsidRDefault="00000000">
      <w:pPr>
        <w:ind w:left="0" w:right="0" w:firstLine="240"/>
      </w:pPr>
      <w:r>
        <w:t>Similarly, the DSA refers to ‘vetted’ researchers,</w:t>
      </w:r>
      <w:r>
        <w:rPr>
          <w:sz w:val="19"/>
          <w:vertAlign w:val="superscript"/>
        </w:rPr>
        <w:t>53</w:t>
      </w:r>
      <w:r>
        <w:t xml:space="preserve"> and it is only a researcher who has achieved this status who has the right to access data from the VLOPs (such as Google). Article 40(8) sets out seven requirements for a researcher to be granted the status of a ‘vetted’ researcher, which include data security and </w:t>
      </w:r>
      <w:r>
        <w:lastRenderedPageBreak/>
        <w:t xml:space="preserve">confidentiality requirements that African researchers may struggle to achieve. However, a more serious obstacle facing an African researcher is the requirement that ‘the sole purpose of conducting research [must be] that [it] contributes to the detection, identification and understanding of systemic risks </w:t>
      </w:r>
      <w:r>
        <w:rPr>
          <w:i/>
        </w:rPr>
        <w:t>in the Union</w:t>
      </w:r>
      <w:r>
        <w:t>’.</w:t>
      </w:r>
      <w:r>
        <w:rPr>
          <w:sz w:val="19"/>
          <w:vertAlign w:val="superscript"/>
        </w:rPr>
        <w:t>54</w:t>
      </w:r>
      <w:r>
        <w:t xml:space="preserve"> This suggests that an African researcher requesting access to data to investigate systemic risks in an African country would never be considered to be ‘vetted’ as the research does not relate to the EU, which, in turn, suggests that African researchers will only be considered when the subject matter of the research involves the EU. This re-emphasises the point mentioned earlier that African researchers tend to adopt the research agenda of their international partners. </w:t>
      </w:r>
    </w:p>
    <w:p w14:paraId="331D908D" w14:textId="77777777" w:rsidR="008D0C88" w:rsidRDefault="00000000">
      <w:pPr>
        <w:spacing w:after="416"/>
        <w:ind w:left="0" w:right="0" w:firstLine="240"/>
      </w:pPr>
      <w:r>
        <w:t xml:space="preserve">To place this in perspective, a European researcher could request access to Meta’s data about election interference in the EU in terms of the DSA, but an African researcher has no similar law to ask Meta for data about election interference in Tanzania. </w:t>
      </w:r>
    </w:p>
    <w:p w14:paraId="103F3E54" w14:textId="77777777" w:rsidR="008D0C88" w:rsidRDefault="00000000">
      <w:pPr>
        <w:pStyle w:val="Heading1"/>
        <w:ind w:left="-5"/>
      </w:pPr>
      <w:r>
        <w:t>Agreement Template for Data</w:t>
      </w:r>
    </w:p>
    <w:p w14:paraId="6546CC78" w14:textId="77777777" w:rsidR="008D0C88" w:rsidRDefault="00000000">
      <w:pPr>
        <w:spacing w:after="291"/>
        <w:ind w:right="0"/>
      </w:pPr>
      <w:r>
        <w:t>One of the key aspects of the GDPR was the guideline on when to share personal data and how to manage the sharing if you, as the data controller, decide to do so. Over the years, this has become relatively mature, and tools, such as those provided by the United Kingdom’s Information Commissioner’s Office,</w:t>
      </w:r>
      <w:r>
        <w:rPr>
          <w:sz w:val="19"/>
          <w:vertAlign w:val="superscript"/>
        </w:rPr>
        <w:t>55</w:t>
      </w:r>
      <w:r>
        <w:t xml:space="preserve"> have become quite sophisticated. In contrast, there is no template for the safe transfer of product data outside of the EU, and this uncertainty as to what should form part of such an agreement will inevitably result in a reluctance to share product data outside of the EU. While personal product data is already protected by the </w:t>
      </w:r>
      <w:proofErr w:type="spellStart"/>
      <w:r>
        <w:t>crossborder</w:t>
      </w:r>
      <w:proofErr w:type="spellEnd"/>
      <w:r>
        <w:t xml:space="preserve"> restrictions in the GDPR,</w:t>
      </w:r>
      <w:r>
        <w:rPr>
          <w:sz w:val="19"/>
          <w:vertAlign w:val="superscript"/>
        </w:rPr>
        <w:t>56</w:t>
      </w:r>
      <w:r>
        <w:t xml:space="preserve"> Article 32 of the DA now introduces similar protection for non-personal product data. Indeed, the DA itself has changed substantially from its original proposal to now include multiple references to ‘model contractual terms’, but whether these will include ‘model contractual terms’ to be able to send data to an African researcher is unclear.</w:t>
      </w:r>
      <w:r>
        <w:rPr>
          <w:sz w:val="19"/>
          <w:vertAlign w:val="superscript"/>
        </w:rPr>
        <w:t>57</w:t>
      </w:r>
      <w:r>
        <w:t xml:space="preserve"> On the positive side, the duty of the commission to provide the ‘non-binding’ model contractual terms now has a deadline of 12</w:t>
      </w:r>
      <w:r>
        <w:rPr>
          <w:sz w:val="19"/>
          <w:vertAlign w:val="superscript"/>
        </w:rPr>
        <w:t xml:space="preserve"> </w:t>
      </w:r>
      <w:r>
        <w:t>September 2025.</w:t>
      </w:r>
      <w:r>
        <w:rPr>
          <w:sz w:val="19"/>
          <w:vertAlign w:val="superscript"/>
        </w:rPr>
        <w:t>58</w:t>
      </w:r>
      <w:r>
        <w:t xml:space="preserve"> A similar argument can be made for data made available in terms of the other EU Data Laws. </w:t>
      </w:r>
    </w:p>
    <w:p w14:paraId="681EFB05" w14:textId="77777777" w:rsidR="008D0C88" w:rsidRDefault="00000000">
      <w:pPr>
        <w:pStyle w:val="Heading2"/>
        <w:ind w:left="-5"/>
      </w:pPr>
      <w:r>
        <w:t>Lack of Hegemony in African Legal Systems</w:t>
      </w:r>
    </w:p>
    <w:p w14:paraId="0790F072" w14:textId="77777777" w:rsidR="008D0C88" w:rsidRDefault="00000000">
      <w:pPr>
        <w:spacing w:after="44"/>
        <w:ind w:right="0"/>
      </w:pPr>
      <w:r>
        <w:t>As the initial version of the proposed DA’s explanatory memorandum notes,</w:t>
      </w:r>
      <w:r>
        <w:rPr>
          <w:sz w:val="19"/>
          <w:vertAlign w:val="superscript"/>
        </w:rPr>
        <w:t>59</w:t>
      </w:r>
      <w:r>
        <w:t xml:space="preserve"> regulating data at an EU member level is simply not effective and would lead to higher transactional costs, lack of transparency, legal uncertainty, and undesirable </w:t>
      </w:r>
      <w:r>
        <w:lastRenderedPageBreak/>
        <w:t>forum shopping.</w:t>
      </w:r>
      <w:r>
        <w:rPr>
          <w:sz w:val="19"/>
          <w:vertAlign w:val="superscript"/>
        </w:rPr>
        <w:t>60</w:t>
      </w:r>
      <w:r>
        <w:t xml:space="preserve"> This is equally true for approaching the regulation of data at an African Union (AU) level, rather than country level, where the differences in legislation are even more pronounced, despite the recent advent of the African Continental Free Trade Area (</w:t>
      </w:r>
      <w:proofErr w:type="spellStart"/>
      <w:r>
        <w:t>AfCFTA</w:t>
      </w:r>
      <w:proofErr w:type="spellEnd"/>
      <w:r>
        <w:t>).</w:t>
      </w:r>
      <w:r>
        <w:rPr>
          <w:sz w:val="19"/>
          <w:vertAlign w:val="superscript"/>
        </w:rPr>
        <w:t>61</w:t>
      </w:r>
      <w:r>
        <w:t xml:space="preserve"> Unfortunately, the AU is nowhere close to the type of hegemony that the EU took decades to create. For example, the Convention on Cyber Security and Personal Data Protection</w:t>
      </w:r>
      <w:r>
        <w:rPr>
          <w:sz w:val="19"/>
          <w:vertAlign w:val="superscript"/>
        </w:rPr>
        <w:t>62</w:t>
      </w:r>
      <w:r>
        <w:t xml:space="preserve"> seeks to create a common vision of personal data protection and cyber security. While this convention is, with all its flaws,</w:t>
      </w:r>
      <w:r>
        <w:rPr>
          <w:sz w:val="19"/>
          <w:vertAlign w:val="superscript"/>
        </w:rPr>
        <w:t>63</w:t>
      </w:r>
      <w:r>
        <w:t xml:space="preserve"> a welcome development, some nine years after it was adopted, it only received the 15 ratifications required for it to come into force.</w:t>
      </w:r>
      <w:r>
        <w:rPr>
          <w:sz w:val="19"/>
          <w:vertAlign w:val="superscript"/>
        </w:rPr>
        <w:t>64</w:t>
      </w:r>
      <w:r>
        <w:t xml:space="preserve"> Instead, individual countries have adopted their own data protection laws which have resulted in some odd variations in data protection laws. This disharmony is illustrated by the DS-I Africa (Data Science for Health Discovery and Innovation in Africa) group tool</w:t>
      </w:r>
      <w:r>
        <w:rPr>
          <w:sz w:val="19"/>
          <w:vertAlign w:val="superscript"/>
        </w:rPr>
        <w:t>65</w:t>
      </w:r>
      <w:r>
        <w:t xml:space="preserve"> which compares the data protection laws of 12 English-speaking African countries </w:t>
      </w:r>
      <w:proofErr w:type="gramStart"/>
      <w:r>
        <w:t>in an attempt to</w:t>
      </w:r>
      <w:proofErr w:type="gramEnd"/>
      <w:r>
        <w:t xml:space="preserve"> assist a data controller to navigate their way through the disparate data protection laws. Some examples of the differences are as follows: (</w:t>
      </w:r>
      <w:r>
        <w:rPr>
          <w:i/>
        </w:rPr>
        <w:t>a</w:t>
      </w:r>
      <w:r>
        <w:t>) 3 of the 12 have a definition for pseudonymization, (</w:t>
      </w:r>
      <w:r>
        <w:rPr>
          <w:i/>
        </w:rPr>
        <w:t>b</w:t>
      </w:r>
      <w:r>
        <w:t>) personal data is sometimes referred to as ‘personal information’ and in some cases includes juristic persons,</w:t>
      </w:r>
      <w:r>
        <w:rPr>
          <w:sz w:val="19"/>
          <w:vertAlign w:val="superscript"/>
        </w:rPr>
        <w:t>66</w:t>
      </w:r>
      <w:r>
        <w:t xml:space="preserve"> and (</w:t>
      </w:r>
      <w:r>
        <w:rPr>
          <w:i/>
        </w:rPr>
        <w:t>c</w:t>
      </w:r>
      <w:r>
        <w:t>) ‘consent’ is not a defined term in Ghana’s Data Protection Act of 2012.</w:t>
      </w:r>
      <w:r>
        <w:rPr>
          <w:sz w:val="19"/>
          <w:vertAlign w:val="superscript"/>
        </w:rPr>
        <w:t>67</w:t>
      </w:r>
    </w:p>
    <w:p w14:paraId="5E650208" w14:textId="77777777" w:rsidR="008D0C88" w:rsidRDefault="00000000">
      <w:pPr>
        <w:spacing w:after="416"/>
        <w:ind w:left="0" w:right="0" w:firstLine="240"/>
      </w:pPr>
      <w:r>
        <w:t xml:space="preserve">While this illustrates the problem </w:t>
      </w:r>
      <w:proofErr w:type="gramStart"/>
      <w:r>
        <w:t>in the area of</w:t>
      </w:r>
      <w:proofErr w:type="gramEnd"/>
      <w:r>
        <w:t xml:space="preserve"> data protection, it is worth emphasizing that none of this work has been done from a holistic data regulation perspective as most African countries simply do not have laws that deal with data holistically, let alone tools which facilitate multinational comparisons in data regulation. </w:t>
      </w:r>
    </w:p>
    <w:p w14:paraId="640BC4B8" w14:textId="77777777" w:rsidR="008D0C88" w:rsidRDefault="00000000">
      <w:pPr>
        <w:pStyle w:val="Heading1"/>
        <w:ind w:left="-5"/>
      </w:pPr>
      <w:r>
        <w:t xml:space="preserve">Omission of Researcher Rights to Access Data </w:t>
      </w:r>
    </w:p>
    <w:p w14:paraId="3286C28D" w14:textId="77777777" w:rsidR="008D0C88" w:rsidRDefault="00000000">
      <w:pPr>
        <w:spacing w:after="416"/>
        <w:ind w:right="0"/>
      </w:pPr>
      <w:r>
        <w:t xml:space="preserve">Unlike the Digital Services Act, the Digital Markets Act simply omits any reference to research or researchers completely, which in turn means that researchers </w:t>
      </w:r>
      <w:proofErr w:type="gramStart"/>
      <w:r>
        <w:t>have to</w:t>
      </w:r>
      <w:proofErr w:type="gramEnd"/>
      <w:r>
        <w:t xml:space="preserve"> attempt to leverage third-party requests for information </w:t>
      </w:r>
      <w:proofErr w:type="gramStart"/>
      <w:r>
        <w:t>in order to</w:t>
      </w:r>
      <w:proofErr w:type="gramEnd"/>
      <w:r>
        <w:t xml:space="preserve"> obtain the data they require. The failure to acknowledge the useful work provided by researchers is a surprising omission in the Digital Markets Act, particularly in the context of its sister legislation. </w:t>
      </w:r>
    </w:p>
    <w:p w14:paraId="76E270CA" w14:textId="77777777" w:rsidR="008D0C88" w:rsidRDefault="00000000">
      <w:pPr>
        <w:pStyle w:val="Heading1"/>
        <w:ind w:left="-5"/>
      </w:pPr>
      <w:r>
        <w:t>No Exemption for African Researcher Access to African Data</w:t>
      </w:r>
    </w:p>
    <w:p w14:paraId="680DDFDB" w14:textId="77777777" w:rsidR="008D0C88" w:rsidRDefault="00000000">
      <w:pPr>
        <w:spacing w:after="416"/>
        <w:ind w:right="0"/>
      </w:pPr>
      <w:r>
        <w:t xml:space="preserve">While the DA does make allowances for the user to receive his or her data from the data holder, it does not facilitate access by African researchers to product </w:t>
      </w:r>
      <w:r>
        <w:lastRenderedPageBreak/>
        <w:t xml:space="preserve">data generated from their country. Article 5 allows a user to request that the data holder provide their user information to an African researcher, but obtaining multiple individual consents to access their product data in this way may often not be practical for African researchers. In theory, an African researcher would be subject to Article 6 (obligations of third parties receiving data at the request of the user), but that immediately raises the concern of the enforceability of the DA on an African researcher who is outside EU jurisdiction. The DA does not appear to deal with product data emanating from a non-EU country. For example, a French multinational company deploying smart fridges in Ghana may get considerable product data from its Ghanian users which is repatriated to France. Once the product data is in France, it is unclear if Ghanian researchers would be able to get access to this product data. </w:t>
      </w:r>
    </w:p>
    <w:p w14:paraId="7751B2BE" w14:textId="77777777" w:rsidR="008D0C88" w:rsidRDefault="00000000">
      <w:pPr>
        <w:pStyle w:val="Heading1"/>
        <w:ind w:left="-5"/>
      </w:pPr>
      <w:r>
        <w:t>Unfair Access by EU Authorities to Data Produced Outside of the EU</w:t>
      </w:r>
    </w:p>
    <w:p w14:paraId="1443093B" w14:textId="77777777" w:rsidR="008D0C88" w:rsidRDefault="00000000">
      <w:pPr>
        <w:ind w:right="0"/>
      </w:pPr>
      <w:r>
        <w:t>While the DA does require data holders to provide information to EU public sector bodies, it is not clear that the data must emanate from within the EU. Consider a situation where EU health authorities are concerned that there is an outbreak of foot-and-mouth disease in Rwanda, but this is denied by the local Rwandan public authority. The EU health authority may well want to requisition product data from German vaccine producers</w:t>
      </w:r>
      <w:r>
        <w:rPr>
          <w:sz w:val="19"/>
          <w:vertAlign w:val="superscript"/>
        </w:rPr>
        <w:t>68</w:t>
      </w:r>
      <w:r>
        <w:t xml:space="preserve"> </w:t>
      </w:r>
      <w:proofErr w:type="gramStart"/>
      <w:r>
        <w:t>in order to</w:t>
      </w:r>
      <w:proofErr w:type="gramEnd"/>
      <w:r>
        <w:t xml:space="preserve"> discover that the number of requests for vaccines in Rwanda has increased substantially, supporting a move by the EU health authorities to ban Rwandan meat products. Even more pernicious is the fact that this product data may have no personal data component, which could result in the EU authorities having better data on situations in the African countries than the African country itself.</w:t>
      </w:r>
    </w:p>
    <w:p w14:paraId="6AC5C69E" w14:textId="77777777" w:rsidR="008D0C88" w:rsidRDefault="00000000">
      <w:pPr>
        <w:pStyle w:val="Heading1"/>
        <w:ind w:left="-5"/>
      </w:pPr>
      <w:r>
        <w:t>The African Union Data Policy Framework</w:t>
      </w:r>
    </w:p>
    <w:p w14:paraId="40617F5A" w14:textId="77777777" w:rsidR="008D0C88" w:rsidRDefault="00000000">
      <w:pPr>
        <w:ind w:right="0"/>
      </w:pPr>
      <w:r>
        <w:t xml:space="preserve">Up to this point, the focus has been on the digital strategy that the EU has adopted and how it has put this into practice. As pointed out previously, there is good reason to believe that African countries will follow a similar path due to the Brussels effect, and this portion of the chapter is dedicated to extrapolating what effect EU data laws will have on African researchers. </w:t>
      </w:r>
    </w:p>
    <w:p w14:paraId="775F855F" w14:textId="77777777" w:rsidR="008D0C88" w:rsidRDefault="00000000">
      <w:pPr>
        <w:ind w:left="0" w:right="0" w:firstLine="240"/>
      </w:pPr>
      <w:r>
        <w:t xml:space="preserve">As already noted, African countries have finally caught up with the concept of protecting the data of individuals. However, there is a danger that data governance is considered solely from the perspective of the privacy of individuals, rather than from a more complex multidimensional legal approach. Not only does data have privacy considerations, but it also raises questions </w:t>
      </w:r>
      <w:r>
        <w:lastRenderedPageBreak/>
        <w:t>relating to other areas of law,</w:t>
      </w:r>
      <w:r>
        <w:rPr>
          <w:sz w:val="19"/>
          <w:vertAlign w:val="superscript"/>
        </w:rPr>
        <w:t>69</w:t>
      </w:r>
      <w:r>
        <w:t xml:space="preserve"> including competition law, consumer law, intellectual property law, and taxation. </w:t>
      </w:r>
    </w:p>
    <w:p w14:paraId="268C7A02" w14:textId="77777777" w:rsidR="008D0C88" w:rsidRDefault="00000000">
      <w:pPr>
        <w:ind w:left="0" w:right="0" w:firstLine="240"/>
      </w:pPr>
      <w:r>
        <w:t>The DA</w:t>
      </w:r>
      <w:r>
        <w:rPr>
          <w:sz w:val="19"/>
          <w:vertAlign w:val="superscript"/>
        </w:rPr>
        <w:t>70</w:t>
      </w:r>
      <w:r>
        <w:t xml:space="preserve"> has the potential to have a similar impact on African countries which have a demonstrable difficulty in keeping up with the regulation of technology. Put simply, the DA has the potential to regulate a sector of the (data) economy which African countries have not addressed at all. The purpose of this chapter is, at least in part, to stimulate discussion of the regulation of data holistically in Africa </w:t>
      </w:r>
      <w:proofErr w:type="gramStart"/>
      <w:r>
        <w:t>in order to</w:t>
      </w:r>
      <w:proofErr w:type="gramEnd"/>
      <w:r>
        <w:t xml:space="preserve"> avoid a situation where African countries are, once again, late to the party and caught with their proverbial pants down. That said, this chapter does not attempt to address every issue influencing data </w:t>
      </w:r>
      <w:proofErr w:type="gramStart"/>
      <w:r>
        <w:t>regulation, but</w:t>
      </w:r>
      <w:proofErr w:type="gramEnd"/>
      <w:r>
        <w:t xml:space="preserve"> rather focuses on the impact of insufficient protection of, and access to, data by researchers in Africa. </w:t>
      </w:r>
    </w:p>
    <w:p w14:paraId="76317929" w14:textId="77777777" w:rsidR="008D0C88" w:rsidRDefault="00000000">
      <w:pPr>
        <w:spacing w:after="45"/>
        <w:ind w:left="0" w:right="0" w:firstLine="240"/>
      </w:pPr>
      <w:r>
        <w:t>While African countries have not yet caught up with the developments in data regulation, it is heartening that the recent African Union Data Policy Framework (AUDPF), which was released in February 2022, is fully aware of the multidimensional nature of data.</w:t>
      </w:r>
      <w:r>
        <w:rPr>
          <w:sz w:val="19"/>
          <w:vertAlign w:val="superscript"/>
        </w:rPr>
        <w:t>71</w:t>
      </w:r>
      <w:r>
        <w:t xml:space="preserve"> The AUDPF notes that there are no global examples of umbrella laws which regulate every aspect of data, but rather data is regulated in data protection law, competition law, cyber security law, electronic communications and transactions law, and intellectual property law,</w:t>
      </w:r>
      <w:r>
        <w:rPr>
          <w:sz w:val="19"/>
          <w:vertAlign w:val="superscript"/>
        </w:rPr>
        <w:t>72</w:t>
      </w:r>
      <w:r>
        <w:t xml:space="preserve"> and so regulatory bodies in these areas need to coordinate their actions.</w:t>
      </w:r>
      <w:r>
        <w:rPr>
          <w:sz w:val="19"/>
          <w:vertAlign w:val="superscript"/>
        </w:rPr>
        <w:t>73</w:t>
      </w:r>
      <w:r>
        <w:t xml:space="preserve"> While acknowledging that African countries have less developed laws on competition, data, and intellectual property, the AUDPF sees this as an opportunity to harmonize legislation between African states.</w:t>
      </w:r>
      <w:r>
        <w:rPr>
          <w:sz w:val="19"/>
          <w:vertAlign w:val="superscript"/>
        </w:rPr>
        <w:t>74</w:t>
      </w:r>
    </w:p>
    <w:p w14:paraId="63022350" w14:textId="77777777" w:rsidR="008D0C88" w:rsidRDefault="00000000">
      <w:pPr>
        <w:ind w:left="0" w:right="0" w:firstLine="240"/>
      </w:pPr>
      <w:r>
        <w:t>The AUDPF also confirms the Brussels effect and notes that African countries are largely standard takers, rather than standard makers,</w:t>
      </w:r>
      <w:r>
        <w:rPr>
          <w:sz w:val="19"/>
          <w:vertAlign w:val="superscript"/>
        </w:rPr>
        <w:t>75</w:t>
      </w:r>
      <w:r>
        <w:t xml:space="preserve"> and that data-rich and data-intensive developed countries tend to create regulatory precedence.</w:t>
      </w:r>
      <w:r>
        <w:rPr>
          <w:sz w:val="19"/>
          <w:vertAlign w:val="superscript"/>
        </w:rPr>
        <w:t>76</w:t>
      </w:r>
      <w:r>
        <w:t xml:space="preserve"> Despite this, the AUDPF does not suggest any method to categorize </w:t>
      </w:r>
      <w:proofErr w:type="gramStart"/>
      <w:r>
        <w:t>data, but</w:t>
      </w:r>
      <w:proofErr w:type="gramEnd"/>
      <w:r>
        <w:t xml:space="preserve"> merely states that this should be done. Indeed, categorization of data is so important that the AUDPF recommends that one of the first actions by the data Information Regulator (IR) is the categorization of data</w:t>
      </w:r>
      <w:r>
        <w:rPr>
          <w:sz w:val="19"/>
          <w:vertAlign w:val="superscript"/>
        </w:rPr>
        <w:t>77</w:t>
      </w:r>
      <w:r>
        <w:t xml:space="preserve"> and the establishment of a common data categorization and sharing framework.</w:t>
      </w:r>
      <w:r>
        <w:rPr>
          <w:sz w:val="19"/>
          <w:vertAlign w:val="superscript"/>
        </w:rPr>
        <w:t>78</w:t>
      </w:r>
      <w:r>
        <w:t xml:space="preserve"> The AUDPF also recommends that the AU should be actively lobbying the EU regarding standards and laws relating to data.</w:t>
      </w:r>
      <w:r>
        <w:rPr>
          <w:sz w:val="19"/>
          <w:vertAlign w:val="superscript"/>
        </w:rPr>
        <w:t>79</w:t>
      </w:r>
      <w:r>
        <w:t xml:space="preserve"> Thus, despite being aware of the importance of data categorization as it is the foundation upon which all controlling regulation is based, Africa still seems set to accept that the categorization of data will be imposed on it by the EU. </w:t>
      </w:r>
    </w:p>
    <w:p w14:paraId="641192D8" w14:textId="77777777" w:rsidR="008D0C88" w:rsidRDefault="00000000">
      <w:pPr>
        <w:spacing w:after="39"/>
        <w:ind w:left="0" w:right="0" w:firstLine="240"/>
      </w:pPr>
      <w:r>
        <w:t xml:space="preserve">The AUDPF also recognizes that there has been little restraint from competition or data regulators on the rise of monopolistic global platforms which are producing and extracting massive amounts of private data which has </w:t>
      </w:r>
      <w:r>
        <w:lastRenderedPageBreak/>
        <w:t>been commodified with seemingly little regard for the negative impacts on data subjects,</w:t>
      </w:r>
      <w:r>
        <w:rPr>
          <w:sz w:val="19"/>
          <w:vertAlign w:val="superscript"/>
        </w:rPr>
        <w:t>80</w:t>
      </w:r>
      <w:r>
        <w:t xml:space="preserve"> effectively making competition impossible for smaller players.</w:t>
      </w:r>
      <w:r>
        <w:rPr>
          <w:sz w:val="19"/>
          <w:vertAlign w:val="superscript"/>
        </w:rPr>
        <w:t>81</w:t>
      </w:r>
      <w:r>
        <w:t xml:space="preserve"> </w:t>
      </w:r>
    </w:p>
    <w:p w14:paraId="113B600F" w14:textId="77777777" w:rsidR="008D0C88" w:rsidRDefault="00000000">
      <w:pPr>
        <w:spacing w:after="126"/>
        <w:ind w:left="0" w:right="0" w:firstLine="240"/>
      </w:pPr>
      <w:proofErr w:type="gramStart"/>
      <w:r>
        <w:t>In order to</w:t>
      </w:r>
      <w:proofErr w:type="gramEnd"/>
      <w:r>
        <w:t xml:space="preserve"> combat this, the AUDPF provides some recommendations on steps that can be taken by African countries, including: </w:t>
      </w:r>
    </w:p>
    <w:p w14:paraId="2DE0CF08" w14:textId="77777777" w:rsidR="008D0C88" w:rsidRDefault="00000000">
      <w:pPr>
        <w:numPr>
          <w:ilvl w:val="0"/>
          <w:numId w:val="1"/>
        </w:numPr>
        <w:ind w:right="0" w:hanging="320"/>
      </w:pPr>
      <w:r>
        <w:t>The AU should be actively lobbying the EU regarding standards and laws relating to data.</w:t>
      </w:r>
      <w:r>
        <w:rPr>
          <w:sz w:val="19"/>
          <w:vertAlign w:val="superscript"/>
        </w:rPr>
        <w:t>82</w:t>
      </w:r>
      <w:r>
        <w:t xml:space="preserve"> </w:t>
      </w:r>
    </w:p>
    <w:p w14:paraId="2473267F" w14:textId="77777777" w:rsidR="008D0C88" w:rsidRDefault="00000000">
      <w:pPr>
        <w:numPr>
          <w:ilvl w:val="0"/>
          <w:numId w:val="1"/>
        </w:numPr>
        <w:ind w:right="0" w:hanging="320"/>
      </w:pPr>
      <w:r>
        <w:t>Fair contractual standards for public organizations should be created.</w:t>
      </w:r>
      <w:r>
        <w:rPr>
          <w:sz w:val="19"/>
          <w:vertAlign w:val="superscript"/>
        </w:rPr>
        <w:t>83</w:t>
      </w:r>
    </w:p>
    <w:p w14:paraId="70989FA4" w14:textId="77777777" w:rsidR="008D0C88" w:rsidRDefault="00000000">
      <w:pPr>
        <w:numPr>
          <w:ilvl w:val="0"/>
          <w:numId w:val="1"/>
        </w:numPr>
        <w:ind w:right="0" w:hanging="320"/>
      </w:pPr>
      <w:r>
        <w:t>Codes of practice for using data need to be developed.</w:t>
      </w:r>
      <w:r>
        <w:rPr>
          <w:sz w:val="19"/>
          <w:vertAlign w:val="superscript"/>
        </w:rPr>
        <w:t>84</w:t>
      </w:r>
      <w:r>
        <w:t xml:space="preserve"> </w:t>
      </w:r>
    </w:p>
    <w:p w14:paraId="2A3137B0" w14:textId="77777777" w:rsidR="008D0C88" w:rsidRDefault="00000000">
      <w:pPr>
        <w:numPr>
          <w:ilvl w:val="0"/>
          <w:numId w:val="1"/>
        </w:numPr>
        <w:ind w:right="0" w:hanging="320"/>
      </w:pPr>
      <w:r>
        <w:t>Data protection rights should be considered more important than intellectual property rights,</w:t>
      </w:r>
      <w:r>
        <w:rPr>
          <w:sz w:val="19"/>
          <w:vertAlign w:val="superscript"/>
        </w:rPr>
        <w:t>85</w:t>
      </w:r>
      <w:r>
        <w:t xml:space="preserve"> and contracts that give up digital rights, ignore personal data protection, and inhibit competition should be unenforceable.</w:t>
      </w:r>
      <w:r>
        <w:rPr>
          <w:sz w:val="19"/>
          <w:vertAlign w:val="superscript"/>
        </w:rPr>
        <w:t>86</w:t>
      </w:r>
      <w:r>
        <w:t xml:space="preserve"> </w:t>
      </w:r>
    </w:p>
    <w:p w14:paraId="3D321E00" w14:textId="77777777" w:rsidR="008D0C88" w:rsidRDefault="00000000">
      <w:pPr>
        <w:numPr>
          <w:ilvl w:val="0"/>
          <w:numId w:val="1"/>
        </w:numPr>
        <w:ind w:right="0" w:hanging="320"/>
      </w:pPr>
      <w:r>
        <w:t>Novel regulatory ideas could be tested in ‘regulatory sandboxes’.</w:t>
      </w:r>
      <w:r>
        <w:rPr>
          <w:sz w:val="19"/>
          <w:vertAlign w:val="superscript"/>
        </w:rPr>
        <w:t>87</w:t>
      </w:r>
    </w:p>
    <w:p w14:paraId="46B5AF48" w14:textId="77777777" w:rsidR="008D0C88" w:rsidRDefault="00000000">
      <w:pPr>
        <w:numPr>
          <w:ilvl w:val="0"/>
          <w:numId w:val="1"/>
        </w:numPr>
        <w:spacing w:after="49"/>
        <w:ind w:right="0" w:hanging="320"/>
      </w:pPr>
      <w:r>
        <w:t>Data trusts should be created to manage control of data rather than cede complete control to the collecting entity.</w:t>
      </w:r>
      <w:r>
        <w:rPr>
          <w:sz w:val="19"/>
          <w:vertAlign w:val="superscript"/>
        </w:rPr>
        <w:t>88</w:t>
      </w:r>
    </w:p>
    <w:p w14:paraId="4312295C" w14:textId="77777777" w:rsidR="008D0C88" w:rsidRDefault="00000000">
      <w:pPr>
        <w:numPr>
          <w:ilvl w:val="0"/>
          <w:numId w:val="1"/>
        </w:numPr>
        <w:spacing w:after="47"/>
        <w:ind w:right="0" w:hanging="320"/>
      </w:pPr>
      <w:r>
        <w:t xml:space="preserve">Universities should be included as relevant policy stakeholders to </w:t>
      </w:r>
      <w:proofErr w:type="gramStart"/>
      <w:r>
        <w:t>help  establish</w:t>
      </w:r>
      <w:proofErr w:type="gramEnd"/>
      <w:r>
        <w:t xml:space="preserve"> a knowledge base from which the local data economy can draw scientific and technological knowledge.</w:t>
      </w:r>
      <w:r>
        <w:rPr>
          <w:sz w:val="19"/>
          <w:vertAlign w:val="superscript"/>
        </w:rPr>
        <w:t>89</w:t>
      </w:r>
    </w:p>
    <w:p w14:paraId="2AC97DD9" w14:textId="77777777" w:rsidR="008D0C88" w:rsidRDefault="00000000">
      <w:pPr>
        <w:numPr>
          <w:ilvl w:val="0"/>
          <w:numId w:val="1"/>
        </w:numPr>
        <w:spacing w:after="167"/>
        <w:ind w:right="0" w:hanging="320"/>
      </w:pPr>
      <w:r>
        <w:t xml:space="preserve">The competition chapter of </w:t>
      </w:r>
      <w:proofErr w:type="spellStart"/>
      <w:r>
        <w:t>AfCFTA</w:t>
      </w:r>
      <w:proofErr w:type="spellEnd"/>
      <w:r>
        <w:t xml:space="preserve"> negotiations should set </w:t>
      </w:r>
      <w:proofErr w:type="gramStart"/>
      <w:r>
        <w:t>minimum  standards</w:t>
      </w:r>
      <w:proofErr w:type="gramEnd"/>
      <w:r>
        <w:t xml:space="preserve"> to ensure that putative proprietary non-personal data is available to innovators, entrepreneurs, and others in the value chain to encourage competition across the continent.</w:t>
      </w:r>
      <w:r>
        <w:rPr>
          <w:sz w:val="19"/>
          <w:vertAlign w:val="superscript"/>
        </w:rPr>
        <w:t>90</w:t>
      </w:r>
    </w:p>
    <w:p w14:paraId="0EEDB5FE" w14:textId="77777777" w:rsidR="008D0C88" w:rsidRDefault="00000000">
      <w:pPr>
        <w:ind w:left="0" w:right="0" w:firstLine="240"/>
      </w:pPr>
      <w:r>
        <w:t xml:space="preserve">In short, what the AUDPF has done is begin the conversation about regulating other aspects of data aside from the perspective of privacy, but African countries are years away from implementing legislation that deals with data holistically. Even if African countries were able to implement legislation similar to that put into place by the EU, it is unclear whether this would be desirable as African countries typically have far fewer funds available for regulatory bodies, and the EU itself is not sure what the impact of the data legislation in the EU will be; following too quickly in EU footsteps may ironically result in African countries taking the wrong path. </w:t>
      </w:r>
    </w:p>
    <w:p w14:paraId="506B81AD" w14:textId="77777777" w:rsidR="008D0C88" w:rsidRDefault="00000000">
      <w:pPr>
        <w:spacing w:after="416"/>
        <w:ind w:left="0" w:right="0" w:firstLine="240"/>
      </w:pPr>
      <w:r>
        <w:t>Consider, for example, the South African IR, which is the implementation mechanism of the South African Protection of Personal Information Act (POPIA) of 2020. In 2021–2022, the IR had a budget of approximately EUR 4.3 million</w:t>
      </w:r>
      <w:r>
        <w:rPr>
          <w:sz w:val="19"/>
          <w:vertAlign w:val="superscript"/>
        </w:rPr>
        <w:t>91</w:t>
      </w:r>
      <w:r>
        <w:t xml:space="preserve"> while the French data protection agency, Commission </w:t>
      </w:r>
      <w:proofErr w:type="spellStart"/>
      <w:r>
        <w:t>nationale</w:t>
      </w:r>
      <w:proofErr w:type="spellEnd"/>
      <w:r>
        <w:t xml:space="preserve"> de </w:t>
      </w:r>
      <w:proofErr w:type="spellStart"/>
      <w:r>
        <w:t>l’informatique</w:t>
      </w:r>
      <w:proofErr w:type="spellEnd"/>
      <w:r>
        <w:t xml:space="preserve"> et des </w:t>
      </w:r>
      <w:proofErr w:type="spellStart"/>
      <w:r>
        <w:t>libertés</w:t>
      </w:r>
      <w:proofErr w:type="spellEnd"/>
      <w:r>
        <w:t xml:space="preserve"> (National Commission on Informatics and Liberty, CNIL), had a budget of EUR 24 million.</w:t>
      </w:r>
      <w:r>
        <w:rPr>
          <w:sz w:val="19"/>
          <w:vertAlign w:val="superscript"/>
        </w:rPr>
        <w:t>92</w:t>
      </w:r>
      <w:r>
        <w:t xml:space="preserve"> What is particularly startling about this disparity is that France and South Africa have a very similar population size </w:t>
      </w:r>
      <w:r>
        <w:lastRenderedPageBreak/>
        <w:t xml:space="preserve">(approximately 63 million people), and yet the IR is expected to do the same work as the CNIL but with a fifth of the budget. Even a cursory look at each of the EU data laws already dealt with makes it clear that a crucial role is played by the regulatory bodies tasked with enforcing them. How precisely should African countries implement similar data laws if they will never have the funds to enforce them? </w:t>
      </w:r>
    </w:p>
    <w:p w14:paraId="475AB0B9" w14:textId="77777777" w:rsidR="008D0C88" w:rsidRDefault="00000000">
      <w:pPr>
        <w:pStyle w:val="Heading1"/>
        <w:ind w:left="-5"/>
      </w:pPr>
      <w:r>
        <w:t>Cutting through the Red Tape: Enabling African Researcher Access</w:t>
      </w:r>
    </w:p>
    <w:p w14:paraId="7D3A921A" w14:textId="77777777" w:rsidR="008D0C88" w:rsidRDefault="00000000">
      <w:pPr>
        <w:spacing w:after="416"/>
        <w:ind w:right="0"/>
      </w:pPr>
      <w:r>
        <w:t xml:space="preserve">Up to this point, this chapter has focused on the – possibly unintended – barriers to data access for African researchers. The following section provides some suggestions on how to reduce the barriers for African researchers and further argues that, due to the Brussels effect which has introduced a kind of legislative neo-colonialism, Europe has a moral duty to expand its impact analysis of the EU data laws on the effect of these laws outside EU borders. </w:t>
      </w:r>
    </w:p>
    <w:p w14:paraId="4B03FB09" w14:textId="77777777" w:rsidR="008D0C88" w:rsidRDefault="00000000">
      <w:pPr>
        <w:pStyle w:val="Heading1"/>
        <w:ind w:left="-5"/>
      </w:pPr>
      <w:r>
        <w:t>Standard Contractual Clauses for Transfers of Data</w:t>
      </w:r>
    </w:p>
    <w:p w14:paraId="72C27164" w14:textId="77777777" w:rsidR="008D0C88" w:rsidRDefault="00000000">
      <w:pPr>
        <w:spacing w:after="417"/>
        <w:ind w:right="0"/>
      </w:pPr>
      <w:r>
        <w:t>Despite there being considerable notice of the transition from Directive 95/46/ EC</w:t>
      </w:r>
      <w:r>
        <w:rPr>
          <w:sz w:val="19"/>
          <w:vertAlign w:val="superscript"/>
        </w:rPr>
        <w:t>93</w:t>
      </w:r>
      <w:r>
        <w:t xml:space="preserve"> to the GDPR in 2018, the standard contractual clauses for data transfers were only updated three years later.</w:t>
      </w:r>
      <w:r>
        <w:rPr>
          <w:sz w:val="19"/>
          <w:vertAlign w:val="superscript"/>
        </w:rPr>
        <w:t>94</w:t>
      </w:r>
      <w:r>
        <w:t xml:space="preserve"> Thereafter, in 2023, the first model template for the sharing of personal data by researchers, which combines the GDPR and the POPIA, was published in February 2023 by the DS-I Africa Law project.</w:t>
      </w:r>
      <w:r>
        <w:rPr>
          <w:sz w:val="19"/>
          <w:vertAlign w:val="superscript"/>
        </w:rPr>
        <w:t>95</w:t>
      </w:r>
      <w:r>
        <w:t xml:space="preserve"> While this effort is to be commended, this template does not, understandably, even attempt to either define or deal with the concept of ‘product data’ or ‘exportable data’ which researchers may need to access. </w:t>
      </w:r>
      <w:proofErr w:type="gramStart"/>
      <w:r>
        <w:t>In order to</w:t>
      </w:r>
      <w:proofErr w:type="gramEnd"/>
      <w:r>
        <w:t xml:space="preserve"> facilitate African researcher access, it would be helpful if this template were to be updated to consider the requirements of different types of data, so it is considered holistically rather than only from a privacy perspective. It would also be helpful if the standard contractual clauses for the transfer of product data would be made available by the EU in a much shorter time frame, </w:t>
      </w:r>
      <w:proofErr w:type="gramStart"/>
      <w:r>
        <w:t>in order to</w:t>
      </w:r>
      <w:proofErr w:type="gramEnd"/>
      <w:r>
        <w:t xml:space="preserve"> provide some assistance to African researchers wishing to access data. </w:t>
      </w:r>
    </w:p>
    <w:p w14:paraId="28850377" w14:textId="77777777" w:rsidR="008D0C88" w:rsidRDefault="00000000">
      <w:pPr>
        <w:pStyle w:val="Heading1"/>
        <w:ind w:left="-5"/>
      </w:pPr>
      <w:r>
        <w:t>Code of Conduct for Researchers</w:t>
      </w:r>
    </w:p>
    <w:p w14:paraId="11E2A28E" w14:textId="77777777" w:rsidR="008D0C88" w:rsidRDefault="00000000">
      <w:pPr>
        <w:ind w:right="0"/>
      </w:pPr>
      <w:r>
        <w:t xml:space="preserve">One way to ease the burden on African researchers would be for the EU to provide a guideline that researchers, governed by an approved code of conduct, </w:t>
      </w:r>
      <w:r>
        <w:lastRenderedPageBreak/>
        <w:t>would be able to receive data; or, put differently, researchers governed by that code of conduct would be considered to pass the test of Article 32(1) of the DA that says ‘all adequate technical, organisational and legal measures, including contracts, in order to prevent international and third-country governmental access and transfer of non-personal data held in the Union where such transfer or access would create a conflict with Union law or with the national law of the relevant Member State’</w:t>
      </w:r>
      <w:r>
        <w:rPr>
          <w:i/>
        </w:rPr>
        <w:t xml:space="preserve">. </w:t>
      </w:r>
    </w:p>
    <w:p w14:paraId="3E82EF83" w14:textId="77777777" w:rsidR="008D0C88" w:rsidRDefault="00000000">
      <w:pPr>
        <w:spacing w:after="416"/>
        <w:ind w:left="0" w:right="0" w:firstLine="240"/>
      </w:pPr>
      <w:r>
        <w:t>At present there are not many codes of conduct, and those that do exist are intended to address data protection, rather than data holistically. One such example is the draft Code of Conduct for Research promulgated in terms of the POPIA.</w:t>
      </w:r>
      <w:r>
        <w:rPr>
          <w:sz w:val="19"/>
          <w:vertAlign w:val="superscript"/>
        </w:rPr>
        <w:t>96</w:t>
      </w:r>
      <w:r>
        <w:t xml:space="preserve"> While this code does introduce concepts that are not present in its enabling legislation (such as pseudonymization),</w:t>
      </w:r>
      <w:r>
        <w:rPr>
          <w:sz w:val="19"/>
          <w:vertAlign w:val="superscript"/>
        </w:rPr>
        <w:t>97</w:t>
      </w:r>
      <w:r>
        <w:t xml:space="preserve"> it is clearly focused on personal data</w:t>
      </w:r>
      <w:r>
        <w:rPr>
          <w:sz w:val="19"/>
          <w:vertAlign w:val="superscript"/>
        </w:rPr>
        <w:t>98</w:t>
      </w:r>
      <w:r>
        <w:t xml:space="preserve"> and does not consider other data and how this would be managed for the purposes of research. As with the standard contractual clauses mentioned earlier, this may well be the time to start considering a holistic code of conduct that deals with all data types. </w:t>
      </w:r>
    </w:p>
    <w:p w14:paraId="402B4AD5" w14:textId="77777777" w:rsidR="008D0C88" w:rsidRDefault="00000000">
      <w:pPr>
        <w:pStyle w:val="Heading1"/>
        <w:ind w:left="-5"/>
      </w:pPr>
      <w:r>
        <w:t xml:space="preserve">AU Conventions Dealing with Data </w:t>
      </w:r>
    </w:p>
    <w:p w14:paraId="57E2A9D7" w14:textId="77777777" w:rsidR="008D0C88" w:rsidRDefault="00000000">
      <w:pPr>
        <w:ind w:right="0"/>
      </w:pPr>
      <w:r>
        <w:t>The AUDPF is a very useful and necessary step in the development of African policy on data, but it does come several years after the same step was taken by the European strategy for data. In a manner similar to the Malabo Convention, it may be useful for the AU to propose a convention which would incorporate the concepts put forth in the DSA,</w:t>
      </w:r>
      <w:r>
        <w:rPr>
          <w:sz w:val="19"/>
          <w:vertAlign w:val="superscript"/>
        </w:rPr>
        <w:t>99</w:t>
      </w:r>
      <w:r>
        <w:t xml:space="preserve"> the DMA,</w:t>
      </w:r>
      <w:r>
        <w:rPr>
          <w:sz w:val="19"/>
          <w:vertAlign w:val="superscript"/>
        </w:rPr>
        <w:t>100</w:t>
      </w:r>
      <w:r>
        <w:t xml:space="preserve"> the AIA,</w:t>
      </w:r>
      <w:r>
        <w:rPr>
          <w:sz w:val="19"/>
          <w:vertAlign w:val="superscript"/>
        </w:rPr>
        <w:t>101</w:t>
      </w:r>
      <w:r>
        <w:t xml:space="preserve"> and the DA.</w:t>
      </w:r>
      <w:r>
        <w:rPr>
          <w:sz w:val="19"/>
          <w:vertAlign w:val="superscript"/>
        </w:rPr>
        <w:t>102</w:t>
      </w:r>
      <w:r>
        <w:t xml:space="preserve"> That said, the pace of the ratification of the Malabo Convention would suggest that it would take decades before conventions of this nature would be adopted and ratified. </w:t>
      </w:r>
    </w:p>
    <w:p w14:paraId="2D9A7C7E" w14:textId="77777777" w:rsidR="008D0C88" w:rsidRDefault="00000000">
      <w:pPr>
        <w:spacing w:after="426"/>
        <w:ind w:left="0" w:right="0" w:firstLine="240"/>
      </w:pPr>
      <w:r>
        <w:t>Interestingly, the AUDPF suggests that the use of a ‘regulatory sandbox’ could be appropriate for situations such as these.</w:t>
      </w:r>
      <w:r>
        <w:rPr>
          <w:sz w:val="19"/>
          <w:vertAlign w:val="superscript"/>
        </w:rPr>
        <w:t>103</w:t>
      </w:r>
      <w:r>
        <w:t xml:space="preserve"> Regulatory sandboxes are a regulatory approach, typically summarized in writing and published, that allow live, timebound testing of innovations under a regulator’s oversight. Novel financial products, technologies, and business models can be tested under a set of rules, supervision requirements, and appropriate safeguards. This has the benefit of encouraging experimentation, reducing barriers to entry, and allowing regulators to get valuable insight into how to regulate the sector. In 2018, approximately 20 countries were actively exploring the concept of regulatory sandboxes.</w:t>
      </w:r>
      <w:r>
        <w:rPr>
          <w:sz w:val="19"/>
          <w:vertAlign w:val="superscript"/>
        </w:rPr>
        <w:t>104</w:t>
      </w:r>
    </w:p>
    <w:p w14:paraId="1AA6AA05" w14:textId="77777777" w:rsidR="008D0C88" w:rsidRDefault="00000000">
      <w:pPr>
        <w:spacing w:after="3" w:line="254" w:lineRule="auto"/>
        <w:ind w:left="-5" w:right="0"/>
        <w:jc w:val="left"/>
      </w:pPr>
      <w:r>
        <w:rPr>
          <w:rFonts w:ascii="Times New Roman" w:eastAsia="Times New Roman" w:hAnsi="Times New Roman" w:cs="Times New Roman"/>
          <w:b/>
          <w:sz w:val="30"/>
        </w:rPr>
        <w:t xml:space="preserve">Evaluation of Impact of Data Laws on African </w:t>
      </w:r>
    </w:p>
    <w:p w14:paraId="06D536CB" w14:textId="77777777" w:rsidR="008D0C88" w:rsidRDefault="00000000">
      <w:pPr>
        <w:pStyle w:val="Heading1"/>
        <w:ind w:left="-5"/>
      </w:pPr>
      <w:r>
        <w:lastRenderedPageBreak/>
        <w:t>Countries</w:t>
      </w:r>
    </w:p>
    <w:p w14:paraId="3CA3CD55" w14:textId="77777777" w:rsidR="008D0C88" w:rsidRDefault="00000000">
      <w:pPr>
        <w:ind w:right="0"/>
      </w:pPr>
      <w:r>
        <w:t>Bearing in mind the novelty of the data laws, the EU wisely commissioned impact assessments and conducted participant studies and questionnaires over several years – for example, on the impact of the DA – but all of these were from an EU member country’s perspective.</w:t>
      </w:r>
      <w:r>
        <w:rPr>
          <w:sz w:val="19"/>
          <w:vertAlign w:val="superscript"/>
        </w:rPr>
        <w:t>105</w:t>
      </w:r>
      <w:r>
        <w:t xml:space="preserve"> Unsurprisingly, this impact assessment did not meaningfully address the possible impact that the EU data laws could have on Africa and on African researchers.</w:t>
      </w:r>
      <w:r>
        <w:rPr>
          <w:sz w:val="19"/>
          <w:vertAlign w:val="superscript"/>
        </w:rPr>
        <w:t>106</w:t>
      </w:r>
      <w:r>
        <w:t xml:space="preserve"> This does not mean that EU data laws will not have an impact on Africa – just that there is no plan to measure it. </w:t>
      </w:r>
    </w:p>
    <w:p w14:paraId="73090992" w14:textId="77777777" w:rsidR="008D0C88" w:rsidRDefault="00000000">
      <w:pPr>
        <w:ind w:left="0" w:right="0" w:firstLine="240"/>
      </w:pPr>
      <w:r>
        <w:t xml:space="preserve">The EU also created a mechanism of ex-post evaluations </w:t>
      </w:r>
      <w:proofErr w:type="gramStart"/>
      <w:r>
        <w:t>in order to</w:t>
      </w:r>
      <w:proofErr w:type="gramEnd"/>
      <w:r>
        <w:t xml:space="preserve"> assess whether the objectives of EU data laws were, in fact, being realized. Once again, this is an entirely logical approach to developing novel regulations and appears to be standard practice for the EU. In contrast, while it is undoubtably a wise plan to commission both impact assessments and ex-post evaluations of legislation, in practice this tends not to be done for African countries, even for legislation that they themselves are implementing. As a result, there is a vanishingly small chance that the impact of EU data laws has been assessed by any African country, and it is also unlikely that any plans exist to evaluate the impact of EU data laws once they come into force. Instead, African countries and researchers are likely to start experiencing difficulties in an anecdotal way, </w:t>
      </w:r>
      <w:proofErr w:type="gramStart"/>
      <w:r>
        <w:t>similar to</w:t>
      </w:r>
      <w:proofErr w:type="gramEnd"/>
      <w:r>
        <w:t xml:space="preserve"> what they probably experienced when first encountering personal data protection laws. </w:t>
      </w:r>
    </w:p>
    <w:p w14:paraId="3CC1221F" w14:textId="77777777" w:rsidR="008D0C88" w:rsidRDefault="00000000">
      <w:pPr>
        <w:spacing w:after="415"/>
        <w:ind w:left="0" w:right="0" w:firstLine="240"/>
      </w:pPr>
      <w:r>
        <w:t xml:space="preserve">While it may be too late to commission an impact assessment, an ex-post evaluation on the impact of EU data laws on African countries, companies, and individuals would be most useful to understand the local conditions and implications of regulating data </w:t>
      </w:r>
      <w:proofErr w:type="gramStart"/>
      <w:r>
        <w:t>and also</w:t>
      </w:r>
      <w:proofErr w:type="gramEnd"/>
      <w:r>
        <w:t xml:space="preserve"> the results of failing to do so. This has the potential added benefit of increasing regulatory harmony between African countries and the EU, which, in turn, would facilitate data transfer. Indeed, the implications of failing to consider and implement similar laws within African countries could well lead to a missed opportunity, particularly when, for example, the EU estimates that unused product data has the potential to unlock EUR 1.5 trillion (USD 15.842 trillion)</w:t>
      </w:r>
      <w:r>
        <w:rPr>
          <w:sz w:val="19"/>
          <w:vertAlign w:val="superscript"/>
        </w:rPr>
        <w:t>107</w:t>
      </w:r>
      <w:r>
        <w:t xml:space="preserve"> of value by 2027.</w:t>
      </w:r>
      <w:r>
        <w:rPr>
          <w:sz w:val="19"/>
          <w:vertAlign w:val="superscript"/>
        </w:rPr>
        <w:t>108</w:t>
      </w:r>
      <w:r>
        <w:t xml:space="preserve"> To put this in some perspective, the country with the highest gross domestic product (GDP) in Africa is Nigeria at USD 441 billion,</w:t>
      </w:r>
      <w:r>
        <w:rPr>
          <w:sz w:val="19"/>
          <w:vertAlign w:val="superscript"/>
        </w:rPr>
        <w:t>109</w:t>
      </w:r>
      <w:r>
        <w:t xml:space="preserve"> and the combined GDP of all African countries in 2021 amounted to USD 2.7 trillion. This means that the value of unused product data in Europe is equal to approximately half the GDP of the African continent.</w:t>
      </w:r>
    </w:p>
    <w:p w14:paraId="5846D14F" w14:textId="77777777" w:rsidR="008D0C88" w:rsidRDefault="00000000">
      <w:pPr>
        <w:pStyle w:val="Heading1"/>
        <w:ind w:left="-5"/>
      </w:pPr>
      <w:r>
        <w:lastRenderedPageBreak/>
        <w:t>Conclusion</w:t>
      </w:r>
    </w:p>
    <w:p w14:paraId="2FD89991" w14:textId="77777777" w:rsidR="008D0C88" w:rsidRDefault="00000000">
      <w:pPr>
        <w:spacing w:after="34"/>
        <w:ind w:right="0"/>
      </w:pPr>
      <w:r>
        <w:t>By pioneering the need to unlock the value of data, the EU has a first-mover advantage over African countries. African countries, on the other hand, are desperately trying to keep pace with the speed of changes in the regulation of data. The EU should have, at least, some empathy for Africa because it was the EU that suffered from not being the first mover when it came to technical innovations, which may account for so many US tech companies and so few EU tech companies in the top 20 global tech companies.</w:t>
      </w:r>
      <w:r>
        <w:rPr>
          <w:sz w:val="19"/>
          <w:vertAlign w:val="superscript"/>
        </w:rPr>
        <w:t>110</w:t>
      </w:r>
      <w:r>
        <w:t xml:space="preserve"> </w:t>
      </w:r>
    </w:p>
    <w:p w14:paraId="23882FA9" w14:textId="77777777" w:rsidR="008D0C88" w:rsidRDefault="00000000">
      <w:pPr>
        <w:ind w:left="0" w:right="0" w:firstLine="240"/>
      </w:pPr>
      <w:r>
        <w:t>The introduction of EU data laws seems to have the potential to have the (unintended) consequence of further alienating African researchers and creating new barriers to cooperation with their EU counterparts. Moreover, their EU counterparts will have greater (if not perfect)</w:t>
      </w:r>
      <w:r>
        <w:rPr>
          <w:sz w:val="19"/>
          <w:vertAlign w:val="superscript"/>
        </w:rPr>
        <w:t>111</w:t>
      </w:r>
      <w:r>
        <w:t xml:space="preserve"> access to data. This means that EU researchers are likely to feel the benefits of EU data laws while the African researchers are likely to suffer the detrimental effects. This is ironic, particularly </w:t>
      </w:r>
      <w:proofErr w:type="gramStart"/>
      <w:r>
        <w:t>in light of</w:t>
      </w:r>
      <w:proofErr w:type="gramEnd"/>
      <w:r>
        <w:t xml:space="preserve"> the moral imperative for the EU to deal fairly with countries that it colonized and bearing in mind the amount of aid the EU provides to Africa. </w:t>
      </w:r>
    </w:p>
    <w:p w14:paraId="3A993405" w14:textId="77777777" w:rsidR="008D0C88" w:rsidRDefault="00000000">
      <w:pPr>
        <w:ind w:left="0" w:right="0" w:firstLine="240"/>
      </w:pPr>
      <w:r>
        <w:t xml:space="preserve">If the EU, as a highly literate and technically advanced society, can be said to be only unlocking a fraction of the value of the data available to it, then that statement is surely even more applicable to African countries. There must be tremendous potential for researchers to make meaningful differences in Africa, provided they can get access to data which could be unlocked by EU data laws. For example, it could be hugely beneficial if the EU would support African countries being able to access their own product data from global tech companies, such as Google and Amazon. </w:t>
      </w:r>
    </w:p>
    <w:p w14:paraId="226D848D" w14:textId="77777777" w:rsidR="008D0C88" w:rsidRDefault="00000000">
      <w:pPr>
        <w:ind w:left="0" w:right="0" w:firstLine="240"/>
      </w:pPr>
      <w:r>
        <w:t xml:space="preserve">African countries should be closely watching the success (or failure) of EU data laws as facilitating access to data has the potential of bringing about an even more dramatic change in Africa than it would in the EU. This is more apposite when considering the relative lack of sophistication in existing African laws. To amend a well-known adage, give a researcher the answer and you solve the problem of the day, but give her access to data and you help her solve problems for a lifetime. </w:t>
      </w:r>
    </w:p>
    <w:p w14:paraId="5E82DBCE" w14:textId="77777777" w:rsidR="008D0C88" w:rsidRDefault="00000000">
      <w:pPr>
        <w:pStyle w:val="Heading1"/>
        <w:ind w:left="-5"/>
      </w:pPr>
      <w:r>
        <w:t>Notes</w:t>
      </w:r>
    </w:p>
    <w:p w14:paraId="5D374BB8" w14:textId="77777777" w:rsidR="008D0C88" w:rsidRDefault="00000000">
      <w:pPr>
        <w:numPr>
          <w:ilvl w:val="0"/>
          <w:numId w:val="2"/>
        </w:numPr>
        <w:ind w:right="0" w:hanging="460"/>
      </w:pPr>
      <w:r>
        <w:t xml:space="preserve">Eurostat Statistics Explained, ‘Archive: Africa–EU – International Trade in Goods Statistics’, February 2022, https://ec.europa.eu/eurostat/statisticsexplained/index.php?title=Archive:Africa-EU_-_international_trade_in_ </w:t>
      </w:r>
      <w:proofErr w:type="spellStart"/>
      <w:r>
        <w:t>goods_statistics</w:t>
      </w:r>
      <w:proofErr w:type="spellEnd"/>
      <w:r>
        <w:t xml:space="preserve"> (accessed 25 February 2023). </w:t>
      </w:r>
    </w:p>
    <w:p w14:paraId="2D60C28A" w14:textId="77777777" w:rsidR="008D0C88" w:rsidRDefault="00000000">
      <w:pPr>
        <w:numPr>
          <w:ilvl w:val="0"/>
          <w:numId w:val="2"/>
        </w:numPr>
        <w:ind w:right="0" w:hanging="460"/>
      </w:pPr>
      <w:r>
        <w:t xml:space="preserve">European Commission, ‘EU Trade Relations with South Africa: Facts, Figures and Latest Developments’, EU Directorate-General for Trade, </w:t>
      </w:r>
      <w:r>
        <w:lastRenderedPageBreak/>
        <w:t>https://policy.trade.ec.europa.eu/eu-trade-relationships-country-andregion/countries-and-regions/south-africa_en#:~:text=The%20EU%20 represents%20the%20</w:t>
      </w:r>
      <w:proofErr w:type="gramStart"/>
      <w:r>
        <w:t>most,country’s</w:t>
      </w:r>
      <w:proofErr w:type="gramEnd"/>
      <w:r>
        <w:t xml:space="preserve">%20industrialisation%20and%20 transformation%20agenda (accessed 25 February 2023). </w:t>
      </w:r>
    </w:p>
    <w:p w14:paraId="7413E2CC" w14:textId="77777777" w:rsidR="008D0C88" w:rsidRDefault="00000000">
      <w:pPr>
        <w:numPr>
          <w:ilvl w:val="0"/>
          <w:numId w:val="2"/>
        </w:numPr>
        <w:spacing w:after="8" w:line="268" w:lineRule="auto"/>
        <w:ind w:right="0" w:hanging="460"/>
      </w:pPr>
      <w:r>
        <w:t xml:space="preserve">Anu Bradford, </w:t>
      </w:r>
      <w:r>
        <w:rPr>
          <w:i/>
        </w:rPr>
        <w:t>The Brussels Effect: How the European Union Rules the World</w:t>
      </w:r>
      <w:r>
        <w:t xml:space="preserve"> (Oxford University Press, 2020). </w:t>
      </w:r>
    </w:p>
    <w:p w14:paraId="39F0B4EE" w14:textId="77777777" w:rsidR="008D0C88" w:rsidRDefault="00000000">
      <w:pPr>
        <w:numPr>
          <w:ilvl w:val="0"/>
          <w:numId w:val="2"/>
        </w:numPr>
        <w:ind w:right="0" w:hanging="460"/>
      </w:pPr>
      <w:r>
        <w:t>‘Data Protection and Privacy Legislation Worldwide’, UN Trade and Development, 14 December 2021, https://unctad.org/page/data-protectionand-privacy-legislation-worldwide (accessed on 25 February 2023).</w:t>
      </w:r>
    </w:p>
    <w:p w14:paraId="6259DBDC" w14:textId="77777777" w:rsidR="008D0C88" w:rsidRDefault="00000000">
      <w:pPr>
        <w:numPr>
          <w:ilvl w:val="0"/>
          <w:numId w:val="2"/>
        </w:numPr>
        <w:ind w:right="0" w:hanging="460"/>
      </w:pPr>
      <w:r>
        <w:t xml:space="preserve">Michael Pisa, Pam Dixon, and </w:t>
      </w:r>
      <w:proofErr w:type="spellStart"/>
      <w:r>
        <w:t>Ugonma</w:t>
      </w:r>
      <w:proofErr w:type="spellEnd"/>
      <w:r>
        <w:t xml:space="preserve"> Nwankwo, ‘Why Data UNCTAD Protection Matters for Development: The Case for Strengthening Inclusion and Regulatory Capacity’, Centre for Global Development, December 2021, https://www.cgdev.org/sites/default/files/why-data-protection-matters-fordevelopment.pdf (accessed 25 February 2023).</w:t>
      </w:r>
    </w:p>
    <w:p w14:paraId="2C54791D" w14:textId="77777777" w:rsidR="008D0C88" w:rsidRDefault="00000000">
      <w:pPr>
        <w:numPr>
          <w:ilvl w:val="0"/>
          <w:numId w:val="2"/>
        </w:numPr>
        <w:spacing w:after="8" w:line="268" w:lineRule="auto"/>
        <w:ind w:right="0" w:hanging="460"/>
      </w:pPr>
      <w:r>
        <w:t xml:space="preserve">Bradford, </w:t>
      </w:r>
      <w:r>
        <w:rPr>
          <w:i/>
        </w:rPr>
        <w:t>The Brussels Effect</w:t>
      </w:r>
      <w:r>
        <w:t>, 80.</w:t>
      </w:r>
    </w:p>
    <w:p w14:paraId="3FB7207B" w14:textId="77777777" w:rsidR="008D0C88" w:rsidRDefault="00000000">
      <w:pPr>
        <w:numPr>
          <w:ilvl w:val="0"/>
          <w:numId w:val="2"/>
        </w:numPr>
        <w:spacing w:after="8" w:line="268" w:lineRule="auto"/>
        <w:ind w:right="0" w:hanging="460"/>
      </w:pPr>
      <w:r>
        <w:t xml:space="preserve">Bradford, </w:t>
      </w:r>
      <w:r>
        <w:rPr>
          <w:i/>
        </w:rPr>
        <w:t>The Brussels Effect</w:t>
      </w:r>
      <w:r>
        <w:t>, 80.</w:t>
      </w:r>
    </w:p>
    <w:p w14:paraId="6F65EB71" w14:textId="77777777" w:rsidR="008D0C88" w:rsidRDefault="00000000">
      <w:pPr>
        <w:numPr>
          <w:ilvl w:val="0"/>
          <w:numId w:val="2"/>
        </w:numPr>
        <w:spacing w:after="8" w:line="268" w:lineRule="auto"/>
        <w:ind w:right="0" w:hanging="460"/>
      </w:pPr>
      <w:r>
        <w:t xml:space="preserve">Bradford, </w:t>
      </w:r>
      <w:r>
        <w:rPr>
          <w:i/>
        </w:rPr>
        <w:t>The Brussels Effect</w:t>
      </w:r>
      <w:r>
        <w:t>, 94.</w:t>
      </w:r>
    </w:p>
    <w:p w14:paraId="3406494F" w14:textId="77777777" w:rsidR="008D0C88" w:rsidRDefault="00000000">
      <w:pPr>
        <w:numPr>
          <w:ilvl w:val="0"/>
          <w:numId w:val="2"/>
        </w:numPr>
        <w:ind w:right="0" w:hanging="460"/>
      </w:pPr>
      <w:r>
        <w:t xml:space="preserve">See, for example, Commission Decision in Case No. COMP/B-2/38.381 (De Beers), </w:t>
      </w:r>
      <w:proofErr w:type="gramStart"/>
      <w:r>
        <w:t>C(</w:t>
      </w:r>
      <w:proofErr w:type="gramEnd"/>
      <w:r>
        <w:t xml:space="preserve">2006) 521 final (22 February 2006), cited in 2006 O.J. (L 205) 24. </w:t>
      </w:r>
    </w:p>
    <w:p w14:paraId="70372DE5" w14:textId="77777777" w:rsidR="008D0C88" w:rsidRDefault="00000000">
      <w:pPr>
        <w:numPr>
          <w:ilvl w:val="0"/>
          <w:numId w:val="2"/>
        </w:numPr>
        <w:spacing w:after="8" w:line="268" w:lineRule="auto"/>
        <w:ind w:right="0" w:hanging="460"/>
      </w:pPr>
      <w:r>
        <w:t xml:space="preserve">Bradford, </w:t>
      </w:r>
      <w:r>
        <w:rPr>
          <w:i/>
        </w:rPr>
        <w:t>The Brussels Effect</w:t>
      </w:r>
      <w:r>
        <w:t>, 80.</w:t>
      </w:r>
    </w:p>
    <w:p w14:paraId="0FE88E00" w14:textId="77777777" w:rsidR="008D0C88" w:rsidRDefault="00000000">
      <w:pPr>
        <w:numPr>
          <w:ilvl w:val="0"/>
          <w:numId w:val="2"/>
        </w:numPr>
        <w:ind w:right="0" w:hanging="460"/>
      </w:pPr>
      <w:r>
        <w:t>‘A European Strategy for Data’, European Commission, 19 February 2020, https://eur-lex.europa.eu/legal-content/EN/TXT/?uri=CELEX%3A 52020DC0066 (accessed 7 June 2023).</w:t>
      </w:r>
    </w:p>
    <w:p w14:paraId="679C4760" w14:textId="77777777" w:rsidR="008D0C88" w:rsidRDefault="00000000">
      <w:pPr>
        <w:numPr>
          <w:ilvl w:val="0"/>
          <w:numId w:val="2"/>
        </w:numPr>
        <w:ind w:right="0" w:hanging="460"/>
      </w:pPr>
      <w:r>
        <w:t>Regulation (EU) 2018/1807.</w:t>
      </w:r>
    </w:p>
    <w:p w14:paraId="716B229C" w14:textId="77777777" w:rsidR="008D0C88" w:rsidRDefault="00000000">
      <w:pPr>
        <w:numPr>
          <w:ilvl w:val="0"/>
          <w:numId w:val="2"/>
        </w:numPr>
        <w:spacing w:after="8" w:line="268" w:lineRule="auto"/>
        <w:ind w:right="0" w:hanging="460"/>
      </w:pPr>
      <w:r>
        <w:t xml:space="preserve">Bradford, </w:t>
      </w:r>
      <w:r>
        <w:rPr>
          <w:i/>
        </w:rPr>
        <w:t>The Brussels Effect</w:t>
      </w:r>
      <w:r>
        <w:t>,</w:t>
      </w:r>
      <w:r>
        <w:rPr>
          <w:i/>
        </w:rPr>
        <w:t xml:space="preserve"> </w:t>
      </w:r>
      <w:r>
        <w:t>4–5.</w:t>
      </w:r>
    </w:p>
    <w:p w14:paraId="361BBABA" w14:textId="77777777" w:rsidR="008D0C88" w:rsidRDefault="00000000">
      <w:pPr>
        <w:numPr>
          <w:ilvl w:val="0"/>
          <w:numId w:val="2"/>
        </w:numPr>
        <w:ind w:right="0" w:hanging="460"/>
      </w:pPr>
      <w:r>
        <w:t xml:space="preserve">‘A European Strategy for Data’, 7. </w:t>
      </w:r>
    </w:p>
    <w:p w14:paraId="60D73561" w14:textId="77777777" w:rsidR="008D0C88" w:rsidRDefault="00000000">
      <w:pPr>
        <w:numPr>
          <w:ilvl w:val="0"/>
          <w:numId w:val="2"/>
        </w:numPr>
        <w:ind w:right="0" w:hanging="460"/>
      </w:pPr>
      <w:r>
        <w:t xml:space="preserve">‘A European Strategy for Data’, 22. </w:t>
      </w:r>
    </w:p>
    <w:p w14:paraId="3B27B2D7" w14:textId="77777777" w:rsidR="008D0C88" w:rsidRDefault="00000000">
      <w:pPr>
        <w:numPr>
          <w:ilvl w:val="0"/>
          <w:numId w:val="2"/>
        </w:numPr>
        <w:ind w:right="0" w:hanging="460"/>
      </w:pPr>
      <w:r>
        <w:t xml:space="preserve">‘Regulation (EU) 2022/2065 of the European Parliament and of the Council of 19 October 2022 on a Single Market for Digital Services and Amending Directive 2000/31/EC (Digital Services Act)’, https://eur-lex.europa.eu/ </w:t>
      </w:r>
      <w:proofErr w:type="gramStart"/>
      <w:r>
        <w:t>legal-content</w:t>
      </w:r>
      <w:proofErr w:type="gramEnd"/>
      <w:r>
        <w:t>/</w:t>
      </w:r>
      <w:proofErr w:type="spellStart"/>
      <w:r>
        <w:t>en</w:t>
      </w:r>
      <w:proofErr w:type="spellEnd"/>
      <w:r>
        <w:t>/TXT/?</w:t>
      </w:r>
      <w:proofErr w:type="spellStart"/>
      <w:r>
        <w:t>uri</w:t>
      </w:r>
      <w:proofErr w:type="spellEnd"/>
      <w:r>
        <w:t>=CELEX%3A32022R2065 (accessed 8 June 2023).</w:t>
      </w:r>
    </w:p>
    <w:p w14:paraId="7D04AB75" w14:textId="77777777" w:rsidR="008D0C88" w:rsidRDefault="00000000">
      <w:pPr>
        <w:numPr>
          <w:ilvl w:val="0"/>
          <w:numId w:val="2"/>
        </w:numPr>
        <w:ind w:right="0" w:hanging="460"/>
      </w:pPr>
      <w:r>
        <w:t xml:space="preserve">‘Regulation (EU) 2022/1925 of the European Parliament and of the Council of 14 September 2022 on Contestable and Fair Markets in the Digital Sector and Amending Directives (EU) 2019/1937 and (EU) </w:t>
      </w:r>
      <w:r>
        <w:lastRenderedPageBreak/>
        <w:t>2020/1828 (Digital Markets Act)’, https://eur-lex.europa.eu/legal-content/EN/ TXT/?</w:t>
      </w:r>
      <w:proofErr w:type="spellStart"/>
      <w:r>
        <w:t>uri</w:t>
      </w:r>
      <w:proofErr w:type="spellEnd"/>
      <w:r>
        <w:t>=CELEX%3A32022R1925 (accessed 8 June 2023).</w:t>
      </w:r>
    </w:p>
    <w:p w14:paraId="3732A10A" w14:textId="77777777" w:rsidR="008D0C88" w:rsidRDefault="00000000">
      <w:pPr>
        <w:numPr>
          <w:ilvl w:val="0"/>
          <w:numId w:val="2"/>
        </w:numPr>
        <w:ind w:right="0" w:hanging="460"/>
      </w:pPr>
      <w:r>
        <w:t>‘European Parliament Legislative Resolution of 13 March 2024 on the Proposal for a Regulation of the European Parliament and of the Council to Lay Down Harmonised Rules on Artificial Intelligence (Artificial Intelligence Act) and to Amend Certain Union Legislative Acts (</w:t>
      </w:r>
      <w:proofErr w:type="gramStart"/>
      <w:r>
        <w:t>COM(</w:t>
      </w:r>
      <w:proofErr w:type="gramEnd"/>
      <w:r>
        <w:t xml:space="preserve">2021)0206 – </w:t>
      </w:r>
    </w:p>
    <w:p w14:paraId="2C58C7F0" w14:textId="77777777" w:rsidR="008D0C88" w:rsidRDefault="00000000">
      <w:pPr>
        <w:ind w:left="470" w:right="0"/>
      </w:pPr>
      <w:r>
        <w:t>C9-0146/2021 – 2021/0106 (COD)) Regulation (EU) 2021/206 of the European Parliament and of the Council Laying Down Harmonized Rules on Artificial Intelligence (Artificial Intelligence Act) and Amending Certain Union Legislative Acts’, https://www.europarl.europa.eu/doceo/document/ TA-9-2024-0138_EN.pdf (accessed 8 April 2024).</w:t>
      </w:r>
    </w:p>
    <w:p w14:paraId="64FB0AB7" w14:textId="77777777" w:rsidR="008D0C88" w:rsidRDefault="00000000">
      <w:pPr>
        <w:numPr>
          <w:ilvl w:val="0"/>
          <w:numId w:val="2"/>
        </w:numPr>
        <w:ind w:right="0" w:hanging="460"/>
      </w:pPr>
      <w:r>
        <w:t>‘Regulation (EU) 2023/2854 of the European Parliament and of the Council of 13 December 2023 on Harmonized Rules for Fair Access to and Use of Data and Amending Regulation (EU) 2017/2394 and Directive (EU) 2020/1828 (Data Act)’, https://eur-lex.europa.eu/legal-content/EN/ TXT/?</w:t>
      </w:r>
      <w:proofErr w:type="spellStart"/>
      <w:r>
        <w:t>uri</w:t>
      </w:r>
      <w:proofErr w:type="spellEnd"/>
      <w:r>
        <w:t>=celex%3A32023R2854 (accessed 28 March 2024).</w:t>
      </w:r>
    </w:p>
    <w:p w14:paraId="0DD70818" w14:textId="77777777" w:rsidR="008D0C88" w:rsidRDefault="00000000">
      <w:pPr>
        <w:numPr>
          <w:ilvl w:val="0"/>
          <w:numId w:val="2"/>
        </w:numPr>
        <w:ind w:right="0" w:hanging="460"/>
      </w:pPr>
      <w:r>
        <w:t xml:space="preserve">A list of the very large online platforms (VLOPs) and very large online search engines (VLOSEs) was published on 23 April 2023. European Commission, </w:t>
      </w:r>
      <w:r>
        <w:rPr>
          <w:i/>
        </w:rPr>
        <w:t>Digital Services Act: Commission Designates First Set of Very Large Online Platforms and Search Engines</w:t>
      </w:r>
      <w:r>
        <w:t>, https://ec.europa.eu/commission/presscorner/ detail/</w:t>
      </w:r>
      <w:proofErr w:type="spellStart"/>
      <w:r>
        <w:t>en</w:t>
      </w:r>
      <w:proofErr w:type="spellEnd"/>
      <w:r>
        <w:t xml:space="preserve">/IP_23_2413 (accessed 24 October 2023). </w:t>
      </w:r>
    </w:p>
    <w:p w14:paraId="0D5E2CA1" w14:textId="77777777" w:rsidR="008D0C88" w:rsidRDefault="00000000">
      <w:pPr>
        <w:numPr>
          <w:ilvl w:val="0"/>
          <w:numId w:val="2"/>
        </w:numPr>
        <w:ind w:right="0" w:hanging="460"/>
      </w:pPr>
      <w:r>
        <w:t xml:space="preserve">On 6 September 2023, the European Commission determined that six companies – Alphabet, Amazon, Apple, ByteDance, Meta, and Microsoft – were gatekeepers in terms of the DMA. ‘Digital Markets Act: Commission Designates Six Gatekeepers’, European Commission, 6 September 2023, https://perma.cc/KR8U-JQ8D (accessed 22 October 2023). </w:t>
      </w:r>
    </w:p>
    <w:p w14:paraId="70E2E0E5" w14:textId="77777777" w:rsidR="008D0C88" w:rsidRDefault="00000000">
      <w:pPr>
        <w:numPr>
          <w:ilvl w:val="0"/>
          <w:numId w:val="2"/>
        </w:numPr>
        <w:ind w:right="0" w:hanging="460"/>
      </w:pPr>
      <w:r>
        <w:t xml:space="preserve">‘European Parliament Legislative Resolution of 13 March 2024 on the Proposal for a Regulation of the European Parliament and of the Council on Laying Down Harmonized Rules on Artificial Intelligence (Artificial Intelligence Act) and Amending Certain Union Legislative Acts (COM (2021) 0206 – C9-0146/2021 – 2021/0106 (COD))’, https://www.europarl.europa.eu/ </w:t>
      </w:r>
      <w:proofErr w:type="spellStart"/>
      <w:r>
        <w:t>doceo</w:t>
      </w:r>
      <w:proofErr w:type="spellEnd"/>
      <w:r>
        <w:t>/document/TA-9-2024-0138-FNL-COR01_EN.pdf (accessed 8 April 2024).</w:t>
      </w:r>
    </w:p>
    <w:p w14:paraId="4ADAAB2D" w14:textId="77777777" w:rsidR="008D0C88" w:rsidRDefault="00000000">
      <w:pPr>
        <w:numPr>
          <w:ilvl w:val="0"/>
          <w:numId w:val="2"/>
        </w:numPr>
        <w:ind w:right="0" w:hanging="460"/>
      </w:pPr>
      <w:r>
        <w:t xml:space="preserve">AIA, Article 6. </w:t>
      </w:r>
    </w:p>
    <w:p w14:paraId="41E5AC19" w14:textId="77777777" w:rsidR="008D0C88" w:rsidRDefault="00000000">
      <w:pPr>
        <w:numPr>
          <w:ilvl w:val="0"/>
          <w:numId w:val="2"/>
        </w:numPr>
        <w:ind w:right="0" w:hanging="460"/>
      </w:pPr>
      <w:r>
        <w:lastRenderedPageBreak/>
        <w:t>AIA, Article 9.</w:t>
      </w:r>
    </w:p>
    <w:p w14:paraId="23081140" w14:textId="77777777" w:rsidR="008D0C88" w:rsidRDefault="00000000">
      <w:pPr>
        <w:numPr>
          <w:ilvl w:val="0"/>
          <w:numId w:val="2"/>
        </w:numPr>
        <w:ind w:right="0" w:hanging="460"/>
      </w:pPr>
      <w:r>
        <w:t>AIA, Articles 10-12.</w:t>
      </w:r>
    </w:p>
    <w:p w14:paraId="078A99BF" w14:textId="77777777" w:rsidR="008D0C88" w:rsidRDefault="00000000">
      <w:pPr>
        <w:numPr>
          <w:ilvl w:val="0"/>
          <w:numId w:val="2"/>
        </w:numPr>
        <w:ind w:right="0" w:hanging="460"/>
      </w:pPr>
      <w:r>
        <w:t>AIA, Article 14(4)(e).</w:t>
      </w:r>
    </w:p>
    <w:p w14:paraId="6B38F187" w14:textId="77777777" w:rsidR="008D0C88" w:rsidRDefault="00000000">
      <w:pPr>
        <w:numPr>
          <w:ilvl w:val="0"/>
          <w:numId w:val="2"/>
        </w:numPr>
        <w:ind w:right="0" w:hanging="460"/>
      </w:pPr>
      <w:r>
        <w:t>AIA, Article 28.</w:t>
      </w:r>
    </w:p>
    <w:p w14:paraId="0296AA47" w14:textId="77777777" w:rsidR="008D0C88" w:rsidRDefault="00000000">
      <w:pPr>
        <w:numPr>
          <w:ilvl w:val="0"/>
          <w:numId w:val="2"/>
        </w:numPr>
        <w:ind w:right="0" w:hanging="460"/>
      </w:pPr>
      <w:r>
        <w:t>AIA, Article 70.</w:t>
      </w:r>
    </w:p>
    <w:p w14:paraId="690F1E5D" w14:textId="77777777" w:rsidR="008D0C88" w:rsidRDefault="00000000">
      <w:pPr>
        <w:numPr>
          <w:ilvl w:val="0"/>
          <w:numId w:val="2"/>
        </w:numPr>
        <w:ind w:right="0" w:hanging="460"/>
      </w:pPr>
      <w:r>
        <w:t>AIA, Article 74. The national authority carrying out the activities and taking the measures pursuant to Regulation (EU) 2019/1020.</w:t>
      </w:r>
    </w:p>
    <w:p w14:paraId="040CB4F3" w14:textId="77777777" w:rsidR="008D0C88" w:rsidRDefault="00000000">
      <w:pPr>
        <w:numPr>
          <w:ilvl w:val="0"/>
          <w:numId w:val="2"/>
        </w:numPr>
        <w:ind w:right="0" w:hanging="460"/>
      </w:pPr>
      <w:r>
        <w:t>AIA, Article 13(3)(b)(v).</w:t>
      </w:r>
    </w:p>
    <w:p w14:paraId="76868C9D" w14:textId="77777777" w:rsidR="008D0C88" w:rsidRDefault="00000000">
      <w:pPr>
        <w:numPr>
          <w:ilvl w:val="0"/>
          <w:numId w:val="2"/>
        </w:numPr>
        <w:ind w:right="0" w:hanging="460"/>
      </w:pPr>
      <w:r>
        <w:t>‘Regulation (EU) 2023/2854 of the European Parliament and of the Council of 13 December 2023’.</w:t>
      </w:r>
    </w:p>
    <w:p w14:paraId="22CD6809" w14:textId="77777777" w:rsidR="008D0C88" w:rsidRDefault="00000000">
      <w:pPr>
        <w:numPr>
          <w:ilvl w:val="0"/>
          <w:numId w:val="2"/>
        </w:numPr>
        <w:ind w:right="0" w:hanging="460"/>
      </w:pPr>
      <w:r>
        <w:t xml:space="preserve">‘Proposal for a Regulation of the European Parliament and of the Council on Harmonised Rules on Fair Access to and Use of Data (Data Act) COM/2022/68’, https://eur-lex.europa.eu/legal-content/EN/TXT/? </w:t>
      </w:r>
      <w:proofErr w:type="spellStart"/>
      <w:r>
        <w:t>uri</w:t>
      </w:r>
      <w:proofErr w:type="spellEnd"/>
      <w:r>
        <w:t xml:space="preserve">=COM%3A2022%3A68%3AFIN (accessed 8 June 2023); Regulation (EU) 2023/2854 of the European Parliament and of the Council of 13 December 2023’. Although this refers to the proposal of the DA rather than its final version, this vision of the DA remains apposite. </w:t>
      </w:r>
    </w:p>
    <w:p w14:paraId="3D1CE4A1" w14:textId="77777777" w:rsidR="008D0C88" w:rsidRDefault="00000000">
      <w:pPr>
        <w:numPr>
          <w:ilvl w:val="0"/>
          <w:numId w:val="2"/>
        </w:numPr>
        <w:ind w:right="0" w:hanging="460"/>
      </w:pPr>
      <w:r>
        <w:t xml:space="preserve">Case T-557/20 </w:t>
      </w:r>
      <w:r>
        <w:rPr>
          <w:i/>
        </w:rPr>
        <w:t>Single Resolution Board v. European Data Protection Supervisor</w:t>
      </w:r>
      <w:r>
        <w:t xml:space="preserve"> [2023] ECLI:EU:2023”219, https://eur-lex.europa.eu/legal-content/EN/ TXT/?</w:t>
      </w:r>
      <w:proofErr w:type="spellStart"/>
      <w:r>
        <w:t>uri</w:t>
      </w:r>
      <w:proofErr w:type="spellEnd"/>
      <w:r>
        <w:t xml:space="preserve">=CELEX%3A62020TJ0557 (accessed 15 December 2024). </w:t>
      </w:r>
    </w:p>
    <w:p w14:paraId="187BD9A5" w14:textId="77777777" w:rsidR="008D0C88" w:rsidRDefault="00000000">
      <w:pPr>
        <w:numPr>
          <w:ilvl w:val="0"/>
          <w:numId w:val="2"/>
        </w:numPr>
        <w:ind w:right="0" w:hanging="460"/>
      </w:pPr>
      <w:r>
        <w:t>See, for example, the statement by Thomas Zerdick, head of technology and privacy at the EDPS: ‘Unlike anonymised data, pseudonymised data qualifies as personal data under the General Data Protection Regulation (GDPR)’. Thomas Zerdick, ‘</w:t>
      </w:r>
      <w:proofErr w:type="spellStart"/>
      <w:r>
        <w:t>Pseudonoymous</w:t>
      </w:r>
      <w:proofErr w:type="spellEnd"/>
      <w:r>
        <w:t xml:space="preserve"> Data: Processing Personal Data while Mitigating Risks’, European Data Protection Supervisor, 21 December 2021, https://edps.europa.eu/press-publications/press-news/blog/pseudonymousdata-processing-personal-data-while-mitigating_en (accessed 28 July 2023). For a South African perspective on whether pseudonymized data is always personal data, see D. W. </w:t>
      </w:r>
      <w:proofErr w:type="spellStart"/>
      <w:r>
        <w:t>Thaldar</w:t>
      </w:r>
      <w:proofErr w:type="spellEnd"/>
      <w:r>
        <w:t xml:space="preserve">, ‘Does Data Protection Law in South Africa Apply to Pseudonymised Data?’ </w:t>
      </w:r>
      <w:r>
        <w:rPr>
          <w:i/>
        </w:rPr>
        <w:t>Frontiers in Pharmacology</w:t>
      </w:r>
      <w:r>
        <w:t>, 23 November 2023, DOI: https://doi.org/10.3389/fphar.2023.1238749.</w:t>
      </w:r>
    </w:p>
    <w:p w14:paraId="62594AA8" w14:textId="77777777" w:rsidR="008D0C88" w:rsidRDefault="00000000">
      <w:pPr>
        <w:numPr>
          <w:ilvl w:val="0"/>
          <w:numId w:val="2"/>
        </w:numPr>
        <w:ind w:right="0" w:hanging="460"/>
      </w:pPr>
      <w:r>
        <w:t xml:space="preserve">‘Regulation (EU) 2018/1725 of the European Parliament and of the Council of 23 October 2018 on the Protection of Natural Persons </w:t>
      </w:r>
      <w:proofErr w:type="gramStart"/>
      <w:r>
        <w:t>with Regard to</w:t>
      </w:r>
      <w:proofErr w:type="gramEnd"/>
      <w:r>
        <w:t xml:space="preserve"> the Processing of Personal Data by the Union Institutions, Bodies, Offices and </w:t>
      </w:r>
    </w:p>
    <w:p w14:paraId="16920652" w14:textId="77777777" w:rsidR="008D0C88" w:rsidRDefault="00000000">
      <w:pPr>
        <w:ind w:left="470" w:right="0"/>
      </w:pPr>
      <w:r>
        <w:t xml:space="preserve">Agencies and on the Free Movement of Such Data, and Repealing Regulation (EC) No 45/2001 and Decision No 1247/2002/EC’, [2018] OJ </w:t>
      </w:r>
      <w:r>
        <w:lastRenderedPageBreak/>
        <w:t>L 295, https://eur-lex.europa.eu/eli/reg/2018/1725/oj (accessed 15 December 2024).</w:t>
      </w:r>
    </w:p>
    <w:p w14:paraId="7B0931DB" w14:textId="77777777" w:rsidR="008D0C88" w:rsidRDefault="00000000">
      <w:pPr>
        <w:numPr>
          <w:ilvl w:val="0"/>
          <w:numId w:val="2"/>
        </w:numPr>
        <w:ind w:right="0" w:hanging="460"/>
      </w:pPr>
      <w:r>
        <w:t xml:space="preserve">‘Regulation (EU) 2018/1725 of the European Parliament and of the Council of 23 October 2018’. </w:t>
      </w:r>
    </w:p>
    <w:p w14:paraId="2ACA95FF" w14:textId="77777777" w:rsidR="008D0C88" w:rsidRDefault="00000000">
      <w:pPr>
        <w:numPr>
          <w:ilvl w:val="0"/>
          <w:numId w:val="2"/>
        </w:numPr>
        <w:ind w:right="0" w:hanging="460"/>
      </w:pPr>
      <w:r>
        <w:t xml:space="preserve">‘Appeal Brought on 5 July 2023 by the European Data Protection Supervisor against the Judgment of the General Court (Eighth Chamber, Extended Composition) Delivered on 26 April 2023 in Case T-557/20, </w:t>
      </w:r>
      <w:r>
        <w:rPr>
          <w:i/>
        </w:rPr>
        <w:t>Single Resolution Board v European Data Protection Supervisor</w:t>
      </w:r>
      <w:r>
        <w:t xml:space="preserve"> (Case C-413/23 P)’, https://eurlex.europa.eu/legal-content/EN/TXT/PDF/?uri=CELEX:62023CN0413 (accessed 15 December 2024).</w:t>
      </w:r>
    </w:p>
    <w:p w14:paraId="38E91FA5" w14:textId="77777777" w:rsidR="008D0C88" w:rsidRDefault="00000000">
      <w:pPr>
        <w:numPr>
          <w:ilvl w:val="0"/>
          <w:numId w:val="2"/>
        </w:numPr>
        <w:ind w:right="0" w:hanging="460"/>
      </w:pPr>
      <w:r>
        <w:t>DA, Article 2(5,15).</w:t>
      </w:r>
    </w:p>
    <w:p w14:paraId="626FC5C5" w14:textId="77777777" w:rsidR="008D0C88" w:rsidRDefault="00000000">
      <w:pPr>
        <w:numPr>
          <w:ilvl w:val="0"/>
          <w:numId w:val="2"/>
        </w:numPr>
        <w:ind w:right="0" w:hanging="460"/>
      </w:pPr>
      <w:r>
        <w:t>DA, Article 2(5).</w:t>
      </w:r>
    </w:p>
    <w:p w14:paraId="750305AF" w14:textId="77777777" w:rsidR="008D0C88" w:rsidRDefault="00000000">
      <w:pPr>
        <w:numPr>
          <w:ilvl w:val="0"/>
          <w:numId w:val="2"/>
        </w:numPr>
        <w:ind w:right="0" w:hanging="460"/>
      </w:pPr>
      <w:r>
        <w:t xml:space="preserve">Bertin Martens, ‘How to Fix the European Union’s Proposed Data Act’, Bruegel, 4 December 2022, https://www.bruegel.org/blog-post/how-fixeuropean-unions-proposed-data-act (accessed 28 February 2023). </w:t>
      </w:r>
    </w:p>
    <w:p w14:paraId="0FFDF2BA" w14:textId="77777777" w:rsidR="008D0C88" w:rsidRDefault="00000000">
      <w:pPr>
        <w:numPr>
          <w:ilvl w:val="0"/>
          <w:numId w:val="2"/>
        </w:numPr>
        <w:ind w:right="0" w:hanging="460"/>
      </w:pPr>
      <w:r>
        <w:t>DA, Article 2(38).</w:t>
      </w:r>
    </w:p>
    <w:p w14:paraId="1C558F7B" w14:textId="77777777" w:rsidR="008D0C88" w:rsidRDefault="00000000">
      <w:pPr>
        <w:numPr>
          <w:ilvl w:val="0"/>
          <w:numId w:val="2"/>
        </w:numPr>
        <w:ind w:right="0" w:hanging="460"/>
      </w:pPr>
      <w:r>
        <w:t>DA, Article 2(16–17).</w:t>
      </w:r>
    </w:p>
    <w:p w14:paraId="196E2738" w14:textId="77777777" w:rsidR="008D0C88" w:rsidRDefault="00000000">
      <w:pPr>
        <w:numPr>
          <w:ilvl w:val="0"/>
          <w:numId w:val="2"/>
        </w:numPr>
        <w:ind w:right="0" w:hanging="460"/>
      </w:pPr>
      <w:r>
        <w:t xml:space="preserve">Note that this is owned by the data subject. </w:t>
      </w:r>
    </w:p>
    <w:p w14:paraId="31E35866" w14:textId="77777777" w:rsidR="008D0C88" w:rsidRDefault="00000000">
      <w:pPr>
        <w:numPr>
          <w:ilvl w:val="0"/>
          <w:numId w:val="2"/>
        </w:numPr>
        <w:ind w:right="0" w:hanging="460"/>
      </w:pPr>
      <w:r>
        <w:t xml:space="preserve">Save Kumwenda, El Hadji A. Niang, Pauline W. Orondo, Pote William, Lateefah Oyinlola, Gedeon N. Bongo, and Bernadette </w:t>
      </w:r>
      <w:proofErr w:type="spellStart"/>
      <w:r>
        <w:t>Chiwona</w:t>
      </w:r>
      <w:proofErr w:type="spellEnd"/>
      <w:r>
        <w:t>, ‘Challenges Facing Young African Scientists in Their Research Careers: A Qualitative Exploratory Study’,</w:t>
      </w:r>
      <w:r>
        <w:rPr>
          <w:i/>
        </w:rPr>
        <w:t xml:space="preserve"> Malawi Medical Journal</w:t>
      </w:r>
      <w:r>
        <w:t xml:space="preserve"> 29, no. 1 (2017): 1–4. </w:t>
      </w:r>
    </w:p>
    <w:p w14:paraId="79C31EB6" w14:textId="77777777" w:rsidR="008D0C88" w:rsidRDefault="00000000">
      <w:pPr>
        <w:numPr>
          <w:ilvl w:val="0"/>
          <w:numId w:val="2"/>
        </w:numPr>
        <w:ind w:right="0" w:hanging="460"/>
      </w:pPr>
      <w:r>
        <w:t xml:space="preserve">World Bank Group and Elsevier, </w:t>
      </w:r>
      <w:r>
        <w:rPr>
          <w:i/>
        </w:rPr>
        <w:t>A Decade of Development in Sub-Saharan African Science, Technology, Engineering and Mathematics Research</w:t>
      </w:r>
      <w:r>
        <w:t xml:space="preserve"> (2014), 48, https://documents1.worldbank.org/curated/en/237371468204551128/ pdf/910160WP0P126900disclose09026020140.pdf (accessed 15 December 2024.). </w:t>
      </w:r>
    </w:p>
    <w:p w14:paraId="4D7E2E44" w14:textId="77777777" w:rsidR="008D0C88" w:rsidRDefault="00000000">
      <w:pPr>
        <w:numPr>
          <w:ilvl w:val="0"/>
          <w:numId w:val="2"/>
        </w:numPr>
        <w:ind w:right="0" w:hanging="460"/>
      </w:pPr>
      <w:r>
        <w:t xml:space="preserve">World Bank Group and Elsevier, </w:t>
      </w:r>
      <w:r>
        <w:rPr>
          <w:i/>
        </w:rPr>
        <w:t>A Decade of Development</w:t>
      </w:r>
      <w:r>
        <w:t xml:space="preserve">, 34. </w:t>
      </w:r>
    </w:p>
    <w:p w14:paraId="7CC1D42C" w14:textId="77777777" w:rsidR="008D0C88" w:rsidRDefault="00000000">
      <w:pPr>
        <w:numPr>
          <w:ilvl w:val="0"/>
          <w:numId w:val="2"/>
        </w:numPr>
        <w:ind w:right="0" w:hanging="460"/>
      </w:pPr>
      <w:r>
        <w:t xml:space="preserve">J. </w:t>
      </w:r>
      <w:proofErr w:type="spellStart"/>
      <w:r>
        <w:t>Cerdeira</w:t>
      </w:r>
      <w:proofErr w:type="spellEnd"/>
      <w:r>
        <w:t xml:space="preserve">, J. Mesquita, and, E. S. Vieira, ‘International Research Collaboration: Is Africa Different? A Cross-Country Panel Data Analysis’, </w:t>
      </w:r>
      <w:proofErr w:type="spellStart"/>
      <w:r>
        <w:rPr>
          <w:i/>
        </w:rPr>
        <w:t>Scientometrics</w:t>
      </w:r>
      <w:proofErr w:type="spellEnd"/>
      <w:r>
        <w:t xml:space="preserve"> 128 (2023): 2145–2174. </w:t>
      </w:r>
    </w:p>
    <w:p w14:paraId="32F58449" w14:textId="77777777" w:rsidR="008D0C88" w:rsidRDefault="00000000">
      <w:pPr>
        <w:numPr>
          <w:ilvl w:val="0"/>
          <w:numId w:val="2"/>
        </w:numPr>
        <w:ind w:right="0" w:hanging="460"/>
      </w:pPr>
      <w:r>
        <w:t xml:space="preserve">Emily M. </w:t>
      </w:r>
      <w:proofErr w:type="spellStart"/>
      <w:r>
        <w:t>Weitzenboeck</w:t>
      </w:r>
      <w:proofErr w:type="spellEnd"/>
      <w:r>
        <w:t xml:space="preserve">, Pierre Lison, Malgorzata </w:t>
      </w:r>
      <w:proofErr w:type="spellStart"/>
      <w:r>
        <w:t>Cyndecka</w:t>
      </w:r>
      <w:proofErr w:type="spellEnd"/>
      <w:r>
        <w:t xml:space="preserve">, and Malcolm Langford, ‘The GDPR and Unstructured Data: Is Anonymization Possible?’ </w:t>
      </w:r>
      <w:r>
        <w:rPr>
          <w:i/>
        </w:rPr>
        <w:t>International Data Privacy Law</w:t>
      </w:r>
      <w:r>
        <w:t xml:space="preserve"> 12, no. 3 (2022): 184–206. </w:t>
      </w:r>
    </w:p>
    <w:p w14:paraId="0FE0B85E" w14:textId="77777777" w:rsidR="008D0C88" w:rsidRDefault="00000000">
      <w:pPr>
        <w:numPr>
          <w:ilvl w:val="0"/>
          <w:numId w:val="2"/>
        </w:numPr>
        <w:ind w:right="0" w:hanging="460"/>
      </w:pPr>
      <w:r>
        <w:t xml:space="preserve">‘Proposal for a Regulation of the European Parliament and of the Council’. </w:t>
      </w:r>
    </w:p>
    <w:p w14:paraId="3B0DAB71" w14:textId="77777777" w:rsidR="008D0C88" w:rsidRDefault="00000000">
      <w:pPr>
        <w:numPr>
          <w:ilvl w:val="0"/>
          <w:numId w:val="2"/>
        </w:numPr>
        <w:ind w:right="0" w:hanging="460"/>
      </w:pPr>
      <w:r>
        <w:lastRenderedPageBreak/>
        <w:t xml:space="preserve">‘Attacks on Scholars a Threat to Democracy in Africa: The Link between Decreased Academic Freedom and the Stagnation of Democracy’, </w:t>
      </w:r>
      <w:proofErr w:type="spellStart"/>
      <w:r>
        <w:t>Reliefweb</w:t>
      </w:r>
      <w:proofErr w:type="spellEnd"/>
      <w:r>
        <w:t xml:space="preserve">, 25 May 2022, https://reliefweb.int/report/world/attacks-scholars-threatdemocracy-africa-link-between-decreased-academic-freedom-andstagnation-democracy (accessed 23 October 2023). </w:t>
      </w:r>
    </w:p>
    <w:p w14:paraId="1676D7DC" w14:textId="77777777" w:rsidR="008D0C88" w:rsidRDefault="00000000">
      <w:pPr>
        <w:numPr>
          <w:ilvl w:val="0"/>
          <w:numId w:val="2"/>
        </w:numPr>
        <w:ind w:right="0" w:hanging="460"/>
      </w:pPr>
      <w:r>
        <w:t xml:space="preserve">‘Attacks on Scholars a Threat to Democracy in Africa’. </w:t>
      </w:r>
    </w:p>
    <w:p w14:paraId="6843C32C" w14:textId="77777777" w:rsidR="008D0C88" w:rsidRDefault="00000000">
      <w:pPr>
        <w:numPr>
          <w:ilvl w:val="0"/>
          <w:numId w:val="2"/>
        </w:numPr>
        <w:ind w:right="0" w:hanging="460"/>
      </w:pPr>
      <w:r>
        <w:t xml:space="preserve">‘Proposal for a Regulation of the European Parliament and of the Council’. </w:t>
      </w:r>
    </w:p>
    <w:p w14:paraId="0AA36E4B" w14:textId="77777777" w:rsidR="008D0C88" w:rsidRDefault="00000000">
      <w:pPr>
        <w:numPr>
          <w:ilvl w:val="0"/>
          <w:numId w:val="2"/>
        </w:numPr>
        <w:ind w:right="0" w:hanging="460"/>
      </w:pPr>
      <w:r>
        <w:t xml:space="preserve">‘Regulation (EU) 2022/2065 of the European Parliament and of the Council of 19 October 2022 on a Single Market for Digital Services and Amending Directive 2000/31/EC (Digital Services Act)’, https://eur-lex.europa.eu/ </w:t>
      </w:r>
      <w:proofErr w:type="gramStart"/>
      <w:r>
        <w:t>legal-content</w:t>
      </w:r>
      <w:proofErr w:type="gramEnd"/>
      <w:r>
        <w:t>/</w:t>
      </w:r>
      <w:proofErr w:type="spellStart"/>
      <w:r>
        <w:t>en</w:t>
      </w:r>
      <w:proofErr w:type="spellEnd"/>
      <w:r>
        <w:t>/TXT/?</w:t>
      </w:r>
      <w:proofErr w:type="spellStart"/>
      <w:r>
        <w:t>uri</w:t>
      </w:r>
      <w:proofErr w:type="spellEnd"/>
      <w:r>
        <w:t xml:space="preserve">=CELEX%3A32022R2065 (accessed 8 June 2023), Recitals 92, 124, and 137, and Articles 39(3) and 40(8). </w:t>
      </w:r>
    </w:p>
    <w:p w14:paraId="3ACAD7A9" w14:textId="77777777" w:rsidR="008D0C88" w:rsidRDefault="00000000">
      <w:pPr>
        <w:numPr>
          <w:ilvl w:val="0"/>
          <w:numId w:val="2"/>
        </w:numPr>
        <w:ind w:right="0" w:hanging="460"/>
      </w:pPr>
      <w:r>
        <w:t xml:space="preserve">‘‘Regulation (EU) 2022/2065 of the European Parliament and of the Council of 19 October 2022’, Article 40(4) as read with Article 40(8)(e) (emphasis added). </w:t>
      </w:r>
    </w:p>
    <w:p w14:paraId="12C052E0" w14:textId="77777777" w:rsidR="008D0C88" w:rsidRDefault="00000000">
      <w:pPr>
        <w:numPr>
          <w:ilvl w:val="0"/>
          <w:numId w:val="2"/>
        </w:numPr>
        <w:ind w:right="0" w:hanging="460"/>
      </w:pPr>
      <w:r>
        <w:t>Elizabeth Denham, ‘Data Sharing: A Code of Practice’, Information Commissioner’s Office,</w:t>
      </w:r>
      <w:r>
        <w:rPr>
          <w:i/>
        </w:rPr>
        <w:t xml:space="preserve"> </w:t>
      </w:r>
      <w:r>
        <w:t>May 2021, https://ico.org.uk/for-organisations/ukgdpr-guidance-and-resources/data-sharing/data-sharing-a-code-of-practice (accessed 15 December 2024).</w:t>
      </w:r>
    </w:p>
    <w:p w14:paraId="7738251A" w14:textId="77777777" w:rsidR="008D0C88" w:rsidRDefault="00000000">
      <w:pPr>
        <w:numPr>
          <w:ilvl w:val="0"/>
          <w:numId w:val="2"/>
        </w:numPr>
        <w:ind w:right="0" w:hanging="460"/>
      </w:pPr>
      <w:r>
        <w:t xml:space="preserve">European Union, ‘Regulation (EU) 2016/679 of the European Parliament and of the Council of 27 April 2016 on the Protection of Natural Persons with Regard to the Processing of Personal Data and on the Free Movement of Such Data, and Repealing Directive 95/46/EC (General Data Protection Regulation)’ [2016] OJ L119/1, Articles 44–50. </w:t>
      </w:r>
    </w:p>
    <w:p w14:paraId="3FF44C75" w14:textId="77777777" w:rsidR="008D0C88" w:rsidRDefault="00000000">
      <w:pPr>
        <w:numPr>
          <w:ilvl w:val="0"/>
          <w:numId w:val="2"/>
        </w:numPr>
        <w:ind w:right="0" w:hanging="460"/>
      </w:pPr>
      <w:r>
        <w:t>DA, Article 41.</w:t>
      </w:r>
    </w:p>
    <w:p w14:paraId="1A2601A4" w14:textId="77777777" w:rsidR="008D0C88" w:rsidRDefault="00000000">
      <w:pPr>
        <w:numPr>
          <w:ilvl w:val="0"/>
          <w:numId w:val="2"/>
        </w:numPr>
        <w:ind w:right="0" w:hanging="460"/>
      </w:pPr>
      <w:r>
        <w:t>DA, Article 41.</w:t>
      </w:r>
    </w:p>
    <w:p w14:paraId="3F19C1F3" w14:textId="77777777" w:rsidR="008D0C88" w:rsidRDefault="00000000">
      <w:pPr>
        <w:numPr>
          <w:ilvl w:val="0"/>
          <w:numId w:val="2"/>
        </w:numPr>
        <w:ind w:right="0" w:hanging="460"/>
      </w:pPr>
      <w:r>
        <w:t>‘Proposal for a Regulation of the European Parliament and of the Council’; DA, 7–8.</w:t>
      </w:r>
    </w:p>
    <w:p w14:paraId="5A326B28" w14:textId="77777777" w:rsidR="008D0C88" w:rsidRDefault="00000000">
      <w:pPr>
        <w:numPr>
          <w:ilvl w:val="0"/>
          <w:numId w:val="2"/>
        </w:numPr>
        <w:ind w:right="0" w:hanging="460"/>
      </w:pPr>
      <w:r>
        <w:t>‘Proposal for a Regulation of the European Parliament and of the Council’.</w:t>
      </w:r>
    </w:p>
    <w:p w14:paraId="5B45BC3D" w14:textId="77777777" w:rsidR="008D0C88" w:rsidRDefault="00000000">
      <w:pPr>
        <w:numPr>
          <w:ilvl w:val="0"/>
          <w:numId w:val="2"/>
        </w:numPr>
        <w:ind w:right="0" w:hanging="460"/>
      </w:pPr>
      <w:r>
        <w:t xml:space="preserve">‘Creating One African Market’, </w:t>
      </w:r>
      <w:proofErr w:type="spellStart"/>
      <w:r>
        <w:t>AfTACF</w:t>
      </w:r>
      <w:proofErr w:type="spellEnd"/>
      <w:r>
        <w:t xml:space="preserve"> Symposium, August 2023, https:// au-afcfta.org (accessed 15 December 2024). </w:t>
      </w:r>
    </w:p>
    <w:p w14:paraId="1D5360C8" w14:textId="77777777" w:rsidR="008D0C88" w:rsidRDefault="00000000">
      <w:pPr>
        <w:numPr>
          <w:ilvl w:val="0"/>
          <w:numId w:val="2"/>
        </w:numPr>
        <w:spacing w:after="0" w:line="273" w:lineRule="auto"/>
        <w:ind w:right="0" w:hanging="460"/>
      </w:pPr>
      <w:r>
        <w:t xml:space="preserve">‘African Union Convention on Cyber Security and Data Protection’, https:// au.int/sites/default/files/treaties/29560-treaty-0048_-_african_union_ convention_on_cyber_security_and_personal_data_protection_e.pdf (accessed 15 December 2024). </w:t>
      </w:r>
    </w:p>
    <w:p w14:paraId="22B48C5C" w14:textId="77777777" w:rsidR="008D0C88" w:rsidRDefault="00000000">
      <w:pPr>
        <w:numPr>
          <w:ilvl w:val="0"/>
          <w:numId w:val="2"/>
        </w:numPr>
        <w:ind w:right="0" w:hanging="460"/>
      </w:pPr>
      <w:r>
        <w:lastRenderedPageBreak/>
        <w:t xml:space="preserve">Paul Esselaar, Alison Gillwald, Ashly Hope, Gavin van der Nest, and John Stuart, ‘Aligning Data Protection Laws in Africa to Facilitate E-Commerce’, </w:t>
      </w:r>
      <w:proofErr w:type="spellStart"/>
      <w:r>
        <w:t>Tralac</w:t>
      </w:r>
      <w:proofErr w:type="spellEnd"/>
      <w:r>
        <w:t xml:space="preserve">, 1 June 2020, https://www.tralac.org/publications/article/14641trade-in-the-digital-economy-a-tralac-collection.html (accessed 15 December 2024). </w:t>
      </w:r>
    </w:p>
    <w:p w14:paraId="037965A4" w14:textId="77777777" w:rsidR="008D0C88" w:rsidRDefault="00000000">
      <w:pPr>
        <w:numPr>
          <w:ilvl w:val="0"/>
          <w:numId w:val="2"/>
        </w:numPr>
        <w:ind w:right="0" w:hanging="460"/>
      </w:pPr>
      <w:r>
        <w:t xml:space="preserve">Also known as the </w:t>
      </w:r>
      <w:proofErr w:type="spellStart"/>
      <w:r>
        <w:t>Malombo</w:t>
      </w:r>
      <w:proofErr w:type="spellEnd"/>
      <w:r>
        <w:t xml:space="preserve"> Convention. Only 13 countries have ratified the convention as of 28 February 2023. See https://au.int/sites/default/ files/treaties/29560-treaty-0048_-_african_union_convention_on_cyber_ security_and_personal_data_protection_e.pdf (accessed 15 December 2024). </w:t>
      </w:r>
    </w:p>
    <w:p w14:paraId="633CEB3D" w14:textId="77777777" w:rsidR="008D0C88" w:rsidRDefault="00000000">
      <w:pPr>
        <w:numPr>
          <w:ilvl w:val="0"/>
          <w:numId w:val="2"/>
        </w:numPr>
        <w:ind w:right="0" w:hanging="460"/>
      </w:pPr>
      <w:r>
        <w:t xml:space="preserve">‘Search and Compare Data Protection Legislation’, DS-I Africa, https:// www.datalaw.africa/law/search_compare (accessed 15 December 2024). </w:t>
      </w:r>
    </w:p>
    <w:p w14:paraId="331978E0" w14:textId="77777777" w:rsidR="008D0C88" w:rsidRDefault="00000000">
      <w:pPr>
        <w:numPr>
          <w:ilvl w:val="0"/>
          <w:numId w:val="2"/>
        </w:numPr>
        <w:ind w:right="0" w:hanging="460"/>
      </w:pPr>
      <w:r>
        <w:t>South Africa’s Protection of Personal Information Act (Act no. 4 of 2013).</w:t>
      </w:r>
    </w:p>
    <w:p w14:paraId="733EEA8F" w14:textId="77777777" w:rsidR="008D0C88" w:rsidRDefault="00000000">
      <w:pPr>
        <w:numPr>
          <w:ilvl w:val="0"/>
          <w:numId w:val="2"/>
        </w:numPr>
        <w:ind w:right="0" w:hanging="460"/>
      </w:pPr>
      <w:r>
        <w:t xml:space="preserve">Ghana, Data Protection Act, 2012 (Act 843), published in the Ghana Gazette No. 39, 16 October 2012. </w:t>
      </w:r>
    </w:p>
    <w:p w14:paraId="4FB97133" w14:textId="77777777" w:rsidR="008D0C88" w:rsidRDefault="00000000">
      <w:pPr>
        <w:numPr>
          <w:ilvl w:val="0"/>
          <w:numId w:val="2"/>
        </w:numPr>
        <w:ind w:right="0" w:hanging="460"/>
      </w:pPr>
      <w:r>
        <w:t xml:space="preserve">In terms of DA, Articles 14 and 15. </w:t>
      </w:r>
    </w:p>
    <w:p w14:paraId="1838981B" w14:textId="77777777" w:rsidR="008D0C88" w:rsidRDefault="00000000">
      <w:pPr>
        <w:numPr>
          <w:ilvl w:val="0"/>
          <w:numId w:val="2"/>
        </w:numPr>
        <w:ind w:right="0" w:hanging="460"/>
      </w:pPr>
      <w:r>
        <w:t xml:space="preserve">D. W. </w:t>
      </w:r>
      <w:proofErr w:type="spellStart"/>
      <w:r>
        <w:t>Thaldar</w:t>
      </w:r>
      <w:proofErr w:type="spellEnd"/>
      <w:r>
        <w:t xml:space="preserve">, B. A. Townsend, D-L. Donnelly, M. Botes, A. Gooden, J. Van Harmelen, and B. Shozi, ‘The Multidimensional Legal Nature of Personal Genomic Sequence Data: A South African Perspective’, </w:t>
      </w:r>
      <w:r>
        <w:rPr>
          <w:i/>
        </w:rPr>
        <w:t>Frontiers in Genetics</w:t>
      </w:r>
      <w:r>
        <w:t xml:space="preserve"> 13 (2022), DOI: https://doi.org/10.3389/fgene.2022.997595. </w:t>
      </w:r>
    </w:p>
    <w:p w14:paraId="4E3010D6" w14:textId="77777777" w:rsidR="008D0C88" w:rsidRDefault="00000000">
      <w:pPr>
        <w:numPr>
          <w:ilvl w:val="0"/>
          <w:numId w:val="2"/>
        </w:numPr>
        <w:ind w:right="0" w:hanging="460"/>
      </w:pPr>
      <w:r>
        <w:t xml:space="preserve">‘Regulation (EU) 2023/2854 of the European Parliament and of the Council of 13 December 2023’. </w:t>
      </w:r>
    </w:p>
    <w:p w14:paraId="2502B118" w14:textId="77777777" w:rsidR="008D0C88" w:rsidRDefault="00000000">
      <w:pPr>
        <w:numPr>
          <w:ilvl w:val="0"/>
          <w:numId w:val="2"/>
        </w:numPr>
        <w:ind w:right="0" w:hanging="460"/>
      </w:pPr>
      <w:r>
        <w:t>‘AU Data Policy Framework’, African Union, February 2022, https:// au.int/sites/default/files/documents/42078-doc-AU-DATA-POLICYFRAMEWORK-ENG1.pdf (accessed 29 July 2023).</w:t>
      </w:r>
    </w:p>
    <w:p w14:paraId="7350A6E7" w14:textId="77777777" w:rsidR="008D0C88" w:rsidRDefault="00000000">
      <w:pPr>
        <w:numPr>
          <w:ilvl w:val="0"/>
          <w:numId w:val="2"/>
        </w:numPr>
        <w:ind w:right="0" w:hanging="460"/>
      </w:pPr>
      <w:r>
        <w:t>‘AU Data Policy Framework’, 11.</w:t>
      </w:r>
    </w:p>
    <w:p w14:paraId="781FED2B" w14:textId="77777777" w:rsidR="008D0C88" w:rsidRDefault="00000000">
      <w:pPr>
        <w:numPr>
          <w:ilvl w:val="0"/>
          <w:numId w:val="2"/>
        </w:numPr>
        <w:ind w:right="0" w:hanging="460"/>
      </w:pPr>
      <w:r>
        <w:t>‘AU Data Policy Framework’, 31.</w:t>
      </w:r>
    </w:p>
    <w:p w14:paraId="7BDA7132" w14:textId="77777777" w:rsidR="008D0C88" w:rsidRDefault="00000000">
      <w:pPr>
        <w:numPr>
          <w:ilvl w:val="0"/>
          <w:numId w:val="2"/>
        </w:numPr>
        <w:ind w:right="0" w:hanging="460"/>
      </w:pPr>
      <w:r>
        <w:t>‘AU Data Policy Framework’, 12.</w:t>
      </w:r>
    </w:p>
    <w:p w14:paraId="06357EA2" w14:textId="77777777" w:rsidR="008D0C88" w:rsidRDefault="00000000">
      <w:pPr>
        <w:numPr>
          <w:ilvl w:val="0"/>
          <w:numId w:val="2"/>
        </w:numPr>
        <w:ind w:right="0" w:hanging="460"/>
      </w:pPr>
      <w:r>
        <w:t>‘AU Data Policy Framework’, 1, 17.</w:t>
      </w:r>
    </w:p>
    <w:p w14:paraId="4D47BCE1" w14:textId="77777777" w:rsidR="008D0C88" w:rsidRDefault="00000000">
      <w:pPr>
        <w:numPr>
          <w:ilvl w:val="0"/>
          <w:numId w:val="2"/>
        </w:numPr>
        <w:ind w:right="0" w:hanging="460"/>
      </w:pPr>
      <w:r>
        <w:t xml:space="preserve">‘AU Data Policy Framework’, 1. </w:t>
      </w:r>
    </w:p>
    <w:p w14:paraId="5425EE23" w14:textId="77777777" w:rsidR="008D0C88" w:rsidRDefault="00000000">
      <w:pPr>
        <w:numPr>
          <w:ilvl w:val="0"/>
          <w:numId w:val="2"/>
        </w:numPr>
        <w:ind w:right="0" w:hanging="460"/>
      </w:pPr>
      <w:r>
        <w:t>‘AU Data Policy Framework’, vii.</w:t>
      </w:r>
    </w:p>
    <w:p w14:paraId="4E2D8BDB" w14:textId="77777777" w:rsidR="008D0C88" w:rsidRDefault="00000000">
      <w:pPr>
        <w:numPr>
          <w:ilvl w:val="0"/>
          <w:numId w:val="2"/>
        </w:numPr>
        <w:ind w:right="0" w:hanging="460"/>
      </w:pPr>
      <w:r>
        <w:t>‘AU Data Policy Framework’, x, 20, 59.</w:t>
      </w:r>
    </w:p>
    <w:p w14:paraId="445B33EA" w14:textId="77777777" w:rsidR="008D0C88" w:rsidRDefault="00000000">
      <w:pPr>
        <w:numPr>
          <w:ilvl w:val="0"/>
          <w:numId w:val="2"/>
        </w:numPr>
        <w:ind w:right="0" w:hanging="460"/>
      </w:pPr>
      <w:r>
        <w:t>‘AU Data Policy Framework’, 12.</w:t>
      </w:r>
    </w:p>
    <w:p w14:paraId="79E36C4D" w14:textId="77777777" w:rsidR="008D0C88" w:rsidRDefault="00000000">
      <w:pPr>
        <w:numPr>
          <w:ilvl w:val="0"/>
          <w:numId w:val="2"/>
        </w:numPr>
        <w:ind w:right="0" w:hanging="460"/>
      </w:pPr>
      <w:r>
        <w:t>‘AU Data Policy Framework’, 8.</w:t>
      </w:r>
    </w:p>
    <w:p w14:paraId="24BEAD13" w14:textId="77777777" w:rsidR="008D0C88" w:rsidRDefault="00000000">
      <w:pPr>
        <w:numPr>
          <w:ilvl w:val="0"/>
          <w:numId w:val="2"/>
        </w:numPr>
        <w:ind w:right="0" w:hanging="460"/>
      </w:pPr>
      <w:r>
        <w:t>‘AU Data Policy Framework’, 24.</w:t>
      </w:r>
    </w:p>
    <w:p w14:paraId="42028958" w14:textId="77777777" w:rsidR="008D0C88" w:rsidRDefault="00000000">
      <w:pPr>
        <w:numPr>
          <w:ilvl w:val="0"/>
          <w:numId w:val="2"/>
        </w:numPr>
        <w:ind w:right="0" w:hanging="460"/>
      </w:pPr>
      <w:r>
        <w:t>‘AU Data Policy Framework’, 12.</w:t>
      </w:r>
    </w:p>
    <w:p w14:paraId="765BCDD5" w14:textId="77777777" w:rsidR="008D0C88" w:rsidRDefault="00000000">
      <w:pPr>
        <w:numPr>
          <w:ilvl w:val="0"/>
          <w:numId w:val="2"/>
        </w:numPr>
        <w:ind w:right="0" w:hanging="460"/>
      </w:pPr>
      <w:r>
        <w:t>‘AU Data Policy Framework’, 25.</w:t>
      </w:r>
    </w:p>
    <w:p w14:paraId="3AF44E8E" w14:textId="77777777" w:rsidR="008D0C88" w:rsidRDefault="00000000">
      <w:pPr>
        <w:numPr>
          <w:ilvl w:val="0"/>
          <w:numId w:val="2"/>
        </w:numPr>
        <w:ind w:right="0" w:hanging="460"/>
      </w:pPr>
      <w:r>
        <w:lastRenderedPageBreak/>
        <w:t>‘AU Data Policy Framework’, 28.</w:t>
      </w:r>
    </w:p>
    <w:p w14:paraId="49765FE6" w14:textId="77777777" w:rsidR="008D0C88" w:rsidRDefault="00000000">
      <w:pPr>
        <w:numPr>
          <w:ilvl w:val="0"/>
          <w:numId w:val="2"/>
        </w:numPr>
        <w:ind w:right="0" w:hanging="460"/>
      </w:pPr>
      <w:r>
        <w:t>‘AU Data Policy Framework’, 34.</w:t>
      </w:r>
    </w:p>
    <w:p w14:paraId="5D49CAE0" w14:textId="77777777" w:rsidR="008D0C88" w:rsidRDefault="00000000">
      <w:pPr>
        <w:numPr>
          <w:ilvl w:val="0"/>
          <w:numId w:val="2"/>
        </w:numPr>
        <w:ind w:right="0" w:hanging="460"/>
      </w:pPr>
      <w:r>
        <w:t xml:space="preserve">‘AU Data Policy Framework’, 35. In </w:t>
      </w:r>
      <w:r>
        <w:rPr>
          <w:i/>
        </w:rPr>
        <w:t>Discovery Limited and Others v. Liberty Group Limited</w:t>
      </w:r>
      <w:r>
        <w:t xml:space="preserve">, a solution to the multitude of interests in data was defined, upholding both data protection and competition. In essence, the court held that in such disputes, if the data is personal in nature, it is ‘owned’ by the data subject, and competitors may not exclude others from accessing this information. ZAGPJHC 67, [2000], https://www.saflii.org/za/cases/ ZAGPJHC/2020/67.html (accessed 30 July 2023). </w:t>
      </w:r>
    </w:p>
    <w:p w14:paraId="72F8E8C9" w14:textId="77777777" w:rsidR="008D0C88" w:rsidRDefault="00000000">
      <w:pPr>
        <w:numPr>
          <w:ilvl w:val="0"/>
          <w:numId w:val="2"/>
        </w:numPr>
        <w:ind w:right="0" w:hanging="460"/>
      </w:pPr>
      <w:r>
        <w:t>‘AU Data Policy Framework’, 39.</w:t>
      </w:r>
    </w:p>
    <w:p w14:paraId="5207590F" w14:textId="77777777" w:rsidR="008D0C88" w:rsidRDefault="00000000">
      <w:pPr>
        <w:numPr>
          <w:ilvl w:val="0"/>
          <w:numId w:val="2"/>
        </w:numPr>
        <w:ind w:right="0" w:hanging="460"/>
      </w:pPr>
      <w:r>
        <w:t>‘AU Data Policy Framework’, 47.</w:t>
      </w:r>
    </w:p>
    <w:p w14:paraId="7EF07FD1" w14:textId="77777777" w:rsidR="008D0C88" w:rsidRDefault="00000000">
      <w:pPr>
        <w:numPr>
          <w:ilvl w:val="0"/>
          <w:numId w:val="2"/>
        </w:numPr>
        <w:ind w:right="0" w:hanging="460"/>
      </w:pPr>
      <w:r>
        <w:t>‘AU Data Policy Framework’, 56.</w:t>
      </w:r>
    </w:p>
    <w:p w14:paraId="6B64804A" w14:textId="77777777" w:rsidR="008D0C88" w:rsidRDefault="00000000">
      <w:pPr>
        <w:numPr>
          <w:ilvl w:val="0"/>
          <w:numId w:val="2"/>
        </w:numPr>
        <w:ind w:right="0" w:hanging="460"/>
      </w:pPr>
      <w:r>
        <w:t>‘AU Data Policy Framework’, 57.</w:t>
      </w:r>
    </w:p>
    <w:p w14:paraId="099A9165" w14:textId="77777777" w:rsidR="008D0C88" w:rsidRDefault="00000000">
      <w:pPr>
        <w:numPr>
          <w:ilvl w:val="0"/>
          <w:numId w:val="2"/>
        </w:numPr>
        <w:ind w:right="0" w:hanging="460"/>
      </w:pPr>
      <w:r>
        <w:rPr>
          <w:i/>
        </w:rPr>
        <w:t>Annual Report of the Information Regulator 2021/22</w:t>
      </w:r>
      <w:r>
        <w:t xml:space="preserve">, https://www. inforegulator.org.za/wp-content/uploads/2022/10/Info%20Regulator%20 Annual%20Report%202021-22-compressed.pdf (accessed 24 October 2023). </w:t>
      </w:r>
    </w:p>
    <w:p w14:paraId="09C88292" w14:textId="77777777" w:rsidR="008D0C88" w:rsidRDefault="00000000">
      <w:pPr>
        <w:numPr>
          <w:ilvl w:val="0"/>
          <w:numId w:val="2"/>
        </w:numPr>
        <w:ind w:right="0" w:hanging="460"/>
      </w:pPr>
      <w:r>
        <w:t xml:space="preserve">‘Overview on Resources Made Available by Member States to the Data Protection Supervisory Authorities’, European Data Protection Board, 5 September 2022 https://edpb.europa.eu/system/files/2022-09/edpb_ overviewresourcesmade_availablebymemberstatestosas2022_en.pdf (accessed 24 October 2023). </w:t>
      </w:r>
    </w:p>
    <w:p w14:paraId="6C45DB53" w14:textId="77777777" w:rsidR="008D0C88" w:rsidRDefault="00000000">
      <w:pPr>
        <w:numPr>
          <w:ilvl w:val="0"/>
          <w:numId w:val="2"/>
        </w:numPr>
        <w:ind w:right="0" w:hanging="460"/>
      </w:pPr>
      <w:r>
        <w:t xml:space="preserve">This is the predecessor of the EU GDPR. Directive 95/46/EC of the European Parliament and of the Council of 24 October 1995 on the Protection of Individuals </w:t>
      </w:r>
      <w:proofErr w:type="gramStart"/>
      <w:r>
        <w:t>with Regard to</w:t>
      </w:r>
      <w:proofErr w:type="gramEnd"/>
      <w:r>
        <w:t xml:space="preserve"> the Processing of Personal Data and on the Free Movement of Such Data (the Data Protection Directive).</w:t>
      </w:r>
    </w:p>
    <w:p w14:paraId="4EFBF982" w14:textId="77777777" w:rsidR="008D0C88" w:rsidRDefault="00000000">
      <w:pPr>
        <w:numPr>
          <w:ilvl w:val="0"/>
          <w:numId w:val="2"/>
        </w:numPr>
        <w:ind w:right="0" w:hanging="460"/>
      </w:pPr>
      <w:r>
        <w:t xml:space="preserve">‘Standard Contractual Clauses (SCC) Standard Contractual Clauses for Data Transfers between EU and Non-EU Countries’, European Commission, 4 June 2021, https://commission.europa.eu/law/law-topic/data-protection/ international-dimension-data-protection/standard-contractual-clauses-scc_ </w:t>
      </w:r>
      <w:proofErr w:type="spellStart"/>
      <w:r>
        <w:t>en</w:t>
      </w:r>
      <w:proofErr w:type="spellEnd"/>
      <w:r>
        <w:t xml:space="preserve"> (accessed 15 December 2024).</w:t>
      </w:r>
    </w:p>
    <w:p w14:paraId="339FE1E5" w14:textId="77777777" w:rsidR="008D0C88" w:rsidRDefault="00000000">
      <w:pPr>
        <w:numPr>
          <w:ilvl w:val="0"/>
          <w:numId w:val="2"/>
        </w:numPr>
        <w:ind w:right="0" w:hanging="460"/>
      </w:pPr>
      <w:r>
        <w:t xml:space="preserve">Lee Swales, Paul Ogendi, Marietjie Botes, Beverley Townsend, Dusty-Lee Donnelly, Lukman Abdulrauf, and </w:t>
      </w:r>
      <w:proofErr w:type="spellStart"/>
      <w:r>
        <w:t>Donrich</w:t>
      </w:r>
      <w:proofErr w:type="spellEnd"/>
      <w:r>
        <w:t xml:space="preserve"> Thaldar, ‘A Data Transfer Agreement (DTA) Template for South Africa’, </w:t>
      </w:r>
      <w:proofErr w:type="spellStart"/>
      <w:r>
        <w:t>Zenodo</w:t>
      </w:r>
      <w:proofErr w:type="spellEnd"/>
      <w:r>
        <w:t xml:space="preserve">, 6 </w:t>
      </w:r>
      <w:proofErr w:type="gramStart"/>
      <w:r>
        <w:t>February,</w:t>
      </w:r>
      <w:proofErr w:type="gramEnd"/>
      <w:r>
        <w:t xml:space="preserve"> 2023, https://zenodo.org/record/7537396#.Y_iYDexBxB (accessed 15 December 2024). See also L. Swales, M. Botes, D-L. Donnelly, and D. W. </w:t>
      </w:r>
      <w:proofErr w:type="spellStart"/>
      <w:r>
        <w:t>Thaldar</w:t>
      </w:r>
      <w:proofErr w:type="spellEnd"/>
      <w:r>
        <w:t xml:space="preserve">, ‘Towards a Data Transfer Agreement for the South African </w:t>
      </w:r>
      <w:r>
        <w:lastRenderedPageBreak/>
        <w:t xml:space="preserve">Research Community: The Empowerment Approach’, </w:t>
      </w:r>
      <w:r>
        <w:rPr>
          <w:i/>
        </w:rPr>
        <w:t>South African Journal of Bioethics and Law</w:t>
      </w:r>
      <w:r>
        <w:t xml:space="preserve"> 16, no. 1 (2023): 13–18. </w:t>
      </w:r>
    </w:p>
    <w:p w14:paraId="17A9D6BA" w14:textId="77777777" w:rsidR="008D0C88" w:rsidRDefault="00000000">
      <w:pPr>
        <w:numPr>
          <w:ilvl w:val="0"/>
          <w:numId w:val="2"/>
        </w:numPr>
        <w:ind w:right="0" w:hanging="460"/>
      </w:pPr>
      <w:r>
        <w:t xml:space="preserve">‘Government Gazette Vol. 695’, Republic of South Africa, 12 May 2023, https://inforegulator.org.za/wp-content/uploads/2020/07/GovernmentGazzette-dated-12-May-.pdf (accessed 15 December 2024). For a discussion of the draft Code of Conduct for Research, see D. W. </w:t>
      </w:r>
      <w:proofErr w:type="spellStart"/>
      <w:r>
        <w:t>Thaldar</w:t>
      </w:r>
      <w:proofErr w:type="spellEnd"/>
      <w:r>
        <w:t xml:space="preserve"> and B. Townsend, ‘Protecting Personal Information in Research: Is a Code of Conduct the Solution?’ </w:t>
      </w:r>
      <w:r>
        <w:rPr>
          <w:i/>
        </w:rPr>
        <w:t>South African Journal of Science</w:t>
      </w:r>
      <w:r>
        <w:t xml:space="preserve"> 117, nos. 3–4 (2021), DOI: https://doi.org/10.17159/sajs.2021/9490; A. Gooden and D. W. </w:t>
      </w:r>
      <w:proofErr w:type="spellStart"/>
      <w:r>
        <w:t>Thaldar</w:t>
      </w:r>
      <w:proofErr w:type="spellEnd"/>
      <w:r>
        <w:t xml:space="preserve">, ‘Despite Good Progress with Regard to the Proposed Code of Conduct for Research in South Africa, Unresolved Issues Remain’, </w:t>
      </w:r>
      <w:r>
        <w:rPr>
          <w:i/>
        </w:rPr>
        <w:t>Humanities and Social Sciences Communications</w:t>
      </w:r>
      <w:r>
        <w:t xml:space="preserve"> (2024), DOI: https://doi. org/10.1057/s41599-024-02715-0. </w:t>
      </w:r>
    </w:p>
    <w:p w14:paraId="699F4A73" w14:textId="77777777" w:rsidR="008D0C88" w:rsidRDefault="00000000">
      <w:pPr>
        <w:numPr>
          <w:ilvl w:val="0"/>
          <w:numId w:val="2"/>
        </w:numPr>
        <w:ind w:right="0" w:hanging="460"/>
      </w:pPr>
      <w:r>
        <w:t>See, for example, clause 4.2.2.3 of the Code of Conduct, which states that researchers must ‘ensure that the Personal Information is Pseudonymised unless there is a compelling reason why it is not feasible or appropriate’.</w:t>
      </w:r>
    </w:p>
    <w:p w14:paraId="1EF8166A" w14:textId="77777777" w:rsidR="008D0C88" w:rsidRDefault="00000000">
      <w:pPr>
        <w:numPr>
          <w:ilvl w:val="0"/>
          <w:numId w:val="2"/>
        </w:numPr>
        <w:ind w:right="0" w:hanging="460"/>
      </w:pPr>
      <w:r>
        <w:t xml:space="preserve">Referred to as ‘personal information’. </w:t>
      </w:r>
    </w:p>
    <w:p w14:paraId="2E80A4EB" w14:textId="77777777" w:rsidR="008D0C88" w:rsidRDefault="00000000">
      <w:pPr>
        <w:numPr>
          <w:ilvl w:val="0"/>
          <w:numId w:val="2"/>
        </w:numPr>
        <w:ind w:right="0" w:hanging="460"/>
      </w:pPr>
      <w:r>
        <w:t xml:space="preserve">‘Regulation (EU) 2022/2065 of the European Parliament and of the Council of 19 October 2022 on a Single Market for Digital Services and Amending Directive 2000/31/EC (Digital Services Act)’, https://eur-lex.europa.eu/ </w:t>
      </w:r>
      <w:proofErr w:type="gramStart"/>
      <w:r>
        <w:t>legal-content</w:t>
      </w:r>
      <w:proofErr w:type="gramEnd"/>
      <w:r>
        <w:t>/</w:t>
      </w:r>
      <w:proofErr w:type="spellStart"/>
      <w:r>
        <w:t>en</w:t>
      </w:r>
      <w:proofErr w:type="spellEnd"/>
      <w:r>
        <w:t>/TXT/?</w:t>
      </w:r>
      <w:proofErr w:type="spellStart"/>
      <w:r>
        <w:t>uri</w:t>
      </w:r>
      <w:proofErr w:type="spellEnd"/>
      <w:r>
        <w:t xml:space="preserve">=CELEX%3A32022R2065 (accessed 8 June 2023). </w:t>
      </w:r>
    </w:p>
    <w:p w14:paraId="18439EFE" w14:textId="77777777" w:rsidR="008D0C88" w:rsidRDefault="00000000">
      <w:pPr>
        <w:numPr>
          <w:ilvl w:val="0"/>
          <w:numId w:val="2"/>
        </w:numPr>
        <w:ind w:right="0" w:hanging="460"/>
      </w:pPr>
      <w:r>
        <w:t>‘Regulation (EU) 2022/1925 of the European Parliament and of the Council of 14 September 2022 on Contestable and Fair Markets in the Digital Sector and Amending Directives (EU) 2019/1937 and (EU) 2020/1828 (Digital Markets Act)’, https://eur-lex.europa.eu/legal-content/EN/ TXT/?</w:t>
      </w:r>
      <w:proofErr w:type="spellStart"/>
      <w:r>
        <w:t>uri</w:t>
      </w:r>
      <w:proofErr w:type="spellEnd"/>
      <w:r>
        <w:t xml:space="preserve">=CELEX%3A32022R1925 (accessed 8 June 2023). </w:t>
      </w:r>
    </w:p>
    <w:p w14:paraId="75374505" w14:textId="77777777" w:rsidR="008D0C88" w:rsidRDefault="00000000">
      <w:pPr>
        <w:numPr>
          <w:ilvl w:val="0"/>
          <w:numId w:val="2"/>
        </w:numPr>
        <w:ind w:right="0" w:hanging="460"/>
      </w:pPr>
      <w:r>
        <w:t>European Parliament legislative resolution of 13 March 2024 on the proposal for a regulation of the European Parliament and of the Council to lay down harmonized rules on Artificial Intelligence (Artificial Intelligence Act) and to amend certain Union Legislative Acts (</w:t>
      </w:r>
      <w:proofErr w:type="gramStart"/>
      <w:r>
        <w:t>COM(</w:t>
      </w:r>
      <w:proofErr w:type="gramEnd"/>
      <w:r>
        <w:t>2021)0206 – C9-0146/2021 – 2021/0106(COD)), https://www.europarl.europa.eu/doceo/document/TA9-2024-0138_EN.pdf (accessed 8 April 2024).</w:t>
      </w:r>
    </w:p>
    <w:p w14:paraId="645FCD58" w14:textId="77777777" w:rsidR="008D0C88" w:rsidRDefault="00000000">
      <w:pPr>
        <w:numPr>
          <w:ilvl w:val="0"/>
          <w:numId w:val="2"/>
        </w:numPr>
        <w:ind w:right="0" w:hanging="460"/>
      </w:pPr>
      <w:r>
        <w:t>Ibid.; ‘Regulation (EU) 2023/2854 of the European Parliament and of the Council of 13 December 2023’.</w:t>
      </w:r>
    </w:p>
    <w:p w14:paraId="4A55A4D3" w14:textId="77777777" w:rsidR="008D0C88" w:rsidRDefault="00000000">
      <w:pPr>
        <w:numPr>
          <w:ilvl w:val="0"/>
          <w:numId w:val="2"/>
        </w:numPr>
        <w:ind w:right="0" w:hanging="460"/>
      </w:pPr>
      <w:r>
        <w:t xml:space="preserve">‘AU Data Policy Framework’, 39. </w:t>
      </w:r>
    </w:p>
    <w:p w14:paraId="52A11628" w14:textId="77777777" w:rsidR="008D0C88" w:rsidRDefault="00000000">
      <w:pPr>
        <w:numPr>
          <w:ilvl w:val="0"/>
          <w:numId w:val="2"/>
        </w:numPr>
        <w:ind w:right="0" w:hanging="460"/>
      </w:pPr>
      <w:r>
        <w:lastRenderedPageBreak/>
        <w:t>‘Briefing on Regulatory Sandboxes’, United Nations Secretary-General’s Special Advocate for Inclusive Finance for Development (UNSGSA), https://www.unsgsa.org/sites/default/files/resources-files/2020-09/Fintech_ Briefing_Paper_Regulatory_Sandboxes.pdf (accessed 15 December 2024).</w:t>
      </w:r>
    </w:p>
    <w:p w14:paraId="08DBDEC4" w14:textId="77777777" w:rsidR="008D0C88" w:rsidRDefault="00000000">
      <w:pPr>
        <w:numPr>
          <w:ilvl w:val="0"/>
          <w:numId w:val="2"/>
        </w:numPr>
        <w:ind w:right="0" w:hanging="460"/>
      </w:pPr>
      <w:r>
        <w:t>‘Impact Assessment Report and Support Studies Accompanying the Proposal for a Data Act’, https://digital-strategy.ec.europa.eu/en/library/impactassessment-report-and-support-studies-accompanying-proposal-data-act (accessed 8 April 2024).</w:t>
      </w:r>
    </w:p>
    <w:p w14:paraId="75FDBDB2" w14:textId="77777777" w:rsidR="008D0C88" w:rsidRDefault="00000000">
      <w:pPr>
        <w:numPr>
          <w:ilvl w:val="0"/>
          <w:numId w:val="2"/>
        </w:numPr>
        <w:ind w:right="0" w:hanging="460"/>
      </w:pPr>
      <w:r>
        <w:t>‘Public Consultation on the Data Act: Summary Report’, https://ec.europa.</w:t>
      </w:r>
    </w:p>
    <w:p w14:paraId="22635438" w14:textId="77777777" w:rsidR="008D0C88" w:rsidRDefault="00000000">
      <w:pPr>
        <w:ind w:left="470" w:right="0"/>
      </w:pPr>
      <w:proofErr w:type="spellStart"/>
      <w:r>
        <w:t>eu</w:t>
      </w:r>
      <w:proofErr w:type="spellEnd"/>
      <w:r>
        <w:t>/newsroom/</w:t>
      </w:r>
      <w:proofErr w:type="spellStart"/>
      <w:r>
        <w:t>dae</w:t>
      </w:r>
      <w:proofErr w:type="spellEnd"/>
      <w:r>
        <w:t xml:space="preserve">/redirection/document/81599 (accessed 15 December 2024). </w:t>
      </w:r>
    </w:p>
    <w:p w14:paraId="57A2BA3D" w14:textId="77777777" w:rsidR="008D0C88" w:rsidRDefault="00000000">
      <w:pPr>
        <w:numPr>
          <w:ilvl w:val="0"/>
          <w:numId w:val="2"/>
        </w:numPr>
        <w:ind w:right="0" w:hanging="460"/>
      </w:pPr>
      <w:r>
        <w:t>This is as of as of 25 February 2023. https://www.xe.com/currencyconverter/</w:t>
      </w:r>
    </w:p>
    <w:p w14:paraId="18CFA475" w14:textId="77777777" w:rsidR="008D0C88" w:rsidRDefault="00000000">
      <w:pPr>
        <w:ind w:left="470" w:right="0"/>
      </w:pPr>
      <w:r>
        <w:t xml:space="preserve">convert/?Amount=15000000000000&amp;From=EUR&amp;To=USD (accessed 25 February 2023). </w:t>
      </w:r>
    </w:p>
    <w:p w14:paraId="70E4DE5D" w14:textId="77777777" w:rsidR="008D0C88" w:rsidRDefault="00000000">
      <w:pPr>
        <w:numPr>
          <w:ilvl w:val="0"/>
          <w:numId w:val="2"/>
        </w:numPr>
        <w:ind w:right="0" w:hanging="460"/>
      </w:pPr>
      <w:r>
        <w:t xml:space="preserve">‘A European Strategy for Data’, Communication from the Commission to the European Parliament, the Council, the European Economic and Social Committee and the Committee of the Regions, 19 February 2020, https://eur-lex.europa.eu/legal-content/EN/TXT/?qid=1593073685620&amp; </w:t>
      </w:r>
      <w:proofErr w:type="spellStart"/>
      <w:r>
        <w:t>uri</w:t>
      </w:r>
      <w:proofErr w:type="spellEnd"/>
      <w:r>
        <w:t>=CELEX%3A52020DC0066 (accessed 25 February 2023).</w:t>
      </w:r>
    </w:p>
    <w:p w14:paraId="17338907" w14:textId="77777777" w:rsidR="008D0C88" w:rsidRDefault="00000000">
      <w:pPr>
        <w:numPr>
          <w:ilvl w:val="0"/>
          <w:numId w:val="2"/>
        </w:numPr>
        <w:ind w:right="0" w:hanging="460"/>
      </w:pPr>
      <w:r>
        <w:t>‘African Countries with the Highest Gross Domestic Product (GDP) in 2021’, Statista, 2021, https://www.statista.com/statistics/1120999/gdp-ofafrican-countries-by-country (accessed 25 February 2023).</w:t>
      </w:r>
    </w:p>
    <w:p w14:paraId="2F1C92F5" w14:textId="77777777" w:rsidR="008D0C88" w:rsidRDefault="00000000">
      <w:pPr>
        <w:numPr>
          <w:ilvl w:val="0"/>
          <w:numId w:val="2"/>
        </w:numPr>
        <w:ind w:right="0" w:hanging="460"/>
      </w:pPr>
      <w:r>
        <w:t>‘Market capitalization of Apple (AAPL)’, Apple, 2023, https:// companiesmarketcap.com/tech/largest-tech-companies-by-market-cap (accessed 25</w:t>
      </w:r>
      <w:r>
        <w:rPr>
          <w:sz w:val="18"/>
          <w:vertAlign w:val="superscript"/>
        </w:rPr>
        <w:t xml:space="preserve"> </w:t>
      </w:r>
      <w:r>
        <w:t>February 2023).</w:t>
      </w:r>
    </w:p>
    <w:p w14:paraId="763E8A6E" w14:textId="77777777" w:rsidR="008D0C88" w:rsidRDefault="00000000">
      <w:pPr>
        <w:numPr>
          <w:ilvl w:val="0"/>
          <w:numId w:val="2"/>
        </w:numPr>
        <w:ind w:right="0" w:hanging="460"/>
      </w:pPr>
      <w:r>
        <w:t xml:space="preserve">It is unclear why the right to access product data is limited to the user and the person nominated by the user in the DA. The first reference to ‘research’ </w:t>
      </w:r>
      <w:proofErr w:type="gramStart"/>
      <w:r>
        <w:t>is located in</w:t>
      </w:r>
      <w:proofErr w:type="gramEnd"/>
      <w:r>
        <w:t xml:space="preserve"> Article 21 which focuses on access by researchers to public bodies, rather than ‘data </w:t>
      </w:r>
      <w:proofErr w:type="gramStart"/>
      <w:r>
        <w:t>holders’</w:t>
      </w:r>
      <w:proofErr w:type="gramEnd"/>
      <w:r>
        <w:t xml:space="preserve">. Interestingly, the final version of the DA introduced Article 44(3) which indicates that the DA is without prejudice to union and national law, providing for ‘access to and authorizing the use of data for scientific research purposes’ which may turn out to be a backdoor into access by African researchers to data held in the EU. </w:t>
      </w:r>
    </w:p>
    <w:sectPr w:rsidR="008D0C88">
      <w:headerReference w:type="even" r:id="rId7"/>
      <w:headerReference w:type="default" r:id="rId8"/>
      <w:footerReference w:type="even" r:id="rId9"/>
      <w:footerReference w:type="default" r:id="rId10"/>
      <w:headerReference w:type="first" r:id="rId11"/>
      <w:footerReference w:type="first" r:id="rId12"/>
      <w:pgSz w:w="9480" w:h="13800"/>
      <w:pgMar w:top="1827" w:right="1496" w:bottom="1436" w:left="1500" w:header="720" w:footer="720" w:gutter="0"/>
      <w:pgNumType w:start="147"/>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E8BD1" w14:textId="77777777" w:rsidR="001F201F" w:rsidRDefault="001F201F">
      <w:pPr>
        <w:spacing w:after="0" w:line="240" w:lineRule="auto"/>
      </w:pPr>
      <w:r>
        <w:separator/>
      </w:r>
    </w:p>
  </w:endnote>
  <w:endnote w:type="continuationSeparator" w:id="0">
    <w:p w14:paraId="2BCA1C43" w14:textId="77777777" w:rsidR="001F201F" w:rsidRDefault="001F2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EBEC5" w14:textId="77777777" w:rsidR="008D0C88" w:rsidRDefault="00000000">
    <w:pPr>
      <w:spacing w:after="0" w:line="259" w:lineRule="auto"/>
      <w:ind w:left="-1500" w:right="7984"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17983A3A" wp14:editId="45FE6F47">
              <wp:simplePos x="0" y="0"/>
              <wp:positionH relativeFrom="page">
                <wp:posOffset>0</wp:posOffset>
              </wp:positionH>
              <wp:positionV relativeFrom="page">
                <wp:posOffset>8496300</wp:posOffset>
              </wp:positionV>
              <wp:extent cx="266700" cy="266700"/>
              <wp:effectExtent l="0" t="0" r="0" b="0"/>
              <wp:wrapSquare wrapText="bothSides"/>
              <wp:docPr id="22256" name="Group 2225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2257" name="Shape 22257"/>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2258" name="Shape 22258"/>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256" style="width:21pt;height:21pt;position:absolute;mso-position-horizontal-relative:page;mso-position-horizontal:absolute;margin-left:0pt;mso-position-vertical-relative:page;margin-top:669pt;" coordsize="2667,2667">
              <v:shape id="Shape 22257" style="position:absolute;width:1905;height:0;left:0;top:0;" coordsize="190500,0" path="m190500,0l0,0">
                <v:stroke weight="0.25pt" endcap="flat" joinstyle="miter" miterlimit="10" on="true" color="#000000"/>
                <v:fill on="false" color="#000000" opacity="0"/>
              </v:shape>
              <v:shape id="Shape 22258"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4CFFD713" wp14:editId="0DEADD68">
              <wp:simplePos x="0" y="0"/>
              <wp:positionH relativeFrom="page">
                <wp:posOffset>5753100</wp:posOffset>
              </wp:positionH>
              <wp:positionV relativeFrom="page">
                <wp:posOffset>8496300</wp:posOffset>
              </wp:positionV>
              <wp:extent cx="266700" cy="266700"/>
              <wp:effectExtent l="0" t="0" r="0" b="0"/>
              <wp:wrapSquare wrapText="bothSides"/>
              <wp:docPr id="22259" name="Group 2225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2260" name="Shape 22260"/>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2261" name="Shape 22261"/>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259" style="width:21pt;height:21pt;position:absolute;mso-position-horizontal-relative:page;mso-position-horizontal:absolute;margin-left:453pt;mso-position-vertical-relative:page;margin-top:669pt;" coordsize="2667,2667">
              <v:shape id="Shape 22260" style="position:absolute;width:1905;height:0;left:762;top:0;" coordsize="190500,0" path="m0,0l190500,0">
                <v:stroke weight="0.25pt" endcap="flat" joinstyle="miter" miterlimit="10" on="true" color="#000000"/>
                <v:fill on="false" color="#000000" opacity="0"/>
              </v:shape>
              <v:shape id="Shape 22261"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D4F66" w14:textId="77777777" w:rsidR="008D0C88" w:rsidRDefault="00000000">
    <w:pPr>
      <w:spacing w:after="0" w:line="259" w:lineRule="auto"/>
      <w:ind w:left="-1500" w:right="7984"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063C88AC" wp14:editId="5B53D033">
              <wp:simplePos x="0" y="0"/>
              <wp:positionH relativeFrom="page">
                <wp:posOffset>0</wp:posOffset>
              </wp:positionH>
              <wp:positionV relativeFrom="page">
                <wp:posOffset>8496300</wp:posOffset>
              </wp:positionV>
              <wp:extent cx="266700" cy="266700"/>
              <wp:effectExtent l="0" t="0" r="0" b="0"/>
              <wp:wrapSquare wrapText="bothSides"/>
              <wp:docPr id="22232" name="Group 2223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2233" name="Shape 22233"/>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2234" name="Shape 22234"/>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232" style="width:21pt;height:21pt;position:absolute;mso-position-horizontal-relative:page;mso-position-horizontal:absolute;margin-left:0pt;mso-position-vertical-relative:page;margin-top:669pt;" coordsize="2667,2667">
              <v:shape id="Shape 22233" style="position:absolute;width:1905;height:0;left:0;top:0;" coordsize="190500,0" path="m190500,0l0,0">
                <v:stroke weight="0.25pt" endcap="flat" joinstyle="miter" miterlimit="10" on="true" color="#000000"/>
                <v:fill on="false" color="#000000" opacity="0"/>
              </v:shape>
              <v:shape id="Shape 22234"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39672AB1" wp14:editId="45DD8CEF">
              <wp:simplePos x="0" y="0"/>
              <wp:positionH relativeFrom="page">
                <wp:posOffset>5753100</wp:posOffset>
              </wp:positionH>
              <wp:positionV relativeFrom="page">
                <wp:posOffset>8496300</wp:posOffset>
              </wp:positionV>
              <wp:extent cx="266700" cy="266700"/>
              <wp:effectExtent l="0" t="0" r="0" b="0"/>
              <wp:wrapSquare wrapText="bothSides"/>
              <wp:docPr id="22235" name="Group 2223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2236" name="Shape 22236"/>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2237" name="Shape 22237"/>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235" style="width:21pt;height:21pt;position:absolute;mso-position-horizontal-relative:page;mso-position-horizontal:absolute;margin-left:453pt;mso-position-vertical-relative:page;margin-top:669pt;" coordsize="2667,2667">
              <v:shape id="Shape 22236" style="position:absolute;width:1905;height:0;left:762;top:0;" coordsize="190500,0" path="m0,0l190500,0">
                <v:stroke weight="0.25pt" endcap="flat" joinstyle="miter" miterlimit="10" on="true" color="#000000"/>
                <v:fill on="false" color="#000000" opacity="0"/>
              </v:shape>
              <v:shape id="Shape 22237"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3EBA1" w14:textId="77777777" w:rsidR="008D0C88" w:rsidRDefault="00000000">
    <w:pPr>
      <w:spacing w:after="0" w:line="259" w:lineRule="auto"/>
      <w:ind w:left="-1500" w:right="7984" w:firstLine="0"/>
      <w:jc w:val="left"/>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1E0989D0" wp14:editId="6EF8B20C">
              <wp:simplePos x="0" y="0"/>
              <wp:positionH relativeFrom="page">
                <wp:posOffset>0</wp:posOffset>
              </wp:positionH>
              <wp:positionV relativeFrom="page">
                <wp:posOffset>8496300</wp:posOffset>
              </wp:positionV>
              <wp:extent cx="266700" cy="266700"/>
              <wp:effectExtent l="0" t="0" r="0" b="0"/>
              <wp:wrapSquare wrapText="bothSides"/>
              <wp:docPr id="22208" name="Group 2220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2209" name="Shape 22209"/>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2210" name="Shape 22210"/>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208" style="width:21pt;height:21pt;position:absolute;mso-position-horizontal-relative:page;mso-position-horizontal:absolute;margin-left:0pt;mso-position-vertical-relative:page;margin-top:669pt;" coordsize="2667,2667">
              <v:shape id="Shape 22209" style="position:absolute;width:1905;height:0;left:0;top:0;" coordsize="190500,0" path="m190500,0l0,0">
                <v:stroke weight="0.25pt" endcap="flat" joinstyle="miter" miterlimit="10" on="true" color="#000000"/>
                <v:fill on="false" color="#000000" opacity="0"/>
              </v:shape>
              <v:shape id="Shape 22210"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55D36D1F" wp14:editId="2B0E145B">
              <wp:simplePos x="0" y="0"/>
              <wp:positionH relativeFrom="page">
                <wp:posOffset>5753100</wp:posOffset>
              </wp:positionH>
              <wp:positionV relativeFrom="page">
                <wp:posOffset>8496300</wp:posOffset>
              </wp:positionV>
              <wp:extent cx="266700" cy="266700"/>
              <wp:effectExtent l="0" t="0" r="0" b="0"/>
              <wp:wrapSquare wrapText="bothSides"/>
              <wp:docPr id="22211" name="Group 2221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2212" name="Shape 22212"/>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2213" name="Shape 22213"/>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211" style="width:21pt;height:21pt;position:absolute;mso-position-horizontal-relative:page;mso-position-horizontal:absolute;margin-left:453pt;mso-position-vertical-relative:page;margin-top:669pt;" coordsize="2667,2667">
              <v:shape id="Shape 22212" style="position:absolute;width:1905;height:0;left:762;top:0;" coordsize="190500,0" path="m0,0l190500,0">
                <v:stroke weight="0.25pt" endcap="flat" joinstyle="miter" miterlimit="10" on="true" color="#000000"/>
                <v:fill on="false" color="#000000" opacity="0"/>
              </v:shape>
              <v:shape id="Shape 22213"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1D0D6" w14:textId="77777777" w:rsidR="001F201F" w:rsidRDefault="001F201F">
      <w:pPr>
        <w:spacing w:after="0" w:line="299" w:lineRule="auto"/>
        <w:ind w:left="138" w:hanging="138"/>
      </w:pPr>
      <w:r>
        <w:separator/>
      </w:r>
    </w:p>
  </w:footnote>
  <w:footnote w:type="continuationSeparator" w:id="0">
    <w:p w14:paraId="2D7F7EB4" w14:textId="77777777" w:rsidR="001F201F" w:rsidRDefault="001F201F">
      <w:pPr>
        <w:spacing w:after="0" w:line="299" w:lineRule="auto"/>
        <w:ind w:left="138" w:hanging="138"/>
      </w:pPr>
      <w:r>
        <w:continuationSeparator/>
      </w:r>
    </w:p>
  </w:footnote>
  <w:footnote w:id="1">
    <w:p w14:paraId="562FB595" w14:textId="77777777" w:rsidR="008D0C88" w:rsidRDefault="00000000">
      <w:pPr>
        <w:pStyle w:val="footnotedescription"/>
      </w:pPr>
      <w:r>
        <w:rPr>
          <w:rStyle w:val="footnotemark"/>
        </w:rPr>
        <w:footnoteRef/>
      </w:r>
      <w:r>
        <w:t xml:space="preserve"> This work was supported by the United States’s National Institute of Mental Health and the National Institutes of Health (award number U01MH127690) under the Harnessing Data Science for Health Discovery and Innovation in Africa (DS-I Africa) programme. The content of this chapter is solely the author’s responsibility and does not necessarily represent the official views of the </w:t>
      </w:r>
      <w:proofErr w:type="gramStart"/>
      <w:r>
        <w:t>aforementioned institutes</w:t>
      </w:r>
      <w:proofErr w:type="gramEnd"/>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1D9C9" w14:textId="77777777" w:rsidR="008D0C88" w:rsidRDefault="00000000">
    <w:pPr>
      <w:tabs>
        <w:tab w:val="right" w:pos="6484"/>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7E186395" wp14:editId="08B141E5">
              <wp:simplePos x="0" y="0"/>
              <wp:positionH relativeFrom="page">
                <wp:posOffset>0</wp:posOffset>
              </wp:positionH>
              <wp:positionV relativeFrom="page">
                <wp:posOffset>0</wp:posOffset>
              </wp:positionV>
              <wp:extent cx="266700" cy="266700"/>
              <wp:effectExtent l="0" t="0" r="0" b="0"/>
              <wp:wrapSquare wrapText="bothSides"/>
              <wp:docPr id="22246" name="Group 2224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2247" name="Shape 22247"/>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2248" name="Shape 22248"/>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246" style="width:21pt;height:21pt;position:absolute;mso-position-horizontal-relative:page;mso-position-horizontal:absolute;margin-left:0pt;mso-position-vertical-relative:page;margin-top:0pt;" coordsize="2667,2667">
              <v:shape id="Shape 22247" style="position:absolute;width:1905;height:0;left:0;top:2667;" coordsize="190500,0" path="m190500,0l0,0">
                <v:stroke weight="0.25pt" endcap="flat" joinstyle="miter" miterlimit="10" on="true" color="#000000"/>
                <v:fill on="false" color="#000000" opacity="0"/>
              </v:shape>
              <v:shape id="Shape 22248"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13399DEC" wp14:editId="246C3543">
              <wp:simplePos x="0" y="0"/>
              <wp:positionH relativeFrom="page">
                <wp:posOffset>5753100</wp:posOffset>
              </wp:positionH>
              <wp:positionV relativeFrom="page">
                <wp:posOffset>0</wp:posOffset>
              </wp:positionV>
              <wp:extent cx="266700" cy="266700"/>
              <wp:effectExtent l="0" t="0" r="0" b="0"/>
              <wp:wrapSquare wrapText="bothSides"/>
              <wp:docPr id="22249" name="Group 2224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2250" name="Shape 22250"/>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2251" name="Shape 22251"/>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249" style="width:21pt;height:21pt;position:absolute;mso-position-horizontal-relative:page;mso-position-horizontal:absolute;margin-left:453pt;mso-position-vertical-relative:page;margin-top:0pt;" coordsize="2667,2667">
              <v:shape id="Shape 22250" style="position:absolute;width:1905;height:0;left:762;top:2667;" coordsize="190500,0" path="m0,0l190500,0">
                <v:stroke weight="0.25pt" endcap="flat" joinstyle="miter" miterlimit="10" on="true" color="#000000"/>
                <v:fill on="false" color="#000000" opacity="0"/>
              </v:shape>
              <v:shape id="Shape 22251" style="position:absolute;width:0;height:1905;left:0;top:0;" coordsize="0,190500" path="m0,190500l0,0">
                <v:stroke weight="0.2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b/>
        <w:sz w:val="19"/>
      </w:rPr>
      <w:t>148</w:t>
    </w:r>
    <w:r>
      <w:rPr>
        <w:rFonts w:ascii="Times New Roman" w:eastAsia="Times New Roman" w:hAnsi="Times New Roman" w:cs="Times New Roman"/>
        <w:b/>
        <w:sz w:val="19"/>
      </w:rPr>
      <w:fldChar w:fldCharType="end"/>
    </w:r>
    <w:r>
      <w:rPr>
        <w:rFonts w:ascii="Times New Roman" w:eastAsia="Times New Roman" w:hAnsi="Times New Roman" w:cs="Times New Roman"/>
        <w:b/>
        <w:sz w:val="19"/>
      </w:rPr>
      <w:tab/>
    </w:r>
    <w:r>
      <w:rPr>
        <w:rFonts w:ascii="Times New Roman" w:eastAsia="Times New Roman" w:hAnsi="Times New Roman" w:cs="Times New Roman"/>
        <w:sz w:val="19"/>
      </w:rPr>
      <w:t xml:space="preserve">Paul </w:t>
    </w:r>
    <w:proofErr w:type="spellStart"/>
    <w:r>
      <w:rPr>
        <w:rFonts w:ascii="Times New Roman" w:eastAsia="Times New Roman" w:hAnsi="Times New Roman" w:cs="Times New Roman"/>
        <w:sz w:val="19"/>
      </w:rPr>
      <w:t>Esselaar</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E78B2" w14:textId="77777777" w:rsidR="008D0C88" w:rsidRDefault="00000000">
    <w:pPr>
      <w:tabs>
        <w:tab w:val="right" w:pos="6484"/>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66440C9A" wp14:editId="5BA451CD">
              <wp:simplePos x="0" y="0"/>
              <wp:positionH relativeFrom="page">
                <wp:posOffset>0</wp:posOffset>
              </wp:positionH>
              <wp:positionV relativeFrom="page">
                <wp:posOffset>0</wp:posOffset>
              </wp:positionV>
              <wp:extent cx="266700" cy="266700"/>
              <wp:effectExtent l="0" t="0" r="0" b="0"/>
              <wp:wrapSquare wrapText="bothSides"/>
              <wp:docPr id="22222" name="Group 2222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2223" name="Shape 22223"/>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2224" name="Shape 22224"/>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222" style="width:21pt;height:21pt;position:absolute;mso-position-horizontal-relative:page;mso-position-horizontal:absolute;margin-left:0pt;mso-position-vertical-relative:page;margin-top:0pt;" coordsize="2667,2667">
              <v:shape id="Shape 22223" style="position:absolute;width:1905;height:0;left:0;top:2667;" coordsize="190500,0" path="m190500,0l0,0">
                <v:stroke weight="0.25pt" endcap="flat" joinstyle="miter" miterlimit="10" on="true" color="#000000"/>
                <v:fill on="false" color="#000000" opacity="0"/>
              </v:shape>
              <v:shape id="Shape 22224"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49E307DA" wp14:editId="25B122FE">
              <wp:simplePos x="0" y="0"/>
              <wp:positionH relativeFrom="page">
                <wp:posOffset>5753100</wp:posOffset>
              </wp:positionH>
              <wp:positionV relativeFrom="page">
                <wp:posOffset>0</wp:posOffset>
              </wp:positionV>
              <wp:extent cx="266700" cy="266700"/>
              <wp:effectExtent l="0" t="0" r="0" b="0"/>
              <wp:wrapSquare wrapText="bothSides"/>
              <wp:docPr id="22225" name="Group 2222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2226" name="Shape 22226"/>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2227" name="Shape 22227"/>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225" style="width:21pt;height:21pt;position:absolute;mso-position-horizontal-relative:page;mso-position-horizontal:absolute;margin-left:453pt;mso-position-vertical-relative:page;margin-top:0pt;" coordsize="2667,2667">
              <v:shape id="Shape 22226" style="position:absolute;width:1905;height:0;left:762;top:2667;" coordsize="190500,0" path="m0,0l190500,0">
                <v:stroke weight="0.25pt" endcap="flat" joinstyle="miter" miterlimit="10" on="true" color="#000000"/>
                <v:fill on="false" color="#000000" opacity="0"/>
              </v:shape>
              <v:shape id="Shape 22227" style="position:absolute;width:0;height:1905;left:0;top:0;" coordsize="0,190500" path="m0,190500l0,0">
                <v:stroke weight="0.25pt" endcap="flat" joinstyle="miter" miterlimit="10" on="true" color="#000000"/>
                <v:fill on="false" color="#000000" opacity="0"/>
              </v:shape>
              <w10:wrap type="square"/>
            </v:group>
          </w:pict>
        </mc:Fallback>
      </mc:AlternateContent>
    </w:r>
    <w:r>
      <w:rPr>
        <w:rFonts w:ascii="Times New Roman" w:eastAsia="Times New Roman" w:hAnsi="Times New Roman" w:cs="Times New Roman"/>
        <w:sz w:val="19"/>
      </w:rPr>
      <w:t>Digging into EU Data Laws and Their Impact on African Researchers</w:t>
    </w:r>
    <w:r>
      <w:rPr>
        <w:rFonts w:ascii="Times New Roman" w:eastAsia="Times New Roman" w:hAnsi="Times New Roman" w:cs="Times New Roman"/>
        <w:sz w:val="19"/>
      </w:rPr>
      <w:tab/>
    </w:r>
    <w:r>
      <w:fldChar w:fldCharType="begin"/>
    </w:r>
    <w:r>
      <w:instrText xml:space="preserve"> PAGE   \* MERGEFORMAT </w:instrText>
    </w:r>
    <w:r>
      <w:fldChar w:fldCharType="separate"/>
    </w:r>
    <w:r>
      <w:rPr>
        <w:rFonts w:ascii="Times New Roman" w:eastAsia="Times New Roman" w:hAnsi="Times New Roman" w:cs="Times New Roman"/>
        <w:b/>
        <w:sz w:val="19"/>
      </w:rPr>
      <w:t>149</w:t>
    </w:r>
    <w:r>
      <w:rPr>
        <w:rFonts w:ascii="Times New Roman" w:eastAsia="Times New Roman" w:hAnsi="Times New Roman" w:cs="Times New Roman"/>
        <w:b/>
        <w:sz w:val="19"/>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B64E7" w14:textId="77777777" w:rsidR="008D0C88" w:rsidRDefault="00000000">
    <w:pPr>
      <w:spacing w:after="0" w:line="259" w:lineRule="auto"/>
      <w:ind w:left="-1500" w:right="7984"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5F749559" wp14:editId="16926016">
              <wp:simplePos x="0" y="0"/>
              <wp:positionH relativeFrom="page">
                <wp:posOffset>0</wp:posOffset>
              </wp:positionH>
              <wp:positionV relativeFrom="page">
                <wp:posOffset>0</wp:posOffset>
              </wp:positionV>
              <wp:extent cx="266700" cy="266700"/>
              <wp:effectExtent l="0" t="0" r="0" b="0"/>
              <wp:wrapSquare wrapText="bothSides"/>
              <wp:docPr id="22198" name="Group 2219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2199" name="Shape 22199"/>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2200" name="Shape 22200"/>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198" style="width:21pt;height:21pt;position:absolute;mso-position-horizontal-relative:page;mso-position-horizontal:absolute;margin-left:0pt;mso-position-vertical-relative:page;margin-top:0pt;" coordsize="2667,2667">
              <v:shape id="Shape 22199" style="position:absolute;width:1905;height:0;left:0;top:2667;" coordsize="190500,0" path="m190500,0l0,0">
                <v:stroke weight="0.25pt" endcap="flat" joinstyle="miter" miterlimit="10" on="true" color="#000000"/>
                <v:fill on="false" color="#000000" opacity="0"/>
              </v:shape>
              <v:shape id="Shape 22200"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087CDCED" wp14:editId="393414AA">
              <wp:simplePos x="0" y="0"/>
              <wp:positionH relativeFrom="page">
                <wp:posOffset>5753100</wp:posOffset>
              </wp:positionH>
              <wp:positionV relativeFrom="page">
                <wp:posOffset>0</wp:posOffset>
              </wp:positionV>
              <wp:extent cx="266700" cy="266700"/>
              <wp:effectExtent l="0" t="0" r="0" b="0"/>
              <wp:wrapSquare wrapText="bothSides"/>
              <wp:docPr id="22201" name="Group 2220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22202" name="Shape 22202"/>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22203" name="Shape 22203"/>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201" style="width:21pt;height:21pt;position:absolute;mso-position-horizontal-relative:page;mso-position-horizontal:absolute;margin-left:453pt;mso-position-vertical-relative:page;margin-top:0pt;" coordsize="2667,2667">
              <v:shape id="Shape 22202" style="position:absolute;width:1905;height:0;left:762;top:2667;" coordsize="190500,0" path="m0,0l190500,0">
                <v:stroke weight="0.25pt" endcap="flat" joinstyle="miter" miterlimit="10" on="true" color="#000000"/>
                <v:fill on="false" color="#000000" opacity="0"/>
              </v:shape>
              <v:shape id="Shape 22203"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D1180"/>
    <w:multiLevelType w:val="hybridMultilevel"/>
    <w:tmpl w:val="F7D407EE"/>
    <w:lvl w:ilvl="0" w:tplc="AD369AD0">
      <w:start w:val="1"/>
      <w:numFmt w:val="decimal"/>
      <w:lvlText w:val="%1."/>
      <w:lvlJc w:val="left"/>
      <w:pPr>
        <w:ind w:left="56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1" w:tplc="9D82F6A4">
      <w:start w:val="1"/>
      <w:numFmt w:val="lowerLetter"/>
      <w:lvlText w:val="%2"/>
      <w:lvlJc w:val="left"/>
      <w:pPr>
        <w:ind w:left="132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2" w:tplc="92F2EEB8">
      <w:start w:val="1"/>
      <w:numFmt w:val="lowerRoman"/>
      <w:lvlText w:val="%3"/>
      <w:lvlJc w:val="left"/>
      <w:pPr>
        <w:ind w:left="204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3" w:tplc="A27283E8">
      <w:start w:val="1"/>
      <w:numFmt w:val="decimal"/>
      <w:lvlText w:val="%4"/>
      <w:lvlJc w:val="left"/>
      <w:pPr>
        <w:ind w:left="276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4" w:tplc="F808D3B8">
      <w:start w:val="1"/>
      <w:numFmt w:val="lowerLetter"/>
      <w:lvlText w:val="%5"/>
      <w:lvlJc w:val="left"/>
      <w:pPr>
        <w:ind w:left="348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5" w:tplc="F816086C">
      <w:start w:val="1"/>
      <w:numFmt w:val="lowerRoman"/>
      <w:lvlText w:val="%6"/>
      <w:lvlJc w:val="left"/>
      <w:pPr>
        <w:ind w:left="420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6" w:tplc="6ED415D4">
      <w:start w:val="1"/>
      <w:numFmt w:val="decimal"/>
      <w:lvlText w:val="%7"/>
      <w:lvlJc w:val="left"/>
      <w:pPr>
        <w:ind w:left="492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7" w:tplc="D1702BF4">
      <w:start w:val="1"/>
      <w:numFmt w:val="lowerLetter"/>
      <w:lvlText w:val="%8"/>
      <w:lvlJc w:val="left"/>
      <w:pPr>
        <w:ind w:left="564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8" w:tplc="79066DB0">
      <w:start w:val="1"/>
      <w:numFmt w:val="lowerRoman"/>
      <w:lvlText w:val="%9"/>
      <w:lvlJc w:val="left"/>
      <w:pPr>
        <w:ind w:left="636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abstractNum>
  <w:abstractNum w:abstractNumId="1" w15:restartNumberingAfterBreak="0">
    <w:nsid w:val="6E1E391A"/>
    <w:multiLevelType w:val="hybridMultilevel"/>
    <w:tmpl w:val="D1BE1DDA"/>
    <w:lvl w:ilvl="0" w:tplc="9C7A86FE">
      <w:start w:val="1"/>
      <w:numFmt w:val="decimal"/>
      <w:lvlText w:val="%1."/>
      <w:lvlJc w:val="left"/>
      <w:pPr>
        <w:ind w:left="54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1" w:tplc="6492897A">
      <w:start w:val="1"/>
      <w:numFmt w:val="lowerLetter"/>
      <w:lvlText w:val="%2"/>
      <w:lvlJc w:val="left"/>
      <w:pPr>
        <w:ind w:left="110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2" w:tplc="762E36A8">
      <w:start w:val="1"/>
      <w:numFmt w:val="lowerRoman"/>
      <w:lvlText w:val="%3"/>
      <w:lvlJc w:val="left"/>
      <w:pPr>
        <w:ind w:left="182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3" w:tplc="487AFEF2">
      <w:start w:val="1"/>
      <w:numFmt w:val="decimal"/>
      <w:lvlText w:val="%4"/>
      <w:lvlJc w:val="left"/>
      <w:pPr>
        <w:ind w:left="254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4" w:tplc="130AB8E8">
      <w:start w:val="1"/>
      <w:numFmt w:val="lowerLetter"/>
      <w:lvlText w:val="%5"/>
      <w:lvlJc w:val="left"/>
      <w:pPr>
        <w:ind w:left="326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5" w:tplc="11D6AE18">
      <w:start w:val="1"/>
      <w:numFmt w:val="lowerRoman"/>
      <w:lvlText w:val="%6"/>
      <w:lvlJc w:val="left"/>
      <w:pPr>
        <w:ind w:left="398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6" w:tplc="4B161C44">
      <w:start w:val="1"/>
      <w:numFmt w:val="decimal"/>
      <w:lvlText w:val="%7"/>
      <w:lvlJc w:val="left"/>
      <w:pPr>
        <w:ind w:left="470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7" w:tplc="D2DAB5E4">
      <w:start w:val="1"/>
      <w:numFmt w:val="lowerLetter"/>
      <w:lvlText w:val="%8"/>
      <w:lvlJc w:val="left"/>
      <w:pPr>
        <w:ind w:left="542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8" w:tplc="8E221FAA">
      <w:start w:val="1"/>
      <w:numFmt w:val="lowerRoman"/>
      <w:lvlText w:val="%9"/>
      <w:lvlJc w:val="left"/>
      <w:pPr>
        <w:ind w:left="614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abstractNum>
  <w:num w:numId="1" w16cid:durableId="626856898">
    <w:abstractNumId w:val="0"/>
  </w:num>
  <w:num w:numId="2" w16cid:durableId="1378971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C88"/>
    <w:rsid w:val="001F201F"/>
    <w:rsid w:val="003F68B5"/>
    <w:rsid w:val="004C2B0E"/>
    <w:rsid w:val="007F47C8"/>
    <w:rsid w:val="008D0C88"/>
    <w:rsid w:val="00BF45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75E617A"/>
  <w15:docId w15:val="{12FA1D60-608C-EA4E-82C6-FCD144647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5" w:lineRule="auto"/>
      <w:ind w:left="10" w:right="3" w:hanging="10"/>
      <w:jc w:val="both"/>
    </w:pPr>
    <w:rPr>
      <w:rFonts w:ascii="Garamond" w:eastAsia="Garamond" w:hAnsi="Garamond" w:cs="Garamond"/>
      <w:color w:val="181717"/>
      <w:sz w:val="21"/>
    </w:rPr>
  </w:style>
  <w:style w:type="paragraph" w:styleId="Heading1">
    <w:name w:val="heading 1"/>
    <w:next w:val="Normal"/>
    <w:link w:val="Heading1Char"/>
    <w:uiPriority w:val="9"/>
    <w:qFormat/>
    <w:pPr>
      <w:keepNext/>
      <w:keepLines/>
      <w:spacing w:after="3" w:line="254" w:lineRule="auto"/>
      <w:ind w:left="10" w:hanging="10"/>
      <w:outlineLvl w:val="0"/>
    </w:pPr>
    <w:rPr>
      <w:rFonts w:ascii="Times New Roman" w:eastAsia="Times New Roman" w:hAnsi="Times New Roman" w:cs="Times New Roman"/>
      <w:b/>
      <w:color w:val="181717"/>
      <w:sz w:val="30"/>
    </w:rPr>
  </w:style>
  <w:style w:type="paragraph" w:styleId="Heading2">
    <w:name w:val="heading 2"/>
    <w:next w:val="Normal"/>
    <w:link w:val="Heading2Char"/>
    <w:uiPriority w:val="9"/>
    <w:unhideWhenUsed/>
    <w:qFormat/>
    <w:pPr>
      <w:keepNext/>
      <w:keepLines/>
      <w:spacing w:after="12" w:line="259" w:lineRule="auto"/>
      <w:ind w:left="10" w:hanging="10"/>
      <w:outlineLvl w:val="1"/>
    </w:pPr>
    <w:rPr>
      <w:rFonts w:ascii="Times New Roman" w:eastAsia="Times New Roman" w:hAnsi="Times New Roman" w:cs="Times New Roman"/>
      <w:i/>
      <w:color w:val="181717"/>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181717"/>
      <w:sz w:val="27"/>
    </w:rPr>
  </w:style>
  <w:style w:type="character" w:customStyle="1" w:styleId="Heading1Char">
    <w:name w:val="Heading 1 Char"/>
    <w:link w:val="Heading1"/>
    <w:rPr>
      <w:rFonts w:ascii="Times New Roman" w:eastAsia="Times New Roman" w:hAnsi="Times New Roman" w:cs="Times New Roman"/>
      <w:b/>
      <w:color w:val="181717"/>
      <w:sz w:val="30"/>
    </w:rPr>
  </w:style>
  <w:style w:type="paragraph" w:customStyle="1" w:styleId="footnotedescription">
    <w:name w:val="footnote description"/>
    <w:next w:val="Normal"/>
    <w:link w:val="footnotedescriptionChar"/>
    <w:hidden/>
    <w:pPr>
      <w:spacing w:after="0" w:line="299" w:lineRule="auto"/>
      <w:ind w:left="138" w:right="3" w:hanging="138"/>
      <w:jc w:val="both"/>
    </w:pPr>
    <w:rPr>
      <w:rFonts w:ascii="Garamond" w:eastAsia="Garamond" w:hAnsi="Garamond" w:cs="Garamond"/>
      <w:color w:val="181717"/>
      <w:sz w:val="17"/>
    </w:rPr>
  </w:style>
  <w:style w:type="character" w:customStyle="1" w:styleId="footnotedescriptionChar">
    <w:name w:val="footnote description Char"/>
    <w:link w:val="footnotedescription"/>
    <w:rPr>
      <w:rFonts w:ascii="Garamond" w:eastAsia="Garamond" w:hAnsi="Garamond" w:cs="Garamond"/>
      <w:color w:val="181717"/>
      <w:sz w:val="17"/>
    </w:rPr>
  </w:style>
  <w:style w:type="character" w:customStyle="1" w:styleId="footnotemark">
    <w:name w:val="footnote mark"/>
    <w:hidden/>
    <w:rPr>
      <w:rFonts w:ascii="Garamond" w:eastAsia="Garamond" w:hAnsi="Garamond" w:cs="Garamond"/>
      <w:color w:val="181717"/>
      <w:sz w:val="15"/>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9770</Words>
  <Characters>55690</Characters>
  <Application>Microsoft Office Word</Application>
  <DocSecurity>0</DocSecurity>
  <Lines>464</Lines>
  <Paragraphs>130</Paragraphs>
  <ScaleCrop>false</ScaleCrop>
  <Company/>
  <LinksUpToDate>false</LinksUpToDate>
  <CharactersWithSpaces>65330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Souza, Siddharth</dc:creator>
  <cp:keywords/>
  <cp:lastModifiedBy>De Souza, Siddharth</cp:lastModifiedBy>
  <cp:revision>2</cp:revision>
  <dcterms:created xsi:type="dcterms:W3CDTF">2025-12-01T19:31:00Z</dcterms:created>
  <dcterms:modified xsi:type="dcterms:W3CDTF">2025-12-01T19:31:00Z</dcterms:modified>
</cp:coreProperties>
</file>