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2642" w14:textId="57A35776" w:rsidR="00FD37F3" w:rsidRDefault="00FD37F3" w:rsidP="00DE740E">
      <w:pPr>
        <w:spacing w:after="0" w:line="259" w:lineRule="auto"/>
        <w:ind w:left="0" w:right="5" w:firstLine="0"/>
      </w:pPr>
    </w:p>
    <w:p w14:paraId="2A6E1CDA" w14:textId="0B444227" w:rsidR="00FD37F3" w:rsidRDefault="000D4500" w:rsidP="00996562">
      <w:pPr>
        <w:spacing w:after="0" w:line="259" w:lineRule="auto"/>
        <w:ind w:left="235" w:right="0" w:firstLine="0"/>
        <w:jc w:val="left"/>
      </w:pPr>
      <w:r>
        <w:rPr>
          <w:rFonts w:ascii="Times New Roman" w:eastAsia="Times New Roman" w:hAnsi="Times New Roman" w:cs="Times New Roman"/>
          <w:b/>
          <w:sz w:val="34"/>
        </w:rPr>
        <w:t xml:space="preserve">Access to Data on Disinformation within </w:t>
      </w:r>
      <w:proofErr w:type="gramStart"/>
      <w:r>
        <w:rPr>
          <w:rFonts w:ascii="Times New Roman" w:eastAsia="Times New Roman" w:hAnsi="Times New Roman" w:cs="Times New Roman"/>
          <w:b/>
          <w:sz w:val="34"/>
        </w:rPr>
        <w:t xml:space="preserve">the </w:t>
      </w:r>
      <w:r w:rsidR="00996562">
        <w:t xml:space="preserve"> </w:t>
      </w:r>
      <w:r>
        <w:rPr>
          <w:rFonts w:ascii="Times New Roman" w:eastAsia="Times New Roman" w:hAnsi="Times New Roman" w:cs="Times New Roman"/>
          <w:b/>
          <w:sz w:val="34"/>
        </w:rPr>
        <w:t>Code</w:t>
      </w:r>
      <w:proofErr w:type="gramEnd"/>
      <w:r>
        <w:rPr>
          <w:rFonts w:ascii="Times New Roman" w:eastAsia="Times New Roman" w:hAnsi="Times New Roman" w:cs="Times New Roman"/>
          <w:b/>
          <w:sz w:val="34"/>
        </w:rPr>
        <w:t xml:space="preserve"> of Practice on Disinformation </w:t>
      </w:r>
    </w:p>
    <w:p w14:paraId="5D55A92A" w14:textId="77777777" w:rsidR="00FD37F3" w:rsidRDefault="000D4500">
      <w:pPr>
        <w:spacing w:after="1520" w:line="259" w:lineRule="auto"/>
        <w:ind w:left="0" w:right="5" w:firstLine="0"/>
        <w:jc w:val="center"/>
      </w:pPr>
      <w:r>
        <w:rPr>
          <w:rFonts w:ascii="Times New Roman" w:eastAsia="Times New Roman" w:hAnsi="Times New Roman" w:cs="Times New Roman"/>
          <w:i/>
          <w:sz w:val="20"/>
        </w:rPr>
        <w:t>Michalina Kowala</w:t>
      </w:r>
    </w:p>
    <w:p w14:paraId="3A47A585" w14:textId="77777777" w:rsidR="00FD37F3" w:rsidRDefault="000D4500">
      <w:pPr>
        <w:pStyle w:val="Heading1"/>
        <w:ind w:left="-5"/>
      </w:pPr>
      <w:r>
        <w:t>From Discretion to Obligation? The Researchers’ Access to Data on Disinformation in the Framework of the Code of Practice on Disinformation</w:t>
      </w:r>
    </w:p>
    <w:p w14:paraId="69A5C36B" w14:textId="77777777" w:rsidR="00FD37F3" w:rsidRDefault="000D4500">
      <w:pPr>
        <w:ind w:left="0" w:right="0" w:firstLine="0"/>
      </w:pPr>
      <w:r>
        <w:t>The phenomenon of disinformation is not new. As far back as antiquity, Julius Caesar used the tools of propaganda to demonstrate his power in order to convert people to the Roman way of life.</w:t>
      </w:r>
      <w:r>
        <w:rPr>
          <w:sz w:val="19"/>
          <w:vertAlign w:val="superscript"/>
        </w:rPr>
        <w:t>1</w:t>
      </w:r>
      <w:r>
        <w:t xml:space="preserve"> Today, disinformation, defined as ‘verifiably false or misleading information that is created, presented and disseminated for economic gain or to intentionally deceive the public, and may cause public harm’,</w:t>
      </w:r>
      <w:r>
        <w:rPr>
          <w:sz w:val="19"/>
          <w:vertAlign w:val="superscript"/>
        </w:rPr>
        <w:t>2</w:t>
      </w:r>
      <w:r>
        <w:t xml:space="preserve"> is propagated above all in the digital environment. It contributes to polarization and spread of extreme ideas,</w:t>
      </w:r>
      <w:r>
        <w:rPr>
          <w:sz w:val="19"/>
          <w:vertAlign w:val="superscript"/>
        </w:rPr>
        <w:t>3</w:t>
      </w:r>
      <w:r>
        <w:t xml:space="preserve"> leading to rise in populism and major social tensions. It ‘undermines trust in institutions and in traditional and digital media, and hinders citizens’ ability to make informed decisions’.</w:t>
      </w:r>
      <w:r>
        <w:rPr>
          <w:sz w:val="19"/>
          <w:vertAlign w:val="superscript"/>
        </w:rPr>
        <w:t>4</w:t>
      </w:r>
      <w:r>
        <w:t xml:space="preserve"> It impacts the policymaking process by giving a distorted image of the actions of public authorities. </w:t>
      </w:r>
    </w:p>
    <w:p w14:paraId="1746D37D" w14:textId="77777777" w:rsidR="00FD37F3" w:rsidRDefault="000D4500">
      <w:pPr>
        <w:ind w:left="0" w:right="0" w:firstLine="240"/>
      </w:pPr>
      <w:r>
        <w:t>Disinformation has intensified in the run-up to the presidential elections in the United States in 2016 and the Brexit referendum. According to 83 per cent of Europeans, this phenomenon constitutes a threat to democracy.</w:t>
      </w:r>
      <w:r>
        <w:rPr>
          <w:sz w:val="19"/>
          <w:vertAlign w:val="superscript"/>
        </w:rPr>
        <w:t>5</w:t>
      </w:r>
      <w:r>
        <w:t xml:space="preserve"> Spread mainly by online platforms,</w:t>
      </w:r>
      <w:r>
        <w:rPr>
          <w:sz w:val="19"/>
          <w:vertAlign w:val="superscript"/>
        </w:rPr>
        <w:t>6</w:t>
      </w:r>
      <w:r>
        <w:t xml:space="preserve"> it required an immediate legal response at the European Union (EU) level. The Code of Practice on Disinformation, established in 2018, has been the first such framework worldwide, setting out the commitments by platforms and industry to fight disinformation. One of its objectives was to empower the research community. However, the assessment of the implementation of the commitments enshrined therein conducted by the European Commission, the European Regulators Group for Audiovisual Media Services (ERGA), and other independent consultancy bodies revealed the multitude of shortcomings. To address them, the strengthened Code of Practice </w:t>
      </w:r>
      <w:r>
        <w:lastRenderedPageBreak/>
        <w:t xml:space="preserve">on Disinformation was adopted in 2022. The objective of this chapter is to discuss the changes in data access for researchers studying disinformation since the adoption of the new code. </w:t>
      </w:r>
    </w:p>
    <w:p w14:paraId="132C204E" w14:textId="7E570002" w:rsidR="00FD37F3" w:rsidRDefault="000D4500">
      <w:pPr>
        <w:spacing w:after="453"/>
        <w:ind w:left="0" w:right="0" w:firstLine="240"/>
      </w:pPr>
      <w:r>
        <w:t>First, the framework of the researchers’ access to data provided in the 2018 code will be presented. Second, I will refer to my research experience in accessing data from Facebook through the mechanisms implemented by the platform following the adoption of the 2018 code. Third, I will discuss the commitments included in the 2022 code regarding researchers’ access to data. I will look at the types of data that researchers are entitled to access, the process of applying for and obtaining data, and the adopted enforcement mechanisms. Further, the focus will be on the tools that Facebook has put in place to implement the commitments included in the new code. I will once again refer to my research experience in order to assess whether my goals would be achievable under the 2022 code. It will involve the comparative analysis between the code (voluntary initiatives) and binding law (notably the Digital Services Act [DSA], 2022). The objective of the chapter is also to determine how the relationship between researchers and the platform as regards the access to data on disinformation has changed and what characterizes it today. I make use of the autoethnography method of research. It allows for the assessment of the tools made available by Facebook as a result of the implementation of the codes and leads to the determination of the scope of researchers’ access to data on disinformation. I decided to choose Facebook</w:t>
      </w:r>
      <w:r>
        <w:rPr>
          <w:sz w:val="19"/>
          <w:vertAlign w:val="superscript"/>
        </w:rPr>
        <w:t>7</w:t>
      </w:r>
      <w:r>
        <w:t xml:space="preserve"> to study the mechanisms for granting researchers’ access to data since it was one of the first signatories of the 2018 code. Moreover, it is considered as the most</w:t>
      </w:r>
      <w:r w:rsidR="00753312">
        <w:t xml:space="preserve"> </w:t>
      </w:r>
      <w:r>
        <w:t>used social network for news</w:t>
      </w:r>
      <w:r>
        <w:rPr>
          <w:sz w:val="19"/>
          <w:vertAlign w:val="superscript"/>
        </w:rPr>
        <w:t>8</w:t>
      </w:r>
      <w:r>
        <w:t xml:space="preserve"> and ‘the worst perpetrator’ as regards the spread of disinformation.</w:t>
      </w:r>
      <w:r>
        <w:rPr>
          <w:sz w:val="19"/>
          <w:vertAlign w:val="superscript"/>
        </w:rPr>
        <w:t>9</w:t>
      </w:r>
    </w:p>
    <w:p w14:paraId="1EE0052A" w14:textId="77777777" w:rsidR="00FD37F3" w:rsidRDefault="000D4500">
      <w:pPr>
        <w:pStyle w:val="Heading1"/>
        <w:ind w:left="-5"/>
      </w:pPr>
      <w:r>
        <w:t>The 2018 Code of Practice on Disinformation</w:t>
      </w:r>
    </w:p>
    <w:p w14:paraId="1332D1E9" w14:textId="77777777" w:rsidR="00FD37F3" w:rsidRDefault="000D4500">
      <w:pPr>
        <w:spacing w:after="250"/>
        <w:ind w:left="0" w:right="0" w:firstLine="0"/>
      </w:pPr>
      <w:r>
        <w:t xml:space="preserve">The European Commission in 2018 declared that </w:t>
      </w:r>
    </w:p>
    <w:p w14:paraId="1FAB8D38" w14:textId="77777777" w:rsidR="00FD37F3" w:rsidRDefault="000D4500">
      <w:pPr>
        <w:ind w:left="240" w:right="244" w:firstLine="0"/>
      </w:pPr>
      <w:r>
        <w:t>there are growing expectations that online platforms should not only comply with legal obligations under the EU and national law but also act with appropriate responsibility in views of their central role so as to ensure a safe online environment, to protect users from disinformation, and to offer users exposure to different political views.</w:t>
      </w:r>
      <w:r>
        <w:rPr>
          <w:sz w:val="18"/>
          <w:vertAlign w:val="superscript"/>
        </w:rPr>
        <w:t>10</w:t>
      </w:r>
    </w:p>
    <w:p w14:paraId="13557251" w14:textId="77777777" w:rsidR="00FD37F3" w:rsidRDefault="000D4500">
      <w:pPr>
        <w:spacing w:after="298"/>
        <w:ind w:left="0" w:right="0" w:firstLine="0"/>
      </w:pPr>
      <w:r>
        <w:t xml:space="preserve">It called upon platforms to step up their efforts to tackle online disinformation. The European Commission considered that self-regulation could contribute to these efforts, provided it is effectively implemented and monitored. To this end, the commission supported the development of the Code of Practice on </w:t>
      </w:r>
      <w:r>
        <w:lastRenderedPageBreak/>
        <w:t>Disinformation,</w:t>
      </w:r>
      <w:r>
        <w:rPr>
          <w:sz w:val="19"/>
          <w:vertAlign w:val="superscript"/>
        </w:rPr>
        <w:t>11</w:t>
      </w:r>
      <w:r>
        <w:t xml:space="preserve"> which was signed in October 2018. It constitutes a set of standards agreed by online platforms, tech companies, and representatives of the advertising industry to address the spread of disinformation. </w:t>
      </w:r>
    </w:p>
    <w:p w14:paraId="500F4027" w14:textId="77777777" w:rsidR="00FD37F3" w:rsidRDefault="000D4500">
      <w:pPr>
        <w:pStyle w:val="Heading2"/>
        <w:ind w:left="-5"/>
      </w:pPr>
      <w:r>
        <w:t xml:space="preserve">The 2018 Code: An Instrument of Soft Law </w:t>
      </w:r>
    </w:p>
    <w:p w14:paraId="741CF0E1" w14:textId="77777777" w:rsidR="00FD37F3" w:rsidRDefault="000D4500">
      <w:pPr>
        <w:spacing w:after="298"/>
        <w:ind w:left="0" w:right="0" w:firstLine="0"/>
      </w:pPr>
      <w:r>
        <w:t>The use of the soft law is often explained by the greater ease with which stakeholders can formulate and reach agreement, as well as by lower administrative costs. The adoption of such an instrument is seen in some cases as a temporary alternative to binding legislation, which may already be in the pipeline.</w:t>
      </w:r>
      <w:r>
        <w:rPr>
          <w:sz w:val="19"/>
          <w:vertAlign w:val="superscript"/>
        </w:rPr>
        <w:t>12</w:t>
      </w:r>
      <w:r>
        <w:t xml:space="preserve"> Furthermore, soft law constitutes a mean of stimulating progress and is preferred when member states have considerable interests that they do not wish to jeopardize. It is often proposed to regulate the online environment, which is characterized by rapid technological change.</w:t>
      </w:r>
      <w:r>
        <w:rPr>
          <w:sz w:val="19"/>
          <w:vertAlign w:val="superscript"/>
        </w:rPr>
        <w:t>13</w:t>
      </w:r>
      <w:r>
        <w:t xml:space="preserve"> Contrary to hard law, it contains non-binding measures that cannot be legally enforced and is of voluntary nature. </w:t>
      </w:r>
    </w:p>
    <w:p w14:paraId="1551EA57" w14:textId="77777777" w:rsidR="00FD37F3" w:rsidRDefault="000D4500">
      <w:pPr>
        <w:pStyle w:val="Heading2"/>
        <w:ind w:left="-5"/>
      </w:pPr>
      <w:r>
        <w:t xml:space="preserve">Commitments under the 2018 Code </w:t>
      </w:r>
    </w:p>
    <w:p w14:paraId="0297D62A" w14:textId="77777777" w:rsidR="00FD37F3" w:rsidRDefault="000D4500">
      <w:pPr>
        <w:spacing w:after="47"/>
        <w:ind w:left="0" w:right="0" w:firstLine="0"/>
      </w:pPr>
      <w:r>
        <w:t>The code consists of commitments divided into five groups and related to following five areas: (</w:t>
      </w:r>
      <w:r>
        <w:rPr>
          <w:i/>
        </w:rPr>
        <w:t>a</w:t>
      </w:r>
      <w:r>
        <w:t>) scrutiny of ad placements, (</w:t>
      </w:r>
      <w:r>
        <w:rPr>
          <w:i/>
        </w:rPr>
        <w:t>b</w:t>
      </w:r>
      <w:r>
        <w:t>) political advertising and issue-based advertising, (</w:t>
      </w:r>
      <w:r>
        <w:rPr>
          <w:i/>
        </w:rPr>
        <w:t>c</w:t>
      </w:r>
      <w:r>
        <w:t>) integrity of services, (</w:t>
      </w:r>
      <w:r>
        <w:rPr>
          <w:i/>
        </w:rPr>
        <w:t>d</w:t>
      </w:r>
      <w:r>
        <w:t>) empowering consumers, and (</w:t>
      </w:r>
      <w:r>
        <w:rPr>
          <w:i/>
        </w:rPr>
        <w:t>e</w:t>
      </w:r>
      <w:r>
        <w:t>) empowering the research community. It bound only its signatories who were free to select the commitments they wanted to sign up for. Due to the nature of the code, no mechanism of enforcement or for action in case of non-compliance had been provided.</w:t>
      </w:r>
      <w:r>
        <w:rPr>
          <w:sz w:val="19"/>
          <w:vertAlign w:val="superscript"/>
        </w:rPr>
        <w:t>14</w:t>
      </w:r>
    </w:p>
    <w:p w14:paraId="15FFB279" w14:textId="77777777" w:rsidR="00FD37F3" w:rsidRDefault="000D4500">
      <w:pPr>
        <w:spacing w:after="412"/>
        <w:ind w:left="0" w:right="0" w:firstLine="240"/>
      </w:pPr>
      <w:r>
        <w:t>As regards the empowerment of researchers with tools enabling the scrutiny of the phenomenon of disinformation and measures implemented by platforms to address it, the signatories of the 2018 code committed to taking the reasonable measures to enable privacy-compliant access to data for research activities. They recognized the purpose of scientific cooperation and committed to provide relevant data on the functioning of their services, including data for independent investigation by academic researchers and general information on algorithms.</w:t>
      </w:r>
      <w:r>
        <w:rPr>
          <w:sz w:val="19"/>
          <w:vertAlign w:val="superscript"/>
        </w:rPr>
        <w:t>15</w:t>
      </w:r>
      <w:r>
        <w:t xml:space="preserve"> In order to fulfil these commitments, signatories declared their support for ‘good faith independent’ efforts to track disinformation and to understand its impact. This support included sharing privacy-protected datasets, undertaking joint research, or partnering with academics and civil society organizations.</w:t>
      </w:r>
      <w:r>
        <w:rPr>
          <w:sz w:val="19"/>
          <w:vertAlign w:val="superscript"/>
        </w:rPr>
        <w:t>16</w:t>
      </w:r>
      <w:r>
        <w:t xml:space="preserve"> To measure and monitor the code’s effectiveness, the signatories committed to write an annual account of their work to counter disinformation. However, no specific reporting scheme has been established for this purpose, and neither the metrics </w:t>
      </w:r>
      <w:r>
        <w:lastRenderedPageBreak/>
        <w:t xml:space="preserve">that should be reported by the signatories. The latter agreed to cooperate with the European Commission, including making available appropriate information upon request or responding to the commission’s questions and consultations. </w:t>
      </w:r>
    </w:p>
    <w:p w14:paraId="0D6E7BB1" w14:textId="77777777" w:rsidR="00FD37F3" w:rsidRDefault="000D4500">
      <w:pPr>
        <w:spacing w:after="3" w:line="254" w:lineRule="auto"/>
        <w:ind w:left="-5" w:right="0" w:hanging="10"/>
        <w:jc w:val="left"/>
      </w:pPr>
      <w:r>
        <w:rPr>
          <w:rFonts w:ascii="Times New Roman" w:eastAsia="Times New Roman" w:hAnsi="Times New Roman" w:cs="Times New Roman"/>
          <w:b/>
          <w:sz w:val="30"/>
        </w:rPr>
        <w:t xml:space="preserve">Researchers’ Access to Data under the 2018  </w:t>
      </w:r>
    </w:p>
    <w:p w14:paraId="628BF477" w14:textId="77777777" w:rsidR="00FD37F3" w:rsidRDefault="000D4500">
      <w:pPr>
        <w:pStyle w:val="Heading1"/>
        <w:ind w:left="-5"/>
      </w:pPr>
      <w:r>
        <w:t xml:space="preserve">Code of Practice on Disinformation </w:t>
      </w:r>
    </w:p>
    <w:p w14:paraId="2E2E57CB" w14:textId="77777777" w:rsidR="00FD37F3" w:rsidRDefault="000D4500">
      <w:pPr>
        <w:spacing w:after="30"/>
        <w:ind w:left="0" w:right="0" w:firstLine="0"/>
      </w:pPr>
      <w:r>
        <w:t>In 2020, I conducted research on measures to combat disinformation introduced by Facebook. My objective was to assess whether the implemented mechanisms corresponded to, and could contribute to, the achieving of specific goals enshrined in the 2018 code.</w:t>
      </w:r>
      <w:r>
        <w:rPr>
          <w:sz w:val="19"/>
          <w:vertAlign w:val="superscript"/>
        </w:rPr>
        <w:t>17</w:t>
      </w:r>
      <w:r>
        <w:t xml:space="preserve"> I decided to analyse the code through the lens of my personal experience as a researcher examining the issues related to disinformation. I examined the data provided in the reports submitted monthly and yearly by the platform to the European Commission as well as their assessment conducted by the latter.</w:t>
      </w:r>
      <w:r>
        <w:rPr>
          <w:sz w:val="19"/>
          <w:vertAlign w:val="superscript"/>
        </w:rPr>
        <w:t>18</w:t>
      </w:r>
      <w:r>
        <w:t xml:space="preserve"> I had limited myself to only this source of information.</w:t>
      </w:r>
    </w:p>
    <w:p w14:paraId="42EAC310" w14:textId="77777777" w:rsidR="00FD37F3" w:rsidRDefault="000D4500">
      <w:pPr>
        <w:ind w:left="0" w:right="0" w:firstLine="240"/>
      </w:pPr>
      <w:r>
        <w:t>I faced several difficulties in establishing a complete landscape of implemented measures based on data supplied by the platform. In many cases, the measures that were presented in the reports did not even indirectly address the problem of disinformation or were not specifically tailored to tackle this issue.</w:t>
      </w:r>
      <w:r>
        <w:rPr>
          <w:sz w:val="19"/>
          <w:vertAlign w:val="superscript"/>
        </w:rPr>
        <w:t>19</w:t>
      </w:r>
      <w:r>
        <w:t xml:space="preserve"> The platform reported on harmful practices and adopted solutions selectively, by referring to the global level, and sometimes, but rarely, to the European level or to certain member states without any justification for such a mode of communication. This made it difficult, if not impossible, to assess the risks and the adequacy of the measures implemented to address them. Although the reports followed the structure of the code and referred to the measures taken in relation to the five pillars included therein,</w:t>
      </w:r>
      <w:r>
        <w:rPr>
          <w:sz w:val="19"/>
          <w:vertAlign w:val="superscript"/>
        </w:rPr>
        <w:t>20</w:t>
      </w:r>
      <w:r>
        <w:t xml:space="preserve"> the lack of an established structure and the specific metrics, indicators, or elements that should be communicated left platforms and, in the discussed case, Facebook absolutely free to decide on the presented data and the way it will be done. Therefore, the researcher could not follow the development of the implemented measures or assess its effectiveness. This was due to several reasons, including inconsistent presentation of data,</w:t>
      </w:r>
      <w:r>
        <w:rPr>
          <w:sz w:val="19"/>
          <w:vertAlign w:val="superscript"/>
        </w:rPr>
        <w:t>21</w:t>
      </w:r>
      <w:r>
        <w:t xml:space="preserve"> the repetition of the same data over several months, the presentation of data for a different country each month for a single programme or policy, or the restriction to general statements and the failure to present any figures or percentages. </w:t>
      </w:r>
    </w:p>
    <w:p w14:paraId="434A1F1E" w14:textId="77777777" w:rsidR="00FD37F3" w:rsidRDefault="000D4500">
      <w:pPr>
        <w:spacing w:after="44"/>
        <w:ind w:left="0" w:right="0" w:firstLine="240"/>
      </w:pPr>
      <w:r>
        <w:t xml:space="preserve">My impressions as regards the access to data on disinformation in the framework of the 2018 code were reflected in other research projects and reports. The EU </w:t>
      </w:r>
      <w:proofErr w:type="spellStart"/>
      <w:r>
        <w:t>DisinfoLab</w:t>
      </w:r>
      <w:proofErr w:type="spellEnd"/>
      <w:r>
        <w:t xml:space="preserve"> pointed to the complexity of the reports published by </w:t>
      </w:r>
      <w:r>
        <w:lastRenderedPageBreak/>
        <w:t>platforms and the difficulty in making the comparison between them. According to the organization, it hindered the meaningful analysis of the measures adopted in the context of the disinformation on COVID-19.</w:t>
      </w:r>
      <w:r>
        <w:rPr>
          <w:sz w:val="19"/>
          <w:vertAlign w:val="superscript"/>
        </w:rPr>
        <w:t>22</w:t>
      </w:r>
      <w:r>
        <w:t xml:space="preserve"> It was due to the own reporting style of each platform filling in the metrics according to its preferences, due to the lack of specific data such as country-specific metrics, especially regarding the audience of disinformation (clickthrough rate, and so on), or due to the lack of uniform presentation as regards all the countries where the measures have been implemented.</w:t>
      </w:r>
      <w:r>
        <w:rPr>
          <w:sz w:val="19"/>
          <w:vertAlign w:val="superscript"/>
        </w:rPr>
        <w:t>23</w:t>
      </w:r>
      <w:r>
        <w:t xml:space="preserve"> The EU </w:t>
      </w:r>
      <w:proofErr w:type="spellStart"/>
      <w:r>
        <w:t>Disinfo</w:t>
      </w:r>
      <w:proofErr w:type="spellEnd"/>
      <w:r>
        <w:t xml:space="preserve"> Lab called for more detailed guidelines on common metrics and streamlined reporting, which were needed to allow for meaningful comparison of platforms’ responses to disinformation.</w:t>
      </w:r>
      <w:r>
        <w:rPr>
          <w:sz w:val="19"/>
          <w:vertAlign w:val="superscript"/>
        </w:rPr>
        <w:t>24</w:t>
      </w:r>
      <w:r>
        <w:t xml:space="preserve"> In the assessment of the implementation of the 2018 code conducted by the European Commission, the need for ‘more consistent reporting adhering to certain minimum information standards that could allow for an even better assessment of the effectiveness of the implementation of the Code’</w:t>
      </w:r>
      <w:r>
        <w:rPr>
          <w:sz w:val="19"/>
          <w:vertAlign w:val="superscript"/>
        </w:rPr>
        <w:t>25</w:t>
      </w:r>
      <w:r>
        <w:t xml:space="preserve"> was expressed. Moreover, it has been pointed out that ‘the independent auditing of the data delivered by the platforms in their reports could eliminate the debate on whether this data is correct and representative’.</w:t>
      </w:r>
      <w:r>
        <w:rPr>
          <w:sz w:val="19"/>
          <w:vertAlign w:val="superscript"/>
        </w:rPr>
        <w:t>26</w:t>
      </w:r>
    </w:p>
    <w:p w14:paraId="0D98A7BB" w14:textId="77777777" w:rsidR="00FD37F3" w:rsidRDefault="000D4500">
      <w:pPr>
        <w:ind w:left="0" w:right="0" w:firstLine="240"/>
      </w:pPr>
      <w:r>
        <w:t>Indeed, in the 2018 code, the signatories did not commit to set up an independent body to ensure the transparency of the presented information. The European Commission was the only interlocutor of platforms. Since no enforcement measures have been foreseen, it could only respond to signatories’ reports by encouraging the provision of more granular data, by expressing its concerns, by urging to take further action, or by regretting that the signatories did not supply sufficient information.</w:t>
      </w:r>
      <w:r>
        <w:rPr>
          <w:sz w:val="19"/>
          <w:vertAlign w:val="superscript"/>
        </w:rPr>
        <w:t>27</w:t>
      </w:r>
      <w:r>
        <w:t xml:space="preserve"> However, the platforms’ response varied depending on whether the provision of specific data corresponded to its transparency policies. </w:t>
      </w:r>
    </w:p>
    <w:p w14:paraId="34675EA4" w14:textId="77777777" w:rsidR="00FD37F3" w:rsidRDefault="000D4500">
      <w:pPr>
        <w:spacing w:after="414"/>
        <w:ind w:left="0" w:right="0" w:firstLine="240"/>
      </w:pPr>
      <w:r>
        <w:t>Although the essential role of researchers in providing the proper understanding of the phenomenon of disinformation and in contributing to the development of risk-mitigation mechanisms has been recognized in the 2018 code, the assessment of the implementation of the commitments contained therein reveals multiple shortcomings.</w:t>
      </w:r>
      <w:r>
        <w:rPr>
          <w:sz w:val="19"/>
          <w:vertAlign w:val="superscript"/>
        </w:rPr>
        <w:t>28</w:t>
      </w:r>
      <w:r>
        <w:t xml:space="preserve"> The incomplete, inconsistent, out-of-context, and selective provision of data by platforms and the lack of an enforcement mechanism made researchers entirely dependent on platforms. The very act of data provision, and the way in which it was done, was mostly based on voluntariness and discretion of platforms. Researchers were unable to access information that would allow them to reconstruct the context, to establish an overall picture, to determine the cause–effect sequence, or to assess the effectiveness of the implemented measures. It also influenced the quality and the effectiveness of my research. The dynamic of the relationship between </w:t>
      </w:r>
      <w:r>
        <w:lastRenderedPageBreak/>
        <w:t>researchers and platforms was marked by one-sidedness and the powerlessness of the latter.</w:t>
      </w:r>
    </w:p>
    <w:p w14:paraId="7CA68BC5" w14:textId="77777777" w:rsidR="00FD37F3" w:rsidRDefault="000D4500">
      <w:pPr>
        <w:pStyle w:val="Heading1"/>
        <w:ind w:left="-5"/>
      </w:pPr>
      <w:r>
        <w:t xml:space="preserve">The 2022 Code of Practice on Disinformation </w:t>
      </w:r>
    </w:p>
    <w:p w14:paraId="1C4D0EBD" w14:textId="77777777" w:rsidR="00FD37F3" w:rsidRDefault="000D4500">
      <w:pPr>
        <w:spacing w:after="41"/>
        <w:ind w:left="0" w:right="0" w:firstLine="0"/>
      </w:pPr>
      <w:r>
        <w:t>The new code,</w:t>
      </w:r>
      <w:r>
        <w:rPr>
          <w:sz w:val="19"/>
          <w:vertAlign w:val="superscript"/>
        </w:rPr>
        <w:t>29</w:t>
      </w:r>
      <w:r>
        <w:t xml:space="preserve"> signed in June 2022, intends to address these shortcomings. It constitutes an answer to the calls to reinforce the 2018 code in areas such as larger participation of platforms with more tailored commitments, demonetization of disinformation, provision of a comprehensive coverage of forms of manipulative behaviour, empowering users to flag disinformation, as well as increase in the coverage of fact-checking and access to data to researchers and robust monitoring framework.</w:t>
      </w:r>
      <w:r>
        <w:rPr>
          <w:sz w:val="19"/>
          <w:vertAlign w:val="superscript"/>
        </w:rPr>
        <w:t>30</w:t>
      </w:r>
      <w:r>
        <w:t xml:space="preserve"> The purpose of the 2022 code is to become a more effective tool for countering disinformation. It was issued based on the guidance provided by European Commission</w:t>
      </w:r>
      <w:r>
        <w:rPr>
          <w:sz w:val="19"/>
          <w:vertAlign w:val="superscript"/>
        </w:rPr>
        <w:t>31</w:t>
      </w:r>
      <w:r>
        <w:t xml:space="preserve"> and </w:t>
      </w:r>
      <w:proofErr w:type="gramStart"/>
      <w:r>
        <w:t>took into account</w:t>
      </w:r>
      <w:proofErr w:type="gramEnd"/>
      <w:r>
        <w:t xml:space="preserve"> the proposal (at that time) for the DSA in the regulatory framework of which the code would be implemented. However, as underlined by the commission, ‘The 2022 Code of Practice is the result of the work carried out by the signatories. It is for the signatories to decide which commitments they sign up to and it is their responsibility to ensure the effectiveness of their commitments’ implementation.’</w:t>
      </w:r>
      <w:r>
        <w:rPr>
          <w:sz w:val="19"/>
          <w:vertAlign w:val="superscript"/>
        </w:rPr>
        <w:t>32</w:t>
      </w:r>
    </w:p>
    <w:p w14:paraId="533B1A09" w14:textId="77777777" w:rsidR="00FD37F3" w:rsidRDefault="000D4500">
      <w:pPr>
        <w:spacing w:after="298"/>
        <w:ind w:left="0" w:right="0" w:firstLine="240"/>
      </w:pPr>
      <w:r>
        <w:t>The new code is a part of a broader regulatory framework. It is aligned with the DSA. The latter, adopted in October 2022, constitutes a common set of rules on intermediaries’ obligations and accountability across the single market.</w:t>
      </w:r>
      <w:r>
        <w:rPr>
          <w:sz w:val="19"/>
          <w:vertAlign w:val="superscript"/>
        </w:rPr>
        <w:t>33</w:t>
      </w:r>
      <w:r>
        <w:t xml:space="preserve"> The connection of the code with the DSA entails specific obligations arising especially for very large online platforms (VLOPs) for which the code becomes a mitigation measure for systematic risks, one of which is disinformation.</w:t>
      </w:r>
    </w:p>
    <w:p w14:paraId="1D62C003" w14:textId="77777777" w:rsidR="00FD37F3" w:rsidRDefault="000D4500">
      <w:pPr>
        <w:pStyle w:val="Heading2"/>
        <w:ind w:left="-5"/>
      </w:pPr>
      <w:r>
        <w:t xml:space="preserve">Provision of Access to Different Types of Data </w:t>
      </w:r>
    </w:p>
    <w:p w14:paraId="706CE66A" w14:textId="77777777" w:rsidR="00FD37F3" w:rsidRDefault="000D4500">
      <w:pPr>
        <w:spacing w:after="298"/>
        <w:ind w:left="0" w:right="0" w:firstLine="0"/>
      </w:pPr>
      <w:r>
        <w:t>The 2022 code includes commitments to set up a framework for robust access to platforms’ data by the research community and adequate support for the researchers’ activities.</w:t>
      </w:r>
      <w:r>
        <w:rPr>
          <w:sz w:val="19"/>
          <w:vertAlign w:val="superscript"/>
        </w:rPr>
        <w:t>34</w:t>
      </w:r>
      <w:r>
        <w:t xml:space="preserve"> To achieve it, different categories of data were identified and different ways to access them were laid out. First, platforms committed to provide access to non-personal and anonymized, aggregated, or manifestly made public, continuous, real-time, or near-real-time data pertinent to undertake research on disinformation. Its provision takes place without any application procedure. Second, they committed to provide data on the signatories’ services such as accounts belonging to public figures (for example, elected officials), news outlets, and government accounts. In this case, the provision of data occurs through a specific procedure. The access should be provided through automated </w:t>
      </w:r>
      <w:r>
        <w:lastRenderedPageBreak/>
        <w:t xml:space="preserve">means such as application programming interface (APIs) or other open and accessible technical solutions. Third, the 2022 code provides a governance structure for access to data for research purposes requiring additional scrutiny. It will be interesting to see whether the researcher will be able to expect a specific action from platforms in terms of the requested data, such as collection, comparison, and summary of data or whether the role of platforms will be limited to providing data in raw form only. </w:t>
      </w:r>
    </w:p>
    <w:p w14:paraId="1CD05A9C" w14:textId="77777777" w:rsidR="00FD37F3" w:rsidRDefault="000D4500">
      <w:pPr>
        <w:pStyle w:val="Heading2"/>
        <w:ind w:left="-5"/>
      </w:pPr>
      <w:r>
        <w:t xml:space="preserve">Involvement of Third-Party Body </w:t>
      </w:r>
    </w:p>
    <w:p w14:paraId="0030CDF2" w14:textId="77777777" w:rsidR="00FD37F3" w:rsidRDefault="000D4500">
      <w:pPr>
        <w:spacing w:after="30"/>
        <w:ind w:left="0" w:right="0" w:firstLine="0"/>
      </w:pPr>
      <w:r>
        <w:t>The relevant signatories declared to set up, fund, and cooperate with a third-party body. Its role will be to vet researchers willing to scrutinize disinformation.</w:t>
      </w:r>
      <w:r>
        <w:rPr>
          <w:sz w:val="19"/>
          <w:vertAlign w:val="superscript"/>
        </w:rPr>
        <w:t>35</w:t>
      </w:r>
      <w:r>
        <w:t xml:space="preserve"> Once vetted, they should be able to access the personal data shared by signatories in accordance with protocols to be defined by the independent third-party body. Signatories committed to also ‘support good faith research into disinformation’ that involves their services by maintaining an open dialogue with researchers to keep track of the types of data that are likely to be in demand and by ensuring transparency on data types that are currently made available to researchers across Europe.</w:t>
      </w:r>
      <w:r>
        <w:rPr>
          <w:sz w:val="19"/>
          <w:vertAlign w:val="superscript"/>
        </w:rPr>
        <w:t>36</w:t>
      </w:r>
      <w:r>
        <w:t xml:space="preserve"> Finally, signatories committed to conduct research based on transparent methodology and ethical standards, as well as to share datasets, research findings, and methodologies with relevant audiences.</w:t>
      </w:r>
      <w:r>
        <w:rPr>
          <w:sz w:val="19"/>
          <w:vertAlign w:val="superscript"/>
        </w:rPr>
        <w:t>37</w:t>
      </w:r>
      <w:r>
        <w:t xml:space="preserve"> </w:t>
      </w:r>
    </w:p>
    <w:p w14:paraId="6B596406" w14:textId="77777777" w:rsidR="00FD37F3" w:rsidRDefault="000D4500">
      <w:pPr>
        <w:ind w:left="0" w:right="0" w:firstLine="240"/>
      </w:pPr>
      <w:r>
        <w:t>The establishment of the third-party body to</w:t>
      </w:r>
      <w:r>
        <w:rPr>
          <w:b/>
        </w:rPr>
        <w:t xml:space="preserve"> </w:t>
      </w:r>
      <w:r>
        <w:t>help oversee and even implement the processes envisioned by the code was already recommended in relation to the 2018 code.</w:t>
      </w:r>
      <w:r>
        <w:rPr>
          <w:sz w:val="19"/>
          <w:vertAlign w:val="superscript"/>
        </w:rPr>
        <w:t>38</w:t>
      </w:r>
      <w:r>
        <w:t xml:space="preserve"> Its role, according to the 2022 code, will be to vet researchers and to determine who should have access to data requiring additional scrutiny. This should eliminate platform discretion when deciding who should be granted access to data. Although granting access still ultimately depends on signatories, they have committed to cooperate with the said body. The question arises as to the scope of this cooperation. It is not clear whether the role of the third-party body would consist also of checking whether the data provided by platforms corresponds with the one requested by the researcher. It does not stem from the commitments included in the 2022 code as to whether the researcher will have a possibility of appeal when the data would not correspond to what they have requested and to whom they could turn in such a case. It is not clear whether the consideration of appeals would also be the role of the third-party body.</w:t>
      </w:r>
      <w:r>
        <w:rPr>
          <w:sz w:val="19"/>
          <w:vertAlign w:val="superscript"/>
        </w:rPr>
        <w:t>39</w:t>
      </w:r>
    </w:p>
    <w:p w14:paraId="5F5F3357" w14:textId="77777777" w:rsidR="00FD37F3" w:rsidRDefault="000D4500">
      <w:pPr>
        <w:pStyle w:val="Heading2"/>
        <w:ind w:left="-5"/>
      </w:pPr>
      <w:r>
        <w:lastRenderedPageBreak/>
        <w:t>Alignment of the Code with the DSA</w:t>
      </w:r>
    </w:p>
    <w:p w14:paraId="62416DBD" w14:textId="77777777" w:rsidR="00FD37F3" w:rsidRDefault="000D4500">
      <w:pPr>
        <w:ind w:left="0" w:right="0" w:firstLine="0"/>
      </w:pPr>
      <w:r>
        <w:t>The 2022 code, like its predecessor, is voluntary. It means that the adherence to the code does not imply legal consequences in case of the lack of implementation of the commitments included therein. However, it is considered as a possible risk-mitigation measure under Article 35 of the DSA. For VLOPs,</w:t>
      </w:r>
      <w:r>
        <w:rPr>
          <w:sz w:val="19"/>
          <w:vertAlign w:val="superscript"/>
        </w:rPr>
        <w:t>40</w:t>
      </w:r>
      <w:r>
        <w:t xml:space="preserve"> this means that the complete abandonment of the adoption of voluntary measures is not possible in practice. </w:t>
      </w:r>
    </w:p>
    <w:p w14:paraId="031BE366" w14:textId="77777777" w:rsidR="00FD37F3" w:rsidRDefault="000D4500">
      <w:pPr>
        <w:ind w:left="0" w:right="0" w:firstLine="240"/>
      </w:pPr>
      <w:r>
        <w:t>The Code of Practice on Disinformation is considered as a code of conduct under Article 45 of the DSA and disinformation is considered as a systematic risk.</w:t>
      </w:r>
      <w:r>
        <w:rPr>
          <w:sz w:val="19"/>
          <w:vertAlign w:val="superscript"/>
        </w:rPr>
        <w:t>41</w:t>
      </w:r>
      <w:r>
        <w:t xml:space="preserve"> The latter, according to Recital 79 of the DSA, can stem from ‘the design, functioning and use of the services of very large online platforms, as well as from potential misuses by the recipients of the service’. The EU legislator has distinguished four categories of systematic risks and classified the dissemination of disinformation in one of them. Platforms should diligently mitigate the systemic risks identified in the risk assessments, in observance of fundamental rights, for example, by initiating and joining the codes of conduct. </w:t>
      </w:r>
    </w:p>
    <w:p w14:paraId="5FEF7D92" w14:textId="77777777" w:rsidR="00FD37F3" w:rsidRDefault="000D4500">
      <w:pPr>
        <w:ind w:left="0" w:right="0" w:firstLine="240"/>
      </w:pPr>
      <w:r>
        <w:t xml:space="preserve">According to Article 45 of the DSA where significant systemic risk emerges, the European Commission may invite the providers of VLOPs concerned or the providers of very large online search engines (VLOSEs) concerned and other actors to participate in the drawing up of codes of conduct, including setting out of commitments to take specific risk-mitigation measures, as well as a regular reporting framework on any measures taken and their outcomes. The commission should also aim to ensure that participants report on any measures taken and their outcomes. According to Recital 104 of the DSA, the refusal without proper explanations by an online platform of the commission’s invitation to participate in the application of such a code of conduct could be </w:t>
      </w:r>
      <w:proofErr w:type="gramStart"/>
      <w:r>
        <w:t>taken into account</w:t>
      </w:r>
      <w:proofErr w:type="gramEnd"/>
      <w:r>
        <w:t>, where relevant, when determining whether the online platform has infringed the obligations laid down by the DSA. It has been specified in the same recital that the mere fact of participating in and implementing a given code of conduct should not in itself presume compliance with the DSA. Therefore, the signatories must be proactive in addressing the systemic risks, including the circulation of disinformation.</w:t>
      </w:r>
      <w:r>
        <w:rPr>
          <w:sz w:val="19"/>
          <w:vertAlign w:val="superscript"/>
        </w:rPr>
        <w:t>42</w:t>
      </w:r>
      <w:r>
        <w:t xml:space="preserve"> </w:t>
      </w:r>
    </w:p>
    <w:p w14:paraId="01B128C1" w14:textId="77777777" w:rsidR="00FD37F3" w:rsidRDefault="000D4500">
      <w:pPr>
        <w:ind w:left="0" w:right="0" w:firstLine="240"/>
      </w:pPr>
      <w:r>
        <w:t>The 2018 code was criticized for the lack of enforcement measures.</w:t>
      </w:r>
      <w:r>
        <w:rPr>
          <w:sz w:val="19"/>
          <w:vertAlign w:val="superscript"/>
        </w:rPr>
        <w:t>43</w:t>
      </w:r>
      <w:r>
        <w:t xml:space="preserve"> As for the new code, the enforcement mechanisms can be identified as a result of its alignment with the DSA. According to Article 37 of the DSA, in order to monitor and assess the compliance of VLOPs with certain DSA obligations and, where relevant, the commitments undertaken pursuant to </w:t>
      </w:r>
      <w:r>
        <w:rPr>
          <w:i/>
        </w:rPr>
        <w:t>codes of conduct</w:t>
      </w:r>
      <w:r>
        <w:t>, the independent audits should be conducted at least once a year.</w:t>
      </w:r>
      <w:r>
        <w:rPr>
          <w:sz w:val="19"/>
          <w:vertAlign w:val="superscript"/>
        </w:rPr>
        <w:t>44</w:t>
      </w:r>
      <w:r>
        <w:t xml:space="preserve"> </w:t>
      </w:r>
    </w:p>
    <w:p w14:paraId="08F673FB" w14:textId="48AA1963" w:rsidR="001700A8" w:rsidRDefault="000D4500" w:rsidP="0028230D">
      <w:pPr>
        <w:spacing w:after="298"/>
        <w:ind w:left="0" w:right="0" w:firstLine="240"/>
      </w:pPr>
      <w:r>
        <w:lastRenderedPageBreak/>
        <w:t>The signatories of the 2018 code could choose the commitments they wanted to sign up for. As for its updated version, the signatories agreed to sign up for commitments that are relevant to the products, activities, and services they offer. In case when they do not sign up to a commitment because it is not relevant or pertinent to their services, they will explain the reasons for this. It should be noted that this mechanism was not foreseen in the previous version of the code. In my opinion, it obliges the signatories to be transparent when it comes to subscription to the commitments and their further implementation and leaves less room for discretion in this respect.</w:t>
      </w:r>
    </w:p>
    <w:p w14:paraId="1E9930BB" w14:textId="77777777" w:rsidR="00FD37F3" w:rsidRDefault="000D4500">
      <w:pPr>
        <w:pStyle w:val="Heading2"/>
        <w:ind w:left="-5"/>
      </w:pPr>
      <w:r>
        <w:t xml:space="preserve">Reporting Scheme </w:t>
      </w:r>
    </w:p>
    <w:p w14:paraId="75EF279A" w14:textId="77777777" w:rsidR="00FD37F3" w:rsidRDefault="000D4500">
      <w:pPr>
        <w:ind w:left="0" w:right="0" w:firstLine="0"/>
      </w:pPr>
      <w:r>
        <w:t>To address the problem of fragmentation and lack of uniformity of reported data, the 2022 code includes an intensified reporting scheme. Signatories committed to provide the baseline reports to the European Commission within one month after the end of the implementation period.</w:t>
      </w:r>
      <w:r>
        <w:rPr>
          <w:sz w:val="19"/>
          <w:vertAlign w:val="superscript"/>
        </w:rPr>
        <w:t>45</w:t>
      </w:r>
      <w:r>
        <w:t xml:space="preserve"> After that, VLOPs committed to provide regular reporting on service level indicators and qualitative reporting elements every six months and other signatories yearly, at service and </w:t>
      </w:r>
      <w:proofErr w:type="spellStart"/>
      <w:r>
        <w:t>memberstate</w:t>
      </w:r>
      <w:proofErr w:type="spellEnd"/>
      <w:r>
        <w:t xml:space="preserve"> level.</w:t>
      </w:r>
      <w:r>
        <w:rPr>
          <w:sz w:val="19"/>
          <w:vertAlign w:val="superscript"/>
        </w:rPr>
        <w:t>46</w:t>
      </w:r>
      <w:r>
        <w:t xml:space="preserve"> This should allow for a thorough assessment of the extent of the code’s implementation. VLOPs are confronted with more demanding requirements as to the frequency of reporting since they are considered as posing particular risk in dissemination of illegal content and societal harms.</w:t>
      </w:r>
      <w:r>
        <w:rPr>
          <w:sz w:val="19"/>
          <w:vertAlign w:val="superscript"/>
        </w:rPr>
        <w:t>47</w:t>
      </w:r>
    </w:p>
    <w:p w14:paraId="72CF47E9" w14:textId="77777777" w:rsidR="00FD37F3" w:rsidRDefault="000D4500">
      <w:pPr>
        <w:spacing w:after="41"/>
        <w:ind w:left="0" w:right="0" w:firstLine="240"/>
      </w:pPr>
      <w:r>
        <w:t>Signatories also commit to participate in a permanent task force</w:t>
      </w:r>
      <w:r>
        <w:rPr>
          <w:sz w:val="19"/>
          <w:vertAlign w:val="superscript"/>
        </w:rPr>
        <w:t>48</w:t>
      </w:r>
      <w:r>
        <w:t xml:space="preserve"> chaired by the European Commission and including representatives from the European Digital Media Observatory (EDMO), the ERGA, and the European External Action Service (EEASS). The task force’s role is to establish the harmonized reporting templates for the code’s implementation</w:t>
      </w:r>
      <w:r>
        <w:rPr>
          <w:sz w:val="19"/>
          <w:vertAlign w:val="superscript"/>
        </w:rPr>
        <w:t>49</w:t>
      </w:r>
      <w:r>
        <w:t xml:space="preserve"> which the signatories undertake to apply.</w:t>
      </w:r>
      <w:r>
        <w:rPr>
          <w:sz w:val="19"/>
          <w:vertAlign w:val="superscript"/>
        </w:rPr>
        <w:t>50</w:t>
      </w:r>
      <w:r>
        <w:t xml:space="preserve"> In February 2023,</w:t>
      </w:r>
      <w:r>
        <w:rPr>
          <w:sz w:val="19"/>
          <w:vertAlign w:val="superscript"/>
        </w:rPr>
        <w:t>51</w:t>
      </w:r>
      <w:r>
        <w:t xml:space="preserve"> the signatories published their first baseline reports on how the 2022 code’s commitments are implemented.</w:t>
      </w:r>
      <w:r>
        <w:rPr>
          <w:sz w:val="19"/>
          <w:vertAlign w:val="superscript"/>
        </w:rPr>
        <w:t>52</w:t>
      </w:r>
    </w:p>
    <w:p w14:paraId="1506B759" w14:textId="77777777" w:rsidR="00FD37F3" w:rsidRDefault="000D4500">
      <w:pPr>
        <w:spacing w:after="414"/>
        <w:ind w:left="0" w:right="0" w:firstLine="240"/>
      </w:pPr>
      <w:r>
        <w:t xml:space="preserve">The new reporting mechanism clearly determines the elements that should be presented and the way in which this should be done. In theory, and from the perspective of researchers studying the problem of disinformation, it should enable access to more specific data that can be analysed and compared. The signatories should also be less likely to present the results of activities not aimed at combating disinformation by plugging them in as such or to provide data selectively, for example, only for a few member states, since they should follow the agreed reporting scheme and include the said indicators. A specific infrastructure regarding reporting has been put in place, and the establishment of the Task Force gives hope that that discretionary reporting will be reduced or even eliminated. </w:t>
      </w:r>
    </w:p>
    <w:p w14:paraId="3DB494FE" w14:textId="77777777" w:rsidR="00FD37F3" w:rsidRDefault="000D4500">
      <w:pPr>
        <w:spacing w:after="3" w:line="254" w:lineRule="auto"/>
        <w:ind w:left="-5" w:right="0" w:hanging="10"/>
        <w:jc w:val="left"/>
      </w:pPr>
      <w:r>
        <w:rPr>
          <w:rFonts w:ascii="Times New Roman" w:eastAsia="Times New Roman" w:hAnsi="Times New Roman" w:cs="Times New Roman"/>
          <w:b/>
          <w:sz w:val="30"/>
        </w:rPr>
        <w:lastRenderedPageBreak/>
        <w:t xml:space="preserve">Researchers’ Access to Data under the 2022  </w:t>
      </w:r>
    </w:p>
    <w:p w14:paraId="53C4AEF0" w14:textId="77777777" w:rsidR="00FD37F3" w:rsidRDefault="000D4500">
      <w:pPr>
        <w:pStyle w:val="Heading1"/>
        <w:ind w:left="-5"/>
      </w:pPr>
      <w:r>
        <w:t xml:space="preserve">Code of Practice on Disinformation </w:t>
      </w:r>
    </w:p>
    <w:p w14:paraId="3B77FEC9" w14:textId="77777777" w:rsidR="00FD37F3" w:rsidRDefault="000D4500">
      <w:pPr>
        <w:spacing w:after="298"/>
        <w:ind w:left="0" w:right="0" w:firstLine="0"/>
      </w:pPr>
      <w:r>
        <w:t xml:space="preserve">After the brief analysis of the commitments and measures enshrined in the 2022 code, it is worth discussing the instruments made available for researchers by Facebook as a result of its implementation. I will refer also to my original research project aimed at assessing whether implemented mechanism by the platform contributes to achieving the goals enshrined in the code. I will analyse whether my research purpose would be successful under the 2022 code. My objective is to verify what, if anything, has changed in the 2022 code that would allow achieving the objectives of the code more effectively. </w:t>
      </w:r>
    </w:p>
    <w:p w14:paraId="05763772" w14:textId="77777777" w:rsidR="00FD37F3" w:rsidRDefault="000D4500">
      <w:pPr>
        <w:pStyle w:val="Heading2"/>
        <w:ind w:left="-5"/>
      </w:pPr>
      <w:r>
        <w:t>Access to Data Not Requiring the Application Process</w:t>
      </w:r>
    </w:p>
    <w:p w14:paraId="2339BC66" w14:textId="77777777" w:rsidR="00FD37F3" w:rsidRDefault="000D4500">
      <w:pPr>
        <w:spacing w:after="297"/>
        <w:ind w:left="0" w:right="0" w:firstLine="0"/>
      </w:pPr>
      <w:r>
        <w:t>With regard to the commitment to provide access to non-personal data and anonymized, aggregated, or manifestly made public data for research purposes on disinformation, Facebook, in its recently published baseline report, refers to the data provided in its ‘Community Standards Enforcement Report’,</w:t>
      </w:r>
      <w:r>
        <w:rPr>
          <w:sz w:val="19"/>
          <w:vertAlign w:val="superscript"/>
        </w:rPr>
        <w:t>53</w:t>
      </w:r>
      <w:r>
        <w:t xml:space="preserve"> ‘Widely Viewed Content Report’,</w:t>
      </w:r>
      <w:r>
        <w:rPr>
          <w:sz w:val="19"/>
          <w:vertAlign w:val="superscript"/>
        </w:rPr>
        <w:t>54</w:t>
      </w:r>
      <w:r>
        <w:t xml:space="preserve"> and ‘Quarterly Adversarial Threat Report’.</w:t>
      </w:r>
      <w:r>
        <w:rPr>
          <w:sz w:val="19"/>
          <w:vertAlign w:val="superscript"/>
        </w:rPr>
        <w:t>55</w:t>
      </w:r>
      <w:r>
        <w:t xml:space="preserve"> It declares to support independent research that will enhance understanding of the impact that platforms like Facebook have on society. Moreover, it claims that its policies are based on years of experience and expertise in trust and safety, combined with external input from experts around the world.</w:t>
      </w:r>
      <w:r>
        <w:rPr>
          <w:sz w:val="19"/>
          <w:vertAlign w:val="superscript"/>
        </w:rPr>
        <w:t>56</w:t>
      </w:r>
      <w:r>
        <w:t xml:space="preserve"> However, although the access to provided data should serve research on disinformation, there is little data on this particular problem in the indicated reports. The platform repeats and rephrases what has already been said publicly and adds nothing new. </w:t>
      </w:r>
    </w:p>
    <w:p w14:paraId="78FD606E" w14:textId="77777777" w:rsidR="00FD37F3" w:rsidRDefault="000D4500">
      <w:pPr>
        <w:pStyle w:val="Heading2"/>
        <w:ind w:left="-5"/>
      </w:pPr>
      <w:r>
        <w:t>Access to Data Requiring the Application Process</w:t>
      </w:r>
    </w:p>
    <w:p w14:paraId="2B6951D3" w14:textId="77777777" w:rsidR="00FD37F3" w:rsidRDefault="000D4500">
      <w:pPr>
        <w:ind w:left="0" w:right="0" w:firstLine="0"/>
      </w:pPr>
      <w:r>
        <w:t>Regarding access to data that requires an application process,</w:t>
      </w:r>
      <w:r>
        <w:rPr>
          <w:sz w:val="19"/>
          <w:vertAlign w:val="superscript"/>
        </w:rPr>
        <w:t>57</w:t>
      </w:r>
      <w:r>
        <w:t xml:space="preserve"> Facebook refers to a tool called </w:t>
      </w:r>
      <w:proofErr w:type="spellStart"/>
      <w:r>
        <w:t>CrowdTangle</w:t>
      </w:r>
      <w:proofErr w:type="spellEnd"/>
      <w:r>
        <w:t xml:space="preserve">. Launched in 2019, it is described as a content discovery and social monitoring platform that provides access to a small subset of public data on Facebook. Researchers used </w:t>
      </w:r>
      <w:proofErr w:type="spellStart"/>
      <w:r>
        <w:t>CrowdTangle</w:t>
      </w:r>
      <w:proofErr w:type="spellEnd"/>
      <w:r>
        <w:t xml:space="preserve"> to study a variety of key topics of social interest, including misinformation, elections, and societal impact of COVID-19.</w:t>
      </w:r>
      <w:r>
        <w:rPr>
          <w:sz w:val="19"/>
          <w:vertAlign w:val="superscript"/>
        </w:rPr>
        <w:t>58</w:t>
      </w:r>
      <w:r>
        <w:t xml:space="preserve"> To gain access to this data, researchers must complete an application process. </w:t>
      </w:r>
    </w:p>
    <w:p w14:paraId="0274DADB" w14:textId="77777777" w:rsidR="00FD37F3" w:rsidRDefault="000D4500">
      <w:pPr>
        <w:ind w:left="0" w:right="0" w:firstLine="240"/>
      </w:pPr>
      <w:proofErr w:type="spellStart"/>
      <w:r>
        <w:t>CrowdTangle</w:t>
      </w:r>
      <w:proofErr w:type="spellEnd"/>
      <w:r>
        <w:t xml:space="preserve"> has been considered as an unparalleled tool for ‘analysing trends, tracking article sources and understanding virality on Facebook’.</w:t>
      </w:r>
      <w:r>
        <w:rPr>
          <w:sz w:val="19"/>
          <w:vertAlign w:val="superscript"/>
        </w:rPr>
        <w:t>59</w:t>
      </w:r>
      <w:r>
        <w:t xml:space="preserve"> In general, it is regarded as a vital instrument for researching Facebook’s transparency.</w:t>
      </w:r>
      <w:r>
        <w:rPr>
          <w:sz w:val="19"/>
          <w:vertAlign w:val="superscript"/>
        </w:rPr>
        <w:t>60</w:t>
      </w:r>
      <w:r>
        <w:t xml:space="preserve"> Despite some rumours that Facebook plans to phase it out,</w:t>
      </w:r>
      <w:r>
        <w:rPr>
          <w:sz w:val="19"/>
          <w:vertAlign w:val="superscript"/>
        </w:rPr>
        <w:t>61</w:t>
      </w:r>
      <w:r>
        <w:t xml:space="preserve"> on </w:t>
      </w:r>
      <w:r>
        <w:lastRenderedPageBreak/>
        <w:t xml:space="preserve">the </w:t>
      </w:r>
      <w:proofErr w:type="spellStart"/>
      <w:r>
        <w:t>CrowdTangle</w:t>
      </w:r>
      <w:proofErr w:type="spellEnd"/>
      <w:r>
        <w:t xml:space="preserve"> website updated at the beginning of February 2023, the platform declared continued support for the research community and its plans to update this page and expand its support into new areas.</w:t>
      </w:r>
      <w:r>
        <w:rPr>
          <w:sz w:val="19"/>
          <w:vertAlign w:val="superscript"/>
        </w:rPr>
        <w:t>62</w:t>
      </w:r>
      <w:r>
        <w:t xml:space="preserve"> It is also indicated that the university researchers (faculty students, PhD students, postdoctoral research fellows) focused on topics such as misinformation, elections, or COVID-19 are prioritized regarding the provision of access to the </w:t>
      </w:r>
      <w:proofErr w:type="spellStart"/>
      <w:r>
        <w:t>CrowdTangle</w:t>
      </w:r>
      <w:proofErr w:type="spellEnd"/>
      <w:r>
        <w:t xml:space="preserve"> interface and APIs, as well as to trainings and resources. </w:t>
      </w:r>
    </w:p>
    <w:p w14:paraId="7BB3B0B1" w14:textId="33D92280" w:rsidR="00816662" w:rsidRDefault="000D4500" w:rsidP="00816662">
      <w:pPr>
        <w:spacing w:after="41"/>
        <w:ind w:left="0" w:right="0" w:firstLine="240"/>
      </w:pPr>
      <w:r>
        <w:t>I attempted to apply for this access twice, in December 2022 and in February 2023. In both cases, the result was the same. I was informed that specific research topics were prioritized and that if my research falls outside that scope, I may not be onboarded. I was advised to wait for further information.</w:t>
      </w:r>
      <w:r>
        <w:rPr>
          <w:sz w:val="19"/>
          <w:vertAlign w:val="superscript"/>
        </w:rPr>
        <w:t>63</w:t>
      </w:r>
      <w:r>
        <w:t xml:space="preserve"> Unfortunately, my request has not been approved despite the fact that I am a PhD student conducting research on disinformation and presented my research problem in detail as well as the purpose of having access to </w:t>
      </w:r>
      <w:proofErr w:type="spellStart"/>
      <w:r>
        <w:t>CrowdTangle</w:t>
      </w:r>
      <w:proofErr w:type="spellEnd"/>
      <w:r>
        <w:t xml:space="preserve"> since I received neither an answer nor access to </w:t>
      </w:r>
      <w:proofErr w:type="spellStart"/>
      <w:r>
        <w:t>CrowdTangle</w:t>
      </w:r>
      <w:proofErr w:type="spellEnd"/>
      <w:r>
        <w:t xml:space="preserve">. I was not informed about the reasons Facebook refused my access request. However, it appears that I am not the only researcher who has been denied access to </w:t>
      </w:r>
      <w:proofErr w:type="spellStart"/>
      <w:r>
        <w:t>CrowdTangle’s</w:t>
      </w:r>
      <w:proofErr w:type="spellEnd"/>
      <w:r>
        <w:t xml:space="preserve"> resources. Facebook in 2022 stopped accepting any new-user application due to ‘staffing constraints’</w:t>
      </w:r>
      <w:r>
        <w:t>,</w:t>
      </w:r>
      <w:r>
        <w:rPr>
          <w:sz w:val="19"/>
          <w:vertAlign w:val="superscript"/>
        </w:rPr>
        <w:t>64</w:t>
      </w:r>
      <w:r>
        <w:t xml:space="preserve"> </w:t>
      </w:r>
      <w:r w:rsidRPr="0028230D">
        <w:t>and it seems that it has not dealt with the problem yet, since academics report that new applications are still not accepted</w:t>
      </w:r>
      <w:r>
        <w:t>.</w:t>
      </w:r>
      <w:r>
        <w:rPr>
          <w:sz w:val="19"/>
          <w:vertAlign w:val="superscript"/>
        </w:rPr>
        <w:t>65</w:t>
      </w:r>
    </w:p>
    <w:p w14:paraId="14FE0656" w14:textId="77777777" w:rsidR="00FD37F3" w:rsidRDefault="000D4500">
      <w:pPr>
        <w:ind w:left="0" w:right="0" w:firstLine="240"/>
      </w:pPr>
      <w:r>
        <w:t>As to the commitment to provide vetted researchers with access to data necessary to undertake research on disinformation by developing, funding, and cooperating with an independent third-party body, Facebook declared to have actively engaged in the EDMO Working Group on Platform to Researcher Data Sharing to develop standardized processes for sharing data with researchers. Further implementation measures are planned.</w:t>
      </w:r>
      <w:r>
        <w:rPr>
          <w:sz w:val="19"/>
          <w:vertAlign w:val="superscript"/>
        </w:rPr>
        <w:t>66</w:t>
      </w:r>
      <w:r>
        <w:t xml:space="preserve"> The baseline report specifies that the technical standards and safeguards as well as standards for researchers’ eligibility still need to be established.</w:t>
      </w:r>
      <w:r>
        <w:rPr>
          <w:sz w:val="19"/>
          <w:vertAlign w:val="superscript"/>
        </w:rPr>
        <w:t>67</w:t>
      </w:r>
      <w:r>
        <w:t xml:space="preserve"> It is expected that another code of conduct will be adopted for both platforms and researchers to balance the need for more transparency and research with the protection of personal data. </w:t>
      </w:r>
    </w:p>
    <w:p w14:paraId="7045C145" w14:textId="524B95DD" w:rsidR="00FD37F3" w:rsidRDefault="000D4500">
      <w:pPr>
        <w:spacing w:after="414"/>
        <w:ind w:left="0" w:right="0" w:firstLine="240"/>
      </w:pPr>
      <w:r>
        <w:t xml:space="preserve">The third-party body has not been set up yet and it is difficult to predict when it will be done. In theory, it should have important resources, independence, and a strong mandate. However, practical questions regarding how the cooperation will evolve and whether the involvement of an independent body will reduce the arbitrariness of platforms’ decisions in the context of sharing personal data remain unanswered. Moreover, in the face of such a threat of disinformation and given that the code was adopted in June 2022, the waiting time for the implementation of some of its measures is long. </w:t>
      </w:r>
      <w:r w:rsidR="00753312">
        <w:t>The</w:t>
      </w:r>
      <w:r>
        <w:t xml:space="preserve"> code</w:t>
      </w:r>
      <w:r w:rsidR="00753312">
        <w:t xml:space="preserve">, </w:t>
      </w:r>
      <w:r>
        <w:t>unfortunately</w:t>
      </w:r>
      <w:r w:rsidR="00753312">
        <w:t>,</w:t>
      </w:r>
      <w:r>
        <w:t xml:space="preserve"> </w:t>
      </w:r>
      <w:proofErr w:type="gramStart"/>
      <w:r>
        <w:t>still remains</w:t>
      </w:r>
      <w:proofErr w:type="gramEnd"/>
      <w:r>
        <w:t xml:space="preserve"> ineffective as regards </w:t>
      </w:r>
      <w:r w:rsidR="00753312">
        <w:t xml:space="preserve">some </w:t>
      </w:r>
      <w:r>
        <w:t xml:space="preserve">commitments and measures included therein. </w:t>
      </w:r>
    </w:p>
    <w:p w14:paraId="3F145E77" w14:textId="77777777" w:rsidR="00FD37F3" w:rsidRDefault="000D4500">
      <w:pPr>
        <w:pStyle w:val="Heading1"/>
        <w:ind w:left="-5"/>
      </w:pPr>
      <w:r>
        <w:lastRenderedPageBreak/>
        <w:t xml:space="preserve">Achievability of the Research Goals under the 2022 Code of Practice on Disinformation </w:t>
      </w:r>
    </w:p>
    <w:p w14:paraId="0B78D260" w14:textId="77777777" w:rsidR="00FD37F3" w:rsidRDefault="000D4500">
      <w:pPr>
        <w:spacing w:after="298"/>
        <w:ind w:left="0" w:right="0" w:firstLine="0"/>
      </w:pPr>
      <w:r>
        <w:t xml:space="preserve">To analyse whether my original research purpose would be successful under the 2022 code, the evolution of two factors, namely </w:t>
      </w:r>
      <w:r>
        <w:rPr>
          <w:i/>
        </w:rPr>
        <w:t>discretion</w:t>
      </w:r>
      <w:r>
        <w:t xml:space="preserve"> of platforms and </w:t>
      </w:r>
      <w:r>
        <w:rPr>
          <w:i/>
        </w:rPr>
        <w:t>lack of enforcement measures</w:t>
      </w:r>
      <w:r>
        <w:t xml:space="preserve">, which contributed to the non-achievability of my research goal under the 2018 code, should be examined. </w:t>
      </w:r>
    </w:p>
    <w:p w14:paraId="352B69DE" w14:textId="77777777" w:rsidR="00FD37F3" w:rsidRDefault="000D4500">
      <w:pPr>
        <w:pStyle w:val="Heading2"/>
        <w:ind w:left="-5"/>
      </w:pPr>
      <w:r>
        <w:t xml:space="preserve">Discretion in Reporting of Data </w:t>
      </w:r>
    </w:p>
    <w:p w14:paraId="5D893DF1" w14:textId="77777777" w:rsidR="00FD37F3" w:rsidRDefault="000D4500">
      <w:pPr>
        <w:ind w:left="0" w:right="0" w:firstLine="0"/>
      </w:pPr>
      <w:r>
        <w:t xml:space="preserve">Platforms’ discretion is likely to be limited under the new Code in many aspects. The signatories provided assurance of its ability to be transparent as to the subscription to the commitments and their further implementation, which means that they have to explain and justify why they decided not to sign up for certain commitments if it was the case. The regular reporting was foreseen in both versions of the code – with the difference that in the new code, the frequency of reporting has been increased in relation to the VLOPs, which allows for a more thorough scrutiny of the adopted measures. Signatories committed to participate in a permanent task force whose role is to establish a harmonized reporting template and to develop the structural indicators to measure the code’s overall impact on disinformation. This is the most significant change when it comes to limiting the discretion of platforms under the 2022 code, since this is the incomplete, inconsistent, out-of-context, and selective provision of data by platforms which hampered many researches on disinformation. </w:t>
      </w:r>
    </w:p>
    <w:p w14:paraId="751A2DA6" w14:textId="77777777" w:rsidR="00FD37F3" w:rsidRDefault="000D4500">
      <w:pPr>
        <w:spacing w:after="337"/>
        <w:ind w:left="0" w:right="0" w:firstLine="240"/>
      </w:pPr>
      <w:r>
        <w:t>The publication of the first baseline reports in 2023 showed that unfortunately not all signatories complied with the newly agreed reporting scheme. X (formerly Twitter) has been criticized for providing little specific information and no targeted data in relation to its commitments.</w:t>
      </w:r>
      <w:r>
        <w:rPr>
          <w:sz w:val="19"/>
          <w:vertAlign w:val="superscript"/>
        </w:rPr>
        <w:t>68</w:t>
      </w:r>
      <w:r>
        <w:t xml:space="preserve"> As to Facebook, there are legitimate concerns that the platform will continue to report on the adopted measures in a discretionary and incomplete manner. To give some examples from the report published by the platform, Facebook did not provide any information as regards the methodology of data measurement or data concerning the number of academic accounts granted with access to the </w:t>
      </w:r>
      <w:proofErr w:type="spellStart"/>
      <w:r>
        <w:t>CrowdTangle</w:t>
      </w:r>
      <w:proofErr w:type="spellEnd"/>
      <w:r>
        <w:t xml:space="preserve"> as of January 2023.</w:t>
      </w:r>
      <w:r>
        <w:rPr>
          <w:sz w:val="19"/>
          <w:vertAlign w:val="superscript"/>
        </w:rPr>
        <w:t>69</w:t>
      </w:r>
      <w:r>
        <w:t xml:space="preserve"> Yet it should do so within the framework of the implementation of measure 26.1 of the code.</w:t>
      </w:r>
      <w:r>
        <w:rPr>
          <w:sz w:val="19"/>
          <w:vertAlign w:val="superscript"/>
        </w:rPr>
        <w:t>70</w:t>
      </w:r>
      <w:r>
        <w:t xml:space="preserve"> </w:t>
      </w:r>
    </w:p>
    <w:p w14:paraId="0856371D" w14:textId="77777777" w:rsidR="00FD37F3" w:rsidRDefault="000D4500">
      <w:pPr>
        <w:pStyle w:val="Heading2"/>
        <w:ind w:left="-5"/>
      </w:pPr>
      <w:r>
        <w:t xml:space="preserve">Provision of Access to Different Types of Data </w:t>
      </w:r>
    </w:p>
    <w:p w14:paraId="6E8D061C" w14:textId="77777777" w:rsidR="00FD37F3" w:rsidRDefault="000D4500">
      <w:pPr>
        <w:ind w:left="0" w:right="0" w:firstLine="0"/>
      </w:pPr>
      <w:r>
        <w:t xml:space="preserve">With regard to the commitment to provide access to non-personal data and anonymized, aggregated, or manifestly made public data for research purposes on disinformation, which has been already discussed in the chapter, Facebook </w:t>
      </w:r>
      <w:r>
        <w:lastRenderedPageBreak/>
        <w:t>referred to its general policies</w:t>
      </w:r>
      <w:r>
        <w:rPr>
          <w:sz w:val="19"/>
          <w:vertAlign w:val="superscript"/>
        </w:rPr>
        <w:t>71</w:t>
      </w:r>
      <w:r>
        <w:t xml:space="preserve"> but provided little data on how they translate into access to information on disinformation, on the scope of this access, or on the kind of data researchers have access to. These two examples (although an analysis of the entire report would give rise to more) are the source of doubts as to whether my research, directed on whether the implementation of the 2022 code contributes to the achievement of its objective, would be successful, even if only because of the gaps in the report identified here. </w:t>
      </w:r>
    </w:p>
    <w:p w14:paraId="0D8FE45B" w14:textId="3E2C2D89" w:rsidR="00816662" w:rsidRDefault="000D4500">
      <w:pPr>
        <w:spacing w:after="298"/>
        <w:ind w:left="0" w:right="0" w:firstLine="240"/>
      </w:pPr>
      <w:r>
        <w:t>It should, however, be pointed out that the baseline report provided by Facebook is considerably coherent as regards, for example, the provision of data per countries,</w:t>
      </w:r>
      <w:r>
        <w:rPr>
          <w:sz w:val="19"/>
          <w:vertAlign w:val="superscript"/>
        </w:rPr>
        <w:t>72</w:t>
      </w:r>
      <w:r>
        <w:t xml:space="preserve"> the lack of which constituted a significant weakness under the 2018 code. Moreover, platforms, in the new code, committed to cooperate with members of the task force as regards the consultation with researchers, the development of the third-party body, or sharing of datasets, research findings, or methodologies. On the one hand, giving independent actors a role of intermediaries, watchdogs, and cooperators with platforms in the discussed field may be a guarantee of greater transparency. On the other hand, the question as to whether each platform will engage in this cooperation with the same intensity and what consequences they will face if they do not do so at all should be asked. This is not the only question that arises as regards the compliance with the declared commitments. It is relevant to ask what </w:t>
      </w:r>
      <w:proofErr w:type="gramStart"/>
      <w:r>
        <w:t>consequences</w:t>
      </w:r>
      <w:proofErr w:type="gramEnd"/>
      <w:r>
        <w:t xml:space="preserve"> and which mechanism will be applicable to platforms if they do not cooperate with researchers, for example, for not providing data to those who will be vetted by the third-party body or if they do not properly fulfil their reporting obligations.</w:t>
      </w:r>
    </w:p>
    <w:p w14:paraId="5FAC4E8A" w14:textId="77777777" w:rsidR="00FD37F3" w:rsidRDefault="000D4500">
      <w:pPr>
        <w:pStyle w:val="Heading2"/>
        <w:ind w:left="-5"/>
      </w:pPr>
      <w:r>
        <w:t xml:space="preserve">Enforcement Measures </w:t>
      </w:r>
    </w:p>
    <w:p w14:paraId="704DF439" w14:textId="77777777" w:rsidR="00FD37F3" w:rsidRDefault="000D4500">
      <w:pPr>
        <w:ind w:left="0" w:right="0" w:firstLine="0"/>
      </w:pPr>
      <w:r>
        <w:t xml:space="preserve">Much hope lies in the enforcement measures. Nevertheless, since the code is of voluntary nature, there were none in the first or in the current version of the code. The status of the 2022 code is, however, different. As it has been already explained, the code is understood as a part of co-regulatory framework foreseen in the DSA which defines certain objectives and criteria that should be respected and applied in particular to the VLOPs. According to Article 45 of the DSA, in the case of systematic failure to comply with the codes of conduct, the European Commission and the European Board for Digital Services may invite the signatories to take the necessary action. The EU legislator has not further specified the term ‘necessary action’, and the rule that the commission </w:t>
      </w:r>
      <w:r>
        <w:rPr>
          <w:i/>
        </w:rPr>
        <w:t>invite</w:t>
      </w:r>
      <w:r>
        <w:t xml:space="preserve"> the signatories to take necessary action suggests that the intervention of soft nature of the European Commission is foreseen. In case necessary action is not undertaken by the signatory, it should be presumed that the provisions on the non-compliance, fines, and penalties from Articles 73–79 of the DSA will apply. </w:t>
      </w:r>
    </w:p>
    <w:p w14:paraId="799F24B7" w14:textId="29828BE5" w:rsidR="00FD37F3" w:rsidRDefault="000D4500">
      <w:pPr>
        <w:ind w:left="0" w:right="0" w:firstLine="240"/>
      </w:pPr>
      <w:r>
        <w:lastRenderedPageBreak/>
        <w:t>Moreover, according to Article 37(b) of the DSA, the VLOPs should be subject to independent audits to assess compliance with any commitments undertaken while complying with the codes of conduct. The EU legislator specified that the audits should be effective, efficient, and timely. The term ‘independent’ has been defined to ensure the transparency of the auditing process and the credibility of its results. In case the outcomes of the audit are not positive, the VLOPs should take due account of the operational recommendations with a view to taking the necessary measures to implement them.</w:t>
      </w:r>
      <w:r>
        <w:rPr>
          <w:sz w:val="19"/>
          <w:vertAlign w:val="superscript"/>
        </w:rPr>
        <w:t>73</w:t>
      </w:r>
      <w:r>
        <w:t xml:space="preserve"> According to Article 37(6) of the DSA, where the signatories do not implement the operational recommendations, they shall justify in the audit implementation report the reasons for not doing so and set out any alternative measures. If the audit will not be carried out or if recommendations following the audit or the said alternative measures will not be implemented, it could be assumed that the provisions on the non-compliance, fines, and penalties from Articles 73–79 of the DSA will apply. The question arises as to what would be the consequences of partial or inaccurate implementation of recommendations in case it would, for example, hamper the researchers’ access to information. On 5 May 2023, the European Commission published the draft of the delegated regulation which was aimed at setting out the necessary rules for the procedures, methodology, and templates used for the audits. </w:t>
      </w:r>
    </w:p>
    <w:p w14:paraId="695083FA" w14:textId="77777777" w:rsidR="00FD37F3" w:rsidRDefault="000D4500">
      <w:pPr>
        <w:ind w:left="0" w:right="0" w:firstLine="240"/>
      </w:pPr>
      <w:r>
        <w:t xml:space="preserve">The alignment of the 2022 code with the DSA provides the mechanism of the enforcement of the 2022 code. The use of binding measures from the DSA in combination with the implementation of the commitments from the code of voluntary nature focused on the specific problem of disinformation allows me to believe that my original research conducted today would have been more successful. However, it should be noted that the procedure of the enforcement of the code is delimited in a general way. It lacks the researcher-centred mechanism that would allow him, for example, to effectively contest platforms’ decisions. </w:t>
      </w:r>
    </w:p>
    <w:p w14:paraId="2F0F7DED" w14:textId="77777777" w:rsidR="0028230D" w:rsidRDefault="0028230D">
      <w:pPr>
        <w:pStyle w:val="Heading1"/>
        <w:ind w:left="-5"/>
      </w:pPr>
    </w:p>
    <w:p w14:paraId="56B8DC56" w14:textId="405F9CCF" w:rsidR="00FD37F3" w:rsidRDefault="000D4500">
      <w:pPr>
        <w:pStyle w:val="Heading1"/>
        <w:ind w:left="-5"/>
      </w:pPr>
      <w:r>
        <w:t xml:space="preserve">Conclusion </w:t>
      </w:r>
    </w:p>
    <w:p w14:paraId="0CE9A9D5" w14:textId="77777777" w:rsidR="00FD37F3" w:rsidRDefault="000D4500">
      <w:pPr>
        <w:ind w:left="0" w:right="0" w:firstLine="0"/>
      </w:pPr>
      <w:r>
        <w:t xml:space="preserve">The 2018 code was the first, albeit unsuccessful, attempt to provide a legal framework to address the problem of disinformation. The lack of success of this voluntary tool lies in the very problem of disinformation and the business models of online platforms such as Facebook. Disinformation is a phenomenon difficult to grasp due to the ever-new ways and techniques of its dissemination and the rapid development of new technologies. Platforms provide the environment for its diffusion. The circulation of disinformation brings them increased traffic, </w:t>
      </w:r>
      <w:r>
        <w:lastRenderedPageBreak/>
        <w:t xml:space="preserve">which translates into higher profits. Therefore, they are reluctant to engage actively in countering this phenomenon. </w:t>
      </w:r>
    </w:p>
    <w:p w14:paraId="7B251B01" w14:textId="77777777" w:rsidR="00FD37F3" w:rsidRDefault="000D4500">
      <w:pPr>
        <w:ind w:left="0" w:right="0" w:firstLine="240"/>
      </w:pPr>
      <w:r>
        <w:t>In the face of this emerging complexity, the adoption of legal measures to combat disinformation is challenging. The self-regulatory solution chosen in 2018 offered the possibility of adapting the flexible measures to different operating systems of the platforms and to target the specific threats posed by the spread of disinformation. Such instrument allowed a rapid response tailored to evolving new technologies. However, this chapter revealed quite a long list of its shortcomings, which, first, did not allow to effectively combat disinformation</w:t>
      </w:r>
      <w:r>
        <w:rPr>
          <w:sz w:val="19"/>
          <w:vertAlign w:val="superscript"/>
        </w:rPr>
        <w:t>74</w:t>
      </w:r>
      <w:r>
        <w:t xml:space="preserve"> and, second, did not facilitate research on the phenomenon. </w:t>
      </w:r>
    </w:p>
    <w:p w14:paraId="5989F244" w14:textId="77777777" w:rsidR="00FD37F3" w:rsidRDefault="000D4500">
      <w:pPr>
        <w:ind w:left="0" w:right="0" w:firstLine="240"/>
      </w:pPr>
      <w:r>
        <w:t xml:space="preserve">The 2022 code addresses the shortcomings and fills in the gaps of the 2018 code. The commitment to cooperate with researchers and with the third-party body, as well as other organizations, regarding the provision of data and the transparency of this process, means that the discretion of platforms in this regard could be reduced. While researchers remain dependent on platforms to obtain data, as the latter are the source, the 2022 code balances this dependency with elements such as the involvement of intermediaries, a defined reporting scheme, and enforcement measures. The alignment of the code with the DSA makes the voluntariness of the implementation of the commitments no longer unlimited, especially for the VLOPs. The binding law allows for enforceability of agreed measures and provides a defined liability scheme in case of non-compliance. Therefore, the combination of the commitments enshrined in the code focused on the specific problem of disinformation with the binding law, the DSA, is an added value. It allows for greater flexibility and provides better mechanisms of control and ensuring transparency. However, the question of whether such a combination would translate into a better quality of ongoing research on disinformation and greater research opportunities in this area should be asked. I identified some gaps as regards the tools entrusted to researchers to signal the platforms’ inaction or incomplete fulfilment of commitments or to challenge their decisions on data provision. Moreover, the analysis of the first baseline report submitted by Facebook shows some incompleteness and vagueness in the provision of data. It may be the first sign that the solutions adopted in the 2022 code aligned with the DSA are not sufficient. </w:t>
      </w:r>
    </w:p>
    <w:p w14:paraId="1C20131E" w14:textId="4211A368" w:rsidR="00FD37F3" w:rsidRDefault="000D4500">
      <w:pPr>
        <w:spacing w:after="337"/>
        <w:ind w:left="0" w:right="0" w:firstLine="240"/>
      </w:pPr>
      <w:r>
        <w:t xml:space="preserve">It is necessary to wait for the implementation of all mechanisms to which the signatories have committed in the 2022 code. Under the 2018 code, researchers were not provided with effective instruments to access data on disinformation circulating on platforms and to analyse the measures taken by the latter to counter it. The 2022 code aligned with the DSA is an important, although for </w:t>
      </w:r>
      <w:r>
        <w:lastRenderedPageBreak/>
        <w:t xml:space="preserve">the moment still not sufficient, step towards ensuring greater data access for researchers studying disinformation. </w:t>
      </w:r>
    </w:p>
    <w:p w14:paraId="158A1568" w14:textId="77777777" w:rsidR="00FD37F3" w:rsidRDefault="000D4500">
      <w:pPr>
        <w:pStyle w:val="Heading1"/>
        <w:ind w:left="-5"/>
      </w:pPr>
      <w:r>
        <w:t>Notes</w:t>
      </w:r>
    </w:p>
    <w:p w14:paraId="6D63F066" w14:textId="77777777" w:rsidR="00FD37F3" w:rsidRDefault="000D4500">
      <w:pPr>
        <w:numPr>
          <w:ilvl w:val="0"/>
          <w:numId w:val="1"/>
        </w:numPr>
        <w:ind w:right="0" w:hanging="360"/>
      </w:pPr>
      <w:r>
        <w:t xml:space="preserve">Garth S. Jowett and Victoria O’Donnell, </w:t>
      </w:r>
      <w:r>
        <w:rPr>
          <w:i/>
        </w:rPr>
        <w:t>Propaganda and Persuasion</w:t>
      </w:r>
      <w:r>
        <w:t xml:space="preserve"> (Sage Publications, 2012).</w:t>
      </w:r>
    </w:p>
    <w:p w14:paraId="2E0A6D0C" w14:textId="77777777" w:rsidR="00FD37F3" w:rsidRDefault="000D4500">
      <w:pPr>
        <w:numPr>
          <w:ilvl w:val="0"/>
          <w:numId w:val="1"/>
        </w:numPr>
        <w:ind w:right="0" w:hanging="360"/>
      </w:pPr>
      <w:r>
        <w:t>‘Communication from the Commission to the European Parliament, the Council, the European Economic and Social Committee and the Committee of the Regions, Tackling Online Disinformation: A European Approach’, COM (2018) 236 final, European Commission, https://eur-lex.europa.eu/ legal-content/EN/TXT/PDF/?</w:t>
      </w:r>
      <w:proofErr w:type="spellStart"/>
      <w:r>
        <w:t>uri</w:t>
      </w:r>
      <w:proofErr w:type="spellEnd"/>
      <w:r>
        <w:t>=CELEX:52018DC0236 (accessed 28 July 2023).</w:t>
      </w:r>
    </w:p>
    <w:p w14:paraId="61061FBA" w14:textId="77777777" w:rsidR="00FD37F3" w:rsidRDefault="000D4500">
      <w:pPr>
        <w:numPr>
          <w:ilvl w:val="0"/>
          <w:numId w:val="1"/>
        </w:numPr>
        <w:ind w:right="0" w:hanging="360"/>
      </w:pPr>
      <w:r>
        <w:t xml:space="preserve">J. Bayer, Bernd Holznagel, Katarzyna </w:t>
      </w:r>
      <w:proofErr w:type="spellStart"/>
      <w:r>
        <w:t>Lubianiec</w:t>
      </w:r>
      <w:proofErr w:type="spellEnd"/>
      <w:r>
        <w:t xml:space="preserve">, Adela Pintea, Josephine B. Schmitt, Judit Szakács, and Erik Uszkiewicz, ‘Disinformation and </w:t>
      </w:r>
    </w:p>
    <w:p w14:paraId="42FC0F84" w14:textId="77777777" w:rsidR="00FD37F3" w:rsidRDefault="000D4500">
      <w:pPr>
        <w:ind w:left="460" w:right="0" w:firstLine="0"/>
      </w:pPr>
      <w:r>
        <w:t>Propaganda: Impact on the Functioning of the Rule of Law and Democratic Processes in the EU and Its Member States’, European Parliament, 2021, https://www.europarl.europa.eu/RegData/etudes/STUD/2021/653633/ EXPO_</w:t>
      </w:r>
      <w:proofErr w:type="gramStart"/>
      <w:r>
        <w:t>STU(2021)653633_EN.pdf</w:t>
      </w:r>
      <w:proofErr w:type="gramEnd"/>
      <w:r>
        <w:t xml:space="preserve"> (accessed 28 July 2023). </w:t>
      </w:r>
    </w:p>
    <w:p w14:paraId="5AEC18D6" w14:textId="77777777" w:rsidR="00FD37F3" w:rsidRDefault="000D4500">
      <w:pPr>
        <w:numPr>
          <w:ilvl w:val="0"/>
          <w:numId w:val="1"/>
        </w:numPr>
        <w:ind w:right="0" w:hanging="360"/>
      </w:pPr>
      <w:r>
        <w:t xml:space="preserve">‘Communication from the Commission’. </w:t>
      </w:r>
    </w:p>
    <w:p w14:paraId="2E81BA70" w14:textId="77777777" w:rsidR="00FD37F3" w:rsidRDefault="000D4500">
      <w:pPr>
        <w:numPr>
          <w:ilvl w:val="0"/>
          <w:numId w:val="1"/>
        </w:numPr>
        <w:ind w:right="0" w:hanging="360"/>
      </w:pPr>
      <w:r>
        <w:t xml:space="preserve">‘Fake News and Disinformation Online’, European Commission, March 2018, https://europa.eu/eurobarometer/surveys/detail/2183 (accessed 28 July 2023). </w:t>
      </w:r>
    </w:p>
    <w:p w14:paraId="41DA155B" w14:textId="77777777" w:rsidR="00FD37F3" w:rsidRDefault="000D4500">
      <w:pPr>
        <w:numPr>
          <w:ilvl w:val="0"/>
          <w:numId w:val="1"/>
        </w:numPr>
        <w:ind w:right="0" w:hanging="360"/>
      </w:pPr>
      <w:r>
        <w:t>‘Communication from the Commission’.</w:t>
      </w:r>
    </w:p>
    <w:p w14:paraId="66722683" w14:textId="77777777" w:rsidR="00FD37F3" w:rsidRDefault="000D4500">
      <w:pPr>
        <w:numPr>
          <w:ilvl w:val="0"/>
          <w:numId w:val="1"/>
        </w:numPr>
        <w:ind w:right="0" w:hanging="360"/>
      </w:pPr>
      <w:r>
        <w:t xml:space="preserve">Despite the name change of the platform in 2021 to Meta, the name Facebook is used throughout this chapter. </w:t>
      </w:r>
    </w:p>
    <w:p w14:paraId="443C635B" w14:textId="77777777" w:rsidR="00FD37F3" w:rsidRDefault="000D4500">
      <w:pPr>
        <w:numPr>
          <w:ilvl w:val="0"/>
          <w:numId w:val="1"/>
        </w:numPr>
        <w:ind w:right="0" w:hanging="360"/>
      </w:pPr>
      <w:r>
        <w:t xml:space="preserve">Nic Newman, Richard Fletcher, Craig T. Robertson, Kirsten Eddy, and Rasmus Kleis Nielsen, </w:t>
      </w:r>
      <w:r>
        <w:rPr>
          <w:i/>
        </w:rPr>
        <w:t>Reuters Institute Digital News Report 2022</w:t>
      </w:r>
      <w:r>
        <w:t xml:space="preserve"> (Reuters Institute, University of Oxford, 2022). </w:t>
      </w:r>
    </w:p>
    <w:p w14:paraId="5BBC65E2" w14:textId="77777777" w:rsidR="00FD37F3" w:rsidRDefault="000D4500">
      <w:pPr>
        <w:numPr>
          <w:ilvl w:val="0"/>
          <w:numId w:val="1"/>
        </w:numPr>
        <w:ind w:right="0" w:hanging="360"/>
      </w:pPr>
      <w:r>
        <w:t xml:space="preserve">Mark Travers, ‘Facebook Spreads Fake News Faster than Any Other Social Website, According to New Research’, </w:t>
      </w:r>
      <w:r>
        <w:rPr>
          <w:i/>
        </w:rPr>
        <w:t>Forbes</w:t>
      </w:r>
      <w:r>
        <w:t>, 21 May 2020, https:// www.forbes.com/sites/traversmark/2020/03/21/facebook-spreadsfake-news-faster-than-any-other-social-website-according-to-newresearch/?sh=3deca4b56e1a (accessed 24 February 2023).</w:t>
      </w:r>
    </w:p>
    <w:p w14:paraId="659D8869" w14:textId="77777777" w:rsidR="00FD37F3" w:rsidRDefault="000D4500">
      <w:pPr>
        <w:numPr>
          <w:ilvl w:val="0"/>
          <w:numId w:val="1"/>
        </w:numPr>
        <w:ind w:right="0" w:hanging="360"/>
      </w:pPr>
      <w:r>
        <w:t>‘Communication from the Commission’.</w:t>
      </w:r>
      <w:r>
        <w:rPr>
          <w:i/>
        </w:rPr>
        <w:t xml:space="preserve"> </w:t>
      </w:r>
    </w:p>
    <w:p w14:paraId="678700E7" w14:textId="77777777" w:rsidR="00FD37F3" w:rsidRDefault="000D4500">
      <w:pPr>
        <w:numPr>
          <w:ilvl w:val="0"/>
          <w:numId w:val="1"/>
        </w:numPr>
        <w:ind w:right="0" w:hanging="360"/>
      </w:pPr>
      <w:r>
        <w:t xml:space="preserve">‘Communication from the Commission’. </w:t>
      </w:r>
    </w:p>
    <w:p w14:paraId="413A992D" w14:textId="77777777" w:rsidR="00FD37F3" w:rsidRDefault="000D4500">
      <w:pPr>
        <w:numPr>
          <w:ilvl w:val="0"/>
          <w:numId w:val="1"/>
        </w:numPr>
        <w:ind w:right="0" w:hanging="360"/>
      </w:pPr>
      <w:r>
        <w:lastRenderedPageBreak/>
        <w:t xml:space="preserve">Linda Senden, ‘Soft Law, Self-Regulation and Co-Regulation in European Law: Where Do They Meet?’ </w:t>
      </w:r>
      <w:r>
        <w:rPr>
          <w:i/>
        </w:rPr>
        <w:t>Electronic Journal of Comparative Law</w:t>
      </w:r>
      <w:r>
        <w:t xml:space="preserve"> no. 9 (2005): 1–27, 24.</w:t>
      </w:r>
    </w:p>
    <w:p w14:paraId="00132579" w14:textId="77777777" w:rsidR="00FD37F3" w:rsidRDefault="000D4500">
      <w:pPr>
        <w:numPr>
          <w:ilvl w:val="0"/>
          <w:numId w:val="1"/>
        </w:numPr>
        <w:ind w:right="0" w:hanging="360"/>
      </w:pPr>
      <w:r>
        <w:t>Senden, ‘Soft Law, Self-Regulation and Co-Regulation’, 1, 23.</w:t>
      </w:r>
    </w:p>
    <w:p w14:paraId="7991496D" w14:textId="77777777" w:rsidR="00FD37F3" w:rsidRDefault="000D4500">
      <w:pPr>
        <w:numPr>
          <w:ilvl w:val="0"/>
          <w:numId w:val="1"/>
        </w:numPr>
        <w:ind w:right="0" w:hanging="360"/>
      </w:pPr>
      <w:r>
        <w:t>Iva Plasilova, Jordan Hill, Malin Carlberg, Marion Goubet, and Richard Procee</w:t>
      </w:r>
      <w:r>
        <w:rPr>
          <w:i/>
        </w:rPr>
        <w:t>,</w:t>
      </w:r>
      <w:r>
        <w:t xml:space="preserve"> </w:t>
      </w:r>
      <w:r>
        <w:rPr>
          <w:i/>
        </w:rPr>
        <w:t>Study for Assessment of the Implementation of the Code of Practice on Disinformation Final Report</w:t>
      </w:r>
      <w:r>
        <w:t xml:space="preserve">, SMART 2019/0041, 2019, https:// www.imap-migration.org/sites/default/files/Publications/2020-07/ Studyfortheassessmentofthecodeofpracticeagainstdisinformation.pdf (accessed 8 February 2023). </w:t>
      </w:r>
    </w:p>
    <w:p w14:paraId="55BADCD3" w14:textId="77777777" w:rsidR="00FD37F3" w:rsidRDefault="000D4500">
      <w:pPr>
        <w:numPr>
          <w:ilvl w:val="0"/>
          <w:numId w:val="1"/>
        </w:numPr>
        <w:ind w:right="0" w:hanging="360"/>
      </w:pPr>
      <w:r>
        <w:t xml:space="preserve">Code of Practice on Disinformation, 2018, https://ec.europa.eu/newsroom/ </w:t>
      </w:r>
      <w:proofErr w:type="spellStart"/>
      <w:r>
        <w:t>dae</w:t>
      </w:r>
      <w:proofErr w:type="spellEnd"/>
      <w:r>
        <w:t xml:space="preserve">/redirection/document/87534 (accessed 18 December 2022). </w:t>
      </w:r>
    </w:p>
    <w:p w14:paraId="7CB66649" w14:textId="77777777" w:rsidR="00FD37F3" w:rsidRDefault="000D4500">
      <w:pPr>
        <w:numPr>
          <w:ilvl w:val="0"/>
          <w:numId w:val="1"/>
        </w:numPr>
        <w:ind w:right="0" w:hanging="360"/>
      </w:pPr>
      <w:r>
        <w:t xml:space="preserve">The partnerships concluded with academics reported by Google, Meta, X (now Twitter), Mozilla, and Microsoft consisted of offering the training of fact-checkers, making available of datasets, launching campaigns on transparency, or building the infrastructures to provider researchers with access to non-personally identifiable data. See ‘Analysis Code of Practice Annual Report’, 11–12, https://ec.europa.eu/newsroom/dae/document. </w:t>
      </w:r>
      <w:proofErr w:type="spellStart"/>
      <w:r>
        <w:t>cfm?doc_id</w:t>
      </w:r>
      <w:proofErr w:type="spellEnd"/>
      <w:r>
        <w:t xml:space="preserve">=62698 (accessed 28 July 2023). </w:t>
      </w:r>
    </w:p>
    <w:p w14:paraId="7C7F0457" w14:textId="77777777" w:rsidR="00FD37F3" w:rsidRDefault="000D4500">
      <w:pPr>
        <w:numPr>
          <w:ilvl w:val="0"/>
          <w:numId w:val="1"/>
        </w:numPr>
        <w:ind w:right="0" w:hanging="360"/>
      </w:pPr>
      <w:r>
        <w:t xml:space="preserve">The principal purpose of the code was to identify the actions that signatories could put in place in order to address the challenges related to ‘disinformation’. </w:t>
      </w:r>
    </w:p>
    <w:p w14:paraId="2FD6672E" w14:textId="77777777" w:rsidR="00FD37F3" w:rsidRDefault="000D4500">
      <w:pPr>
        <w:numPr>
          <w:ilvl w:val="0"/>
          <w:numId w:val="1"/>
        </w:numPr>
        <w:ind w:right="0" w:hanging="360"/>
      </w:pPr>
      <w:r>
        <w:t>See ‘Staff Working Document’, SWD (2020)180 final, 2020, European Commission, https://ec.europa.eu/newsroom/dae/document.cfm?doc_ id=69212 (accessed 16 February 2023).</w:t>
      </w:r>
    </w:p>
    <w:p w14:paraId="4F412700" w14:textId="77777777" w:rsidR="00FD37F3" w:rsidRDefault="000D4500">
      <w:pPr>
        <w:numPr>
          <w:ilvl w:val="0"/>
          <w:numId w:val="1"/>
        </w:numPr>
        <w:spacing w:after="3" w:line="274" w:lineRule="auto"/>
        <w:ind w:right="0" w:hanging="360"/>
      </w:pPr>
      <w:r>
        <w:t xml:space="preserve">‘Staff Working Document’. For example, the platform provided data linked to the restriction of misleading advertising, unsupported commercial claims, or deceptive business practices which were not related to the policies against disinformation. </w:t>
      </w:r>
    </w:p>
    <w:p w14:paraId="11821C4B" w14:textId="77777777" w:rsidR="00FD37F3" w:rsidRDefault="000D4500">
      <w:pPr>
        <w:numPr>
          <w:ilvl w:val="0"/>
          <w:numId w:val="1"/>
        </w:numPr>
        <w:ind w:right="0" w:hanging="360"/>
      </w:pPr>
      <w:r>
        <w:t>The signatories recognized specific goals which were expressed under the form of commitments and divided into five groups and related to five following areas: (</w:t>
      </w:r>
      <w:r>
        <w:rPr>
          <w:i/>
        </w:rPr>
        <w:t>a</w:t>
      </w:r>
      <w:r>
        <w:t>) scrutiny of ad placements, (</w:t>
      </w:r>
      <w:r>
        <w:rPr>
          <w:i/>
        </w:rPr>
        <w:t>b</w:t>
      </w:r>
      <w:r>
        <w:t>) political advertising and issue-based advertising, (</w:t>
      </w:r>
      <w:r>
        <w:rPr>
          <w:i/>
        </w:rPr>
        <w:t>c</w:t>
      </w:r>
      <w:r>
        <w:t>) integrity of services, (</w:t>
      </w:r>
      <w:r>
        <w:rPr>
          <w:i/>
        </w:rPr>
        <w:t>d</w:t>
      </w:r>
      <w:r>
        <w:t>) empowering consumers, and (</w:t>
      </w:r>
      <w:r>
        <w:rPr>
          <w:i/>
        </w:rPr>
        <w:t>e</w:t>
      </w:r>
      <w:r>
        <w:t xml:space="preserve">) empowering the research community. </w:t>
      </w:r>
    </w:p>
    <w:p w14:paraId="4784354C" w14:textId="77777777" w:rsidR="00FD37F3" w:rsidRDefault="000D4500">
      <w:pPr>
        <w:numPr>
          <w:ilvl w:val="0"/>
          <w:numId w:val="1"/>
        </w:numPr>
        <w:ind w:right="0" w:hanging="360"/>
      </w:pPr>
      <w:r>
        <w:t xml:space="preserve">In the report on September and October 2021 actions, ‘Fighting COVID-19 Disinformation, as Regards Supporting Media Literacy in Europe’, Facebook reported the results of the ‘Together Against Covid-19 Misinformation’ campaign. See ‘Reports on September and October </w:t>
      </w:r>
      <w:r>
        <w:lastRenderedPageBreak/>
        <w:t>Actions: Fighting COVID-19 Disinformation Monitoring Programme’, European Commission, 2 December 2021,</w:t>
      </w:r>
      <w:r>
        <w:rPr>
          <w:i/>
        </w:rPr>
        <w:t xml:space="preserve"> </w:t>
      </w:r>
      <w:r>
        <w:t>https://digital-strategy. ec.europa.eu/en/library/reports-september-and-october-actions-fightingcovid-19-disinformation-monitoring-programme (accessed 20 February 2023). In the report on November and December 2021 actions, ‘Fighting COVID-19 Disinformation’, neither this action nor its results are mentioned so the assessment of the effectiveness of this action in the long term is not possible. See ‘Fighting COVID-19 Disinformation: Reports on November and December Actions’, European Commission,</w:t>
      </w:r>
      <w:r>
        <w:rPr>
          <w:i/>
        </w:rPr>
        <w:t xml:space="preserve"> </w:t>
      </w:r>
      <w:r>
        <w:t xml:space="preserve">27 January 2022, https:// digital-strategy.ec.europa.eu/en/library/fighting-covid-19-disinformationreports-november-and-december-actions (accessed 20 February 2023). </w:t>
      </w:r>
    </w:p>
    <w:p w14:paraId="35FD8C76" w14:textId="77777777" w:rsidR="00FD37F3" w:rsidRDefault="000D4500">
      <w:pPr>
        <w:numPr>
          <w:ilvl w:val="0"/>
          <w:numId w:val="1"/>
        </w:numPr>
        <w:ind w:right="0" w:hanging="360"/>
      </w:pPr>
      <w:r>
        <w:t xml:space="preserve">Trisha Meyer, Alexandre Alaphilippe, and Claire Pershan, ‘The Good, the Bad and the Ugly: How Platforms are Prioritising Some EU Member States in Their COVID-19 Disinformation Responses’, EU </w:t>
      </w:r>
      <w:proofErr w:type="spellStart"/>
      <w:r>
        <w:t>DisinfoLab</w:t>
      </w:r>
      <w:proofErr w:type="spellEnd"/>
      <w:r>
        <w:t>, 28 April 2021, https://www.disinfo.eu/publications/the-good-the-bad-and-the-uglyhow-platforms-are-prioritising-some-eu-member-states-in-their-covid-19disinformation-responses (accessed 15 May 2023).</w:t>
      </w:r>
    </w:p>
    <w:p w14:paraId="5B025B44" w14:textId="77777777" w:rsidR="00FD37F3" w:rsidRDefault="000D4500">
      <w:pPr>
        <w:numPr>
          <w:ilvl w:val="0"/>
          <w:numId w:val="1"/>
        </w:numPr>
        <w:ind w:right="0" w:hanging="360"/>
      </w:pPr>
      <w:r>
        <w:t xml:space="preserve">Meyer, Alaphilippe, and </w:t>
      </w:r>
      <w:proofErr w:type="spellStart"/>
      <w:r>
        <w:t>Pershan</w:t>
      </w:r>
      <w:proofErr w:type="spellEnd"/>
      <w:r>
        <w:t xml:space="preserve">, ‘The Good, the Bad and the Ugly’. </w:t>
      </w:r>
    </w:p>
    <w:p w14:paraId="047415BA" w14:textId="77777777" w:rsidR="00FD37F3" w:rsidRDefault="000D4500">
      <w:pPr>
        <w:numPr>
          <w:ilvl w:val="0"/>
          <w:numId w:val="1"/>
        </w:numPr>
        <w:ind w:right="0" w:hanging="360"/>
      </w:pPr>
      <w:r>
        <w:t xml:space="preserve">Meyer, Alaphilippe, and </w:t>
      </w:r>
      <w:proofErr w:type="spellStart"/>
      <w:r>
        <w:t>Pershan</w:t>
      </w:r>
      <w:proofErr w:type="spellEnd"/>
      <w:r>
        <w:t xml:space="preserve">, ‘The Good, the Bad and the Ugly’. </w:t>
      </w:r>
    </w:p>
    <w:p w14:paraId="747221C3" w14:textId="77777777" w:rsidR="00FD37F3" w:rsidRDefault="000D4500">
      <w:pPr>
        <w:numPr>
          <w:ilvl w:val="0"/>
          <w:numId w:val="1"/>
        </w:numPr>
        <w:ind w:right="0" w:hanging="360"/>
      </w:pPr>
      <w:proofErr w:type="spellStart"/>
      <w:r>
        <w:t>Plasilova</w:t>
      </w:r>
      <w:proofErr w:type="spellEnd"/>
      <w:r>
        <w:t xml:space="preserve">, Hill, Carlberg, </w:t>
      </w:r>
      <w:proofErr w:type="spellStart"/>
      <w:r>
        <w:t>Goubet</w:t>
      </w:r>
      <w:proofErr w:type="spellEnd"/>
      <w:r>
        <w:t xml:space="preserve">, and </w:t>
      </w:r>
      <w:proofErr w:type="spellStart"/>
      <w:r>
        <w:t>Procee</w:t>
      </w:r>
      <w:proofErr w:type="spellEnd"/>
      <w:r>
        <w:t xml:space="preserve">, </w:t>
      </w:r>
      <w:r>
        <w:rPr>
          <w:i/>
        </w:rPr>
        <w:t>Study for Assessment</w:t>
      </w:r>
      <w:r>
        <w:t xml:space="preserve">. </w:t>
      </w:r>
    </w:p>
    <w:p w14:paraId="59862196" w14:textId="77777777" w:rsidR="00FD37F3" w:rsidRDefault="000D4500">
      <w:pPr>
        <w:numPr>
          <w:ilvl w:val="0"/>
          <w:numId w:val="1"/>
        </w:numPr>
        <w:ind w:right="0" w:hanging="360"/>
      </w:pPr>
      <w:proofErr w:type="spellStart"/>
      <w:r>
        <w:t>Plasilova</w:t>
      </w:r>
      <w:proofErr w:type="spellEnd"/>
      <w:r>
        <w:t xml:space="preserve">, Hill, Carlberg, </w:t>
      </w:r>
      <w:proofErr w:type="spellStart"/>
      <w:r>
        <w:t>Goubet</w:t>
      </w:r>
      <w:proofErr w:type="spellEnd"/>
      <w:r>
        <w:t xml:space="preserve">, and </w:t>
      </w:r>
      <w:proofErr w:type="spellStart"/>
      <w:r>
        <w:t>Procee</w:t>
      </w:r>
      <w:proofErr w:type="spellEnd"/>
      <w:r>
        <w:t xml:space="preserve">, </w:t>
      </w:r>
      <w:r>
        <w:rPr>
          <w:i/>
        </w:rPr>
        <w:t>Study for Assessment</w:t>
      </w:r>
      <w:r>
        <w:t xml:space="preserve">. </w:t>
      </w:r>
    </w:p>
    <w:p w14:paraId="09C358FA" w14:textId="77777777" w:rsidR="00FD37F3" w:rsidRDefault="000D4500">
      <w:pPr>
        <w:numPr>
          <w:ilvl w:val="0"/>
          <w:numId w:val="1"/>
        </w:numPr>
        <w:ind w:right="0" w:hanging="360"/>
      </w:pPr>
      <w:r>
        <w:t>See, for example, ‘Code of Practice against Disinformation: Commission Takes Note of the Progress Made by Online Platforms and Urges Them to Step Up Their Efforts’, European Commission, 20 March 2019, https:// ec.europa.eu/commission/</w:t>
      </w:r>
      <w:proofErr w:type="spellStart"/>
      <w:r>
        <w:t>presscorner</w:t>
      </w:r>
      <w:proofErr w:type="spellEnd"/>
      <w:r>
        <w:t>/detail/</w:t>
      </w:r>
      <w:proofErr w:type="spellStart"/>
      <w:r>
        <w:t>en</w:t>
      </w:r>
      <w:proofErr w:type="spellEnd"/>
      <w:r>
        <w:t>/STATEMENT_19_1757 (accessed 17 February 2023).</w:t>
      </w:r>
    </w:p>
    <w:p w14:paraId="26392E5D" w14:textId="77777777" w:rsidR="00FD37F3" w:rsidRDefault="000D4500">
      <w:pPr>
        <w:numPr>
          <w:ilvl w:val="0"/>
          <w:numId w:val="1"/>
        </w:numPr>
        <w:ind w:right="0" w:hanging="360"/>
      </w:pPr>
      <w:r>
        <w:t>‘Staff Working Document’.</w:t>
      </w:r>
    </w:p>
    <w:p w14:paraId="7AB45A75" w14:textId="77777777" w:rsidR="00FD37F3" w:rsidRDefault="000D4500">
      <w:pPr>
        <w:numPr>
          <w:ilvl w:val="0"/>
          <w:numId w:val="1"/>
        </w:numPr>
        <w:ind w:right="0" w:hanging="360"/>
      </w:pPr>
      <w:r>
        <w:t>The new code relates to the following areas: (</w:t>
      </w:r>
      <w:r>
        <w:rPr>
          <w:i/>
        </w:rPr>
        <w:t>a</w:t>
      </w:r>
      <w:r>
        <w:t>) scrutiny of ad placements, (</w:t>
      </w:r>
      <w:r>
        <w:rPr>
          <w:i/>
        </w:rPr>
        <w:t>b</w:t>
      </w:r>
      <w:r>
        <w:t>) political advertising, (</w:t>
      </w:r>
      <w:r>
        <w:rPr>
          <w:i/>
        </w:rPr>
        <w:t>c</w:t>
      </w:r>
      <w:r>
        <w:t>) integrity of services, (</w:t>
      </w:r>
      <w:r>
        <w:rPr>
          <w:i/>
        </w:rPr>
        <w:t>d</w:t>
      </w:r>
      <w:r>
        <w:t>) empowering users, (</w:t>
      </w:r>
      <w:r>
        <w:rPr>
          <w:i/>
        </w:rPr>
        <w:t>e</w:t>
      </w:r>
      <w:r>
        <w:t>) empowering the research community, (</w:t>
      </w:r>
      <w:r>
        <w:rPr>
          <w:i/>
        </w:rPr>
        <w:t>f</w:t>
      </w:r>
      <w:r>
        <w:t>) empowering the fact-checking community, (</w:t>
      </w:r>
      <w:r>
        <w:rPr>
          <w:i/>
        </w:rPr>
        <w:t>g</w:t>
      </w:r>
      <w:r>
        <w:t>) transparency centre, (</w:t>
      </w:r>
      <w:r>
        <w:rPr>
          <w:i/>
        </w:rPr>
        <w:t>h</w:t>
      </w:r>
      <w:r>
        <w:t>) permanent task force, and (</w:t>
      </w:r>
      <w:proofErr w:type="spellStart"/>
      <w:r>
        <w:rPr>
          <w:i/>
        </w:rPr>
        <w:t>i</w:t>
      </w:r>
      <w:proofErr w:type="spellEnd"/>
      <w:r>
        <w:t xml:space="preserve">) monitoring of the code. See </w:t>
      </w:r>
      <w:r>
        <w:rPr>
          <w:i/>
        </w:rPr>
        <w:t>The Strengthened Code of Practice on Disinformation 2022</w:t>
      </w:r>
      <w:r>
        <w:t>, https://ec.europa.u/newsroom/dae/redirection/document/87585 (accessed 14 February 2023).</w:t>
      </w:r>
    </w:p>
    <w:p w14:paraId="73FF2EF1" w14:textId="77777777" w:rsidR="00FD37F3" w:rsidRDefault="000D4500">
      <w:pPr>
        <w:numPr>
          <w:ilvl w:val="0"/>
          <w:numId w:val="1"/>
        </w:numPr>
        <w:ind w:right="0" w:hanging="360"/>
      </w:pPr>
      <w:r>
        <w:t xml:space="preserve">‘Commission Presents Guidance to Strengthen the Code of Practice on Disinformation’, 26 May 2021, European Commission, https://ec.europa. </w:t>
      </w:r>
      <w:proofErr w:type="spellStart"/>
      <w:r>
        <w:t>eu</w:t>
      </w:r>
      <w:proofErr w:type="spellEnd"/>
      <w:r>
        <w:t>/commission/</w:t>
      </w:r>
      <w:proofErr w:type="spellStart"/>
      <w:r>
        <w:t>presscorner</w:t>
      </w:r>
      <w:proofErr w:type="spellEnd"/>
      <w:r>
        <w:t>/detail/</w:t>
      </w:r>
      <w:proofErr w:type="spellStart"/>
      <w:r>
        <w:t>en</w:t>
      </w:r>
      <w:proofErr w:type="spellEnd"/>
      <w:r>
        <w:t>/ip_21_2585 (accessed 15 December 2024).</w:t>
      </w:r>
    </w:p>
    <w:p w14:paraId="1FB8B7BB" w14:textId="77777777" w:rsidR="00FD37F3" w:rsidRDefault="000D4500">
      <w:pPr>
        <w:numPr>
          <w:ilvl w:val="0"/>
          <w:numId w:val="1"/>
        </w:numPr>
        <w:ind w:right="0" w:hanging="360"/>
      </w:pPr>
      <w:r>
        <w:lastRenderedPageBreak/>
        <w:t xml:space="preserve">‘Guidance on Strengthening the Code of Practice on Disinformation’, European Commission, 26 May 2021, https://digital-strategy.ec.europa.eu/ </w:t>
      </w:r>
      <w:proofErr w:type="spellStart"/>
      <w:r>
        <w:t>en</w:t>
      </w:r>
      <w:proofErr w:type="spellEnd"/>
      <w:r>
        <w:t>/library/guidance-strengthening-code-practice-disinformation (accessed 28 July 2023).</w:t>
      </w:r>
    </w:p>
    <w:p w14:paraId="0C6D553B" w14:textId="77777777" w:rsidR="00FD37F3" w:rsidRDefault="000D4500">
      <w:pPr>
        <w:numPr>
          <w:ilvl w:val="0"/>
          <w:numId w:val="1"/>
        </w:numPr>
        <w:ind w:right="0" w:hanging="360"/>
      </w:pPr>
      <w:r>
        <w:t>‘Signatories of the 2022 Strengthened Code of Practice on Disinformation’, European Commission, 16 June 2022, https://digital-strategy.ec.europa. eu/en/library/signatories-2022-strengthened-code-practice-disinformation (accessed 28 July 2023).</w:t>
      </w:r>
    </w:p>
    <w:p w14:paraId="596B792C" w14:textId="77777777" w:rsidR="00FD37F3" w:rsidRDefault="000D4500">
      <w:pPr>
        <w:numPr>
          <w:ilvl w:val="0"/>
          <w:numId w:val="1"/>
        </w:numPr>
        <w:ind w:right="0" w:hanging="360"/>
      </w:pPr>
      <w:r>
        <w:t xml:space="preserve">‘The Digital Services Act: Ensuring a Safe and Accountable Online Environment’, European Commission, https://commission.europa.eu/ strategy-and-policy/priorities-2019-2024/europe-fit-digital-age/digitalservices-act-ensuring-safe-and-accountable-online-environment_en (accessed 28 July 2023). </w:t>
      </w:r>
    </w:p>
    <w:p w14:paraId="0B14646E" w14:textId="77777777" w:rsidR="00FD37F3" w:rsidRDefault="000D4500">
      <w:pPr>
        <w:numPr>
          <w:ilvl w:val="0"/>
          <w:numId w:val="1"/>
        </w:numPr>
        <w:ind w:right="0" w:hanging="360"/>
      </w:pPr>
      <w:r>
        <w:t xml:space="preserve">‘VI. Empowering the Research Community’, in </w:t>
      </w:r>
      <w:r>
        <w:rPr>
          <w:i/>
        </w:rPr>
        <w:t>The Strengthened Code of Practice on Disinformation 2022</w:t>
      </w:r>
      <w:r>
        <w:t xml:space="preserve">, 26–30, https://ec.europa.eu/newsroom/ </w:t>
      </w:r>
      <w:proofErr w:type="spellStart"/>
      <w:r>
        <w:t>dae</w:t>
      </w:r>
      <w:proofErr w:type="spellEnd"/>
      <w:r>
        <w:t xml:space="preserve">/redirection/document/87585 (accessed 14 February 2023). </w:t>
      </w:r>
    </w:p>
    <w:p w14:paraId="285D8277" w14:textId="77777777" w:rsidR="00FD37F3" w:rsidRDefault="000D4500">
      <w:pPr>
        <w:numPr>
          <w:ilvl w:val="0"/>
          <w:numId w:val="1"/>
        </w:numPr>
        <w:ind w:right="0" w:hanging="360"/>
      </w:pPr>
      <w:r>
        <w:t xml:space="preserve">The independent procedure of vetting researchers by a Digital Services Coordinator to allow them access to data by VLOPs is provided in Article 40 of the DSA. The access to data awarded within the framework of Article 40 of the DSA is of general nature and not limited to data on disinformation. </w:t>
      </w:r>
    </w:p>
    <w:p w14:paraId="2662D30B" w14:textId="77777777" w:rsidR="00FD37F3" w:rsidRDefault="000D4500">
      <w:pPr>
        <w:numPr>
          <w:ilvl w:val="0"/>
          <w:numId w:val="1"/>
        </w:numPr>
        <w:ind w:right="0" w:hanging="360"/>
      </w:pPr>
      <w:r>
        <w:t xml:space="preserve">‘Commitment 28’, in </w:t>
      </w:r>
      <w:r>
        <w:rPr>
          <w:i/>
        </w:rPr>
        <w:t>The Strengthened Code of Practice on Disinformation 2022</w:t>
      </w:r>
      <w:r>
        <w:t>, https://ec.europa.eu/newsroom/dae/redirection/document/87585 (accessed 14 February 2023).</w:t>
      </w:r>
    </w:p>
    <w:p w14:paraId="38470F3C" w14:textId="77777777" w:rsidR="00FD37F3" w:rsidRDefault="000D4500">
      <w:pPr>
        <w:numPr>
          <w:ilvl w:val="0"/>
          <w:numId w:val="1"/>
        </w:numPr>
        <w:ind w:right="0" w:hanging="360"/>
      </w:pPr>
      <w:r>
        <w:t xml:space="preserve">‘Commitment 29’, in </w:t>
      </w:r>
      <w:r>
        <w:rPr>
          <w:i/>
        </w:rPr>
        <w:t>The Strengthened Code of Practice on Disinformation 2022</w:t>
      </w:r>
      <w:r>
        <w:t>, https://ec.europa.eu/newsroom/dae/redirection/document/87585 (accessed 14 February 2023).</w:t>
      </w:r>
    </w:p>
    <w:p w14:paraId="19203A28" w14:textId="77777777" w:rsidR="00FD37F3" w:rsidRDefault="000D4500">
      <w:pPr>
        <w:numPr>
          <w:ilvl w:val="0"/>
          <w:numId w:val="1"/>
        </w:numPr>
        <w:ind w:right="0" w:hanging="360"/>
      </w:pPr>
      <w:r>
        <w:t xml:space="preserve">‘Report of the European Digital Media Observatory’s Working Group on Platform-to-Researcher Data Access’, European Digital Media Observatory, 31 </w:t>
      </w:r>
    </w:p>
    <w:p w14:paraId="0463BD58" w14:textId="77777777" w:rsidR="00FD37F3" w:rsidRDefault="000D4500">
      <w:pPr>
        <w:ind w:left="460" w:right="0" w:firstLine="0"/>
      </w:pPr>
      <w:r>
        <w:t>May 2022, https://edmoprod.wpengine.com/wp-content/uploads/2022/02/ Report-of-the-European-Digital-Media-Observatorys-Working-Group-onPlatform-to-Researcher-Data-Access-2022.pdf (accessed 13 February 2023).</w:t>
      </w:r>
    </w:p>
    <w:p w14:paraId="01637DEA" w14:textId="77777777" w:rsidR="00FD37F3" w:rsidRDefault="000D4500">
      <w:pPr>
        <w:numPr>
          <w:ilvl w:val="0"/>
          <w:numId w:val="1"/>
        </w:numPr>
        <w:ind w:right="0" w:hanging="360"/>
      </w:pPr>
      <w:r>
        <w:t xml:space="preserve">To compare, an EU legislator in Article 40 of the DSA foresaw the establishment of the Digital Services Coordinator to assess compliance of VLOPs with the DSA, to vet researchers, and to intermediate as regards the provision of data by VLOPs to researchers. Many similarities can be noticed between its role and the role of third-party body within the 2022 </w:t>
      </w:r>
      <w:r>
        <w:lastRenderedPageBreak/>
        <w:t xml:space="preserve">Code of Practice on Disinformation. However, the scope of the third-party body is shaped narrowly and relates only to the disinformation’s issues. </w:t>
      </w:r>
    </w:p>
    <w:p w14:paraId="60E21C2C" w14:textId="77777777" w:rsidR="00FD37F3" w:rsidRDefault="000D4500">
      <w:pPr>
        <w:numPr>
          <w:ilvl w:val="0"/>
          <w:numId w:val="1"/>
        </w:numPr>
        <w:ind w:right="0" w:hanging="360"/>
      </w:pPr>
      <w:r>
        <w:t>Online platforms and online search engines whose number of average monthly active recipients of the service in the EU is equal to or higher than 45 million. See Article 33 of DSA. In this chapter, I refer only to VLOPs and omit the very large search engines (VLSEs). See ‘#</w:t>
      </w:r>
      <w:proofErr w:type="spellStart"/>
      <w:r>
        <w:t>FindYourVLOP</w:t>
      </w:r>
      <w:proofErr w:type="spellEnd"/>
      <w:r>
        <w:t>’, https:// docs.google.com/spreadsheets/d/1H89uABJZCg0BQlUdpDPE0XBpdtX WPGQbwLW4Ug_hmNo/</w:t>
      </w:r>
      <w:proofErr w:type="spellStart"/>
      <w:r>
        <w:t>edit#gid</w:t>
      </w:r>
      <w:proofErr w:type="spellEnd"/>
      <w:r>
        <w:t xml:space="preserve">=1177757099 (accessed 25 February </w:t>
      </w:r>
    </w:p>
    <w:p w14:paraId="5D5FBD98" w14:textId="77777777" w:rsidR="00FD37F3" w:rsidRDefault="000D4500">
      <w:pPr>
        <w:ind w:left="460" w:right="0" w:firstLine="0"/>
      </w:pPr>
      <w:r>
        <w:t xml:space="preserve">2023). </w:t>
      </w:r>
    </w:p>
    <w:p w14:paraId="3CF94DF4" w14:textId="77777777" w:rsidR="00FD37F3" w:rsidRDefault="000D4500">
      <w:pPr>
        <w:numPr>
          <w:ilvl w:val="0"/>
          <w:numId w:val="1"/>
        </w:numPr>
        <w:spacing w:after="3" w:line="274" w:lineRule="auto"/>
        <w:ind w:right="0" w:hanging="360"/>
      </w:pPr>
      <w:r>
        <w:t xml:space="preserve">Point ‘h’ of the preamble to </w:t>
      </w:r>
      <w:r>
        <w:rPr>
          <w:i/>
        </w:rPr>
        <w:t>The Strengthened Code of Practice on Disinformation 2022</w:t>
      </w:r>
      <w:r>
        <w:t xml:space="preserve">, </w:t>
      </w:r>
      <w:r>
        <w:tab/>
        <w:t xml:space="preserve">https://ec.europa.eu/newsroom/dae/redirection/document/87585 (accessed 14 February 2023). </w:t>
      </w:r>
    </w:p>
    <w:p w14:paraId="43306C65" w14:textId="77777777" w:rsidR="00FD37F3" w:rsidRDefault="000D4500">
      <w:pPr>
        <w:numPr>
          <w:ilvl w:val="0"/>
          <w:numId w:val="1"/>
        </w:numPr>
        <w:spacing w:after="1" w:line="276" w:lineRule="auto"/>
        <w:ind w:right="0" w:hanging="360"/>
      </w:pPr>
      <w:r>
        <w:t xml:space="preserve">Point ‘h’ of the preamble to </w:t>
      </w:r>
      <w:r>
        <w:rPr>
          <w:i/>
        </w:rPr>
        <w:t>The Strengthened Code of Practice on Disinformation 2022</w:t>
      </w:r>
      <w:r>
        <w:t xml:space="preserve">. </w:t>
      </w:r>
    </w:p>
    <w:p w14:paraId="33BB47F7" w14:textId="77777777" w:rsidR="00FD37F3" w:rsidRDefault="000D4500">
      <w:pPr>
        <w:numPr>
          <w:ilvl w:val="0"/>
          <w:numId w:val="1"/>
        </w:numPr>
        <w:ind w:right="0" w:hanging="360"/>
      </w:pPr>
      <w:r>
        <w:t xml:space="preserve">See, for example, ‘ERGA Report on Disinformation: Assessment of the Implementation of the Code of Practice’, European Regulators Group for Audiovisual Media Services, 2020, https://erga-online.eu/wp-content/ uploads/2020/05/ERGA-2019-report-published-2020-LQ.pdf (accessed 13 February 2023). </w:t>
      </w:r>
    </w:p>
    <w:p w14:paraId="32C4B070" w14:textId="77777777" w:rsidR="00FD37F3" w:rsidRDefault="000D4500">
      <w:pPr>
        <w:numPr>
          <w:ilvl w:val="0"/>
          <w:numId w:val="1"/>
        </w:numPr>
        <w:ind w:right="0" w:hanging="360"/>
      </w:pPr>
      <w:r>
        <w:t>Article 37(1) of the DSA.</w:t>
      </w:r>
    </w:p>
    <w:p w14:paraId="3EB18D22" w14:textId="77777777" w:rsidR="00FD37F3" w:rsidRDefault="000D4500">
      <w:pPr>
        <w:numPr>
          <w:ilvl w:val="0"/>
          <w:numId w:val="1"/>
        </w:numPr>
        <w:ind w:right="0" w:hanging="360"/>
      </w:pPr>
      <w:r>
        <w:t>Six months after the code’s signature which took place on the 16 June 2022.</w:t>
      </w:r>
    </w:p>
    <w:p w14:paraId="3C802007" w14:textId="77777777" w:rsidR="00FD37F3" w:rsidRDefault="000D4500">
      <w:pPr>
        <w:numPr>
          <w:ilvl w:val="0"/>
          <w:numId w:val="1"/>
        </w:numPr>
        <w:spacing w:after="3" w:line="274" w:lineRule="auto"/>
        <w:ind w:right="0" w:hanging="360"/>
      </w:pPr>
      <w:r>
        <w:t xml:space="preserve">‘Commitment 40’, in </w:t>
      </w:r>
      <w:r>
        <w:rPr>
          <w:i/>
        </w:rPr>
        <w:t>The Strengthened Code of Practice on Disinformation 2022</w:t>
      </w:r>
      <w:r>
        <w:t xml:space="preserve">, </w:t>
      </w:r>
      <w:r>
        <w:tab/>
        <w:t>https://ec.europa.eu/newsroom/dae/redirection/document/87585 (accessed 14 February 2023).</w:t>
      </w:r>
    </w:p>
    <w:p w14:paraId="1A597BBF" w14:textId="77777777" w:rsidR="00FD37F3" w:rsidRDefault="000D4500">
      <w:pPr>
        <w:numPr>
          <w:ilvl w:val="0"/>
          <w:numId w:val="1"/>
        </w:numPr>
        <w:ind w:right="0" w:hanging="360"/>
      </w:pPr>
      <w:r>
        <w:t xml:space="preserve">See ‘The Digital Services Act’. </w:t>
      </w:r>
    </w:p>
    <w:p w14:paraId="75ED01A2" w14:textId="77777777" w:rsidR="00FD37F3" w:rsidRDefault="000D4500">
      <w:pPr>
        <w:numPr>
          <w:ilvl w:val="0"/>
          <w:numId w:val="1"/>
        </w:numPr>
        <w:spacing w:after="3" w:line="274" w:lineRule="auto"/>
        <w:ind w:right="0" w:hanging="360"/>
      </w:pPr>
      <w:r>
        <w:t xml:space="preserve">‘Commitment 41’, in </w:t>
      </w:r>
      <w:r>
        <w:rPr>
          <w:i/>
        </w:rPr>
        <w:t>The Strengthened Code of Practice on Disinformation 2022</w:t>
      </w:r>
      <w:r>
        <w:t xml:space="preserve">, </w:t>
      </w:r>
      <w:r>
        <w:tab/>
        <w:t>https://ec.europa.eu/newsroom/dae/redirection/document/87585 (accessed 14 February 2023).</w:t>
      </w:r>
    </w:p>
    <w:p w14:paraId="2064AD59" w14:textId="77777777" w:rsidR="00FD37F3" w:rsidRDefault="000D4500">
      <w:pPr>
        <w:numPr>
          <w:ilvl w:val="0"/>
          <w:numId w:val="1"/>
        </w:numPr>
        <w:ind w:right="0" w:hanging="360"/>
      </w:pPr>
      <w:r>
        <w:t xml:space="preserve">‘Measures 37.2’, in </w:t>
      </w:r>
      <w:r>
        <w:rPr>
          <w:i/>
        </w:rPr>
        <w:t>The Strengthened Code of Practice on Disinformation 2022</w:t>
      </w:r>
      <w:r>
        <w:t>, https://ec.europa.eu/newsroom/dae/redirection/document/87585 (accessed 14 February 2023).</w:t>
      </w:r>
    </w:p>
    <w:p w14:paraId="515AEECC" w14:textId="77777777" w:rsidR="00FD37F3" w:rsidRDefault="000D4500">
      <w:pPr>
        <w:numPr>
          <w:ilvl w:val="0"/>
          <w:numId w:val="1"/>
        </w:numPr>
        <w:spacing w:after="3" w:line="274" w:lineRule="auto"/>
        <w:ind w:right="0" w:hanging="360"/>
      </w:pPr>
      <w:r>
        <w:t xml:space="preserve">‘Commitment 43’, in </w:t>
      </w:r>
      <w:r>
        <w:rPr>
          <w:i/>
        </w:rPr>
        <w:t>The Strengthened Code of Practice on Disinformation 2022</w:t>
      </w:r>
      <w:r>
        <w:t xml:space="preserve">, </w:t>
      </w:r>
      <w:r>
        <w:tab/>
        <w:t>https://ec.europa.eu/newsroom/dae/redirection/document/87585 (accessed 14 February 2023).</w:t>
      </w:r>
    </w:p>
    <w:p w14:paraId="2887DC2E" w14:textId="77777777" w:rsidR="00FD37F3" w:rsidRDefault="000D4500">
      <w:pPr>
        <w:numPr>
          <w:ilvl w:val="0"/>
          <w:numId w:val="1"/>
        </w:numPr>
        <w:ind w:right="0" w:hanging="360"/>
      </w:pPr>
      <w:r>
        <w:t>Transparency Centre, https://disinfocode.eu (accessed 14 February 2023).</w:t>
      </w:r>
    </w:p>
    <w:p w14:paraId="7F16A2E7" w14:textId="77777777" w:rsidR="00FD37F3" w:rsidRDefault="000D4500">
      <w:pPr>
        <w:numPr>
          <w:ilvl w:val="0"/>
          <w:numId w:val="1"/>
        </w:numPr>
        <w:ind w:right="0" w:hanging="360"/>
      </w:pPr>
      <w:r>
        <w:lastRenderedPageBreak/>
        <w:t xml:space="preserve">‘Signatories of the Code of Practice on Disinformation Deliver Their First Baseline Reports in the Transparency Centre’, European Commission, 9 February 2023, https://digital-strategy.ec.europa.eu/en/news/signatoriescode-practice-disinformation-deliver-their-first-baseline-reportstransparency-centre (accessed 14 February 2023). </w:t>
      </w:r>
    </w:p>
    <w:p w14:paraId="22748216" w14:textId="77777777" w:rsidR="00FD37F3" w:rsidRDefault="000D4500">
      <w:pPr>
        <w:numPr>
          <w:ilvl w:val="0"/>
          <w:numId w:val="1"/>
        </w:numPr>
        <w:ind w:right="0" w:hanging="360"/>
      </w:pPr>
      <w:r>
        <w:t xml:space="preserve">‘Community Standards Enforcement Report’, Meta, https://transparency. fb.com/data/community-standards-enforcement (accessed 16 February 2023). </w:t>
      </w:r>
    </w:p>
    <w:p w14:paraId="6AAF5DBB" w14:textId="77777777" w:rsidR="00FD37F3" w:rsidRDefault="000D4500">
      <w:pPr>
        <w:numPr>
          <w:ilvl w:val="0"/>
          <w:numId w:val="1"/>
        </w:numPr>
        <w:ind w:right="0" w:hanging="360"/>
      </w:pPr>
      <w:r>
        <w:t xml:space="preserve">‘Widely Viewed Content Report’, Meta, https://transparency.fb.com/pl-pl/ data/widely-viewed-content-report (accessed 16 February 2023). </w:t>
      </w:r>
    </w:p>
    <w:p w14:paraId="64ABC3AC" w14:textId="77777777" w:rsidR="00FD37F3" w:rsidRDefault="000D4500">
      <w:pPr>
        <w:numPr>
          <w:ilvl w:val="0"/>
          <w:numId w:val="1"/>
        </w:numPr>
        <w:ind w:right="0" w:hanging="360"/>
      </w:pPr>
      <w:r>
        <w:t>‘Meta’s Adversarial Threat Report’, Meta, November 2022, https://about.</w:t>
      </w:r>
    </w:p>
    <w:p w14:paraId="2C7E772D" w14:textId="77777777" w:rsidR="00FD37F3" w:rsidRDefault="000D4500">
      <w:pPr>
        <w:ind w:left="460" w:right="0" w:firstLine="0"/>
      </w:pPr>
      <w:r>
        <w:t xml:space="preserve">fb.com/news/2022/11/metas-adversarial-threat-report-q3-2022 (accessed 16 February 2023). </w:t>
      </w:r>
    </w:p>
    <w:p w14:paraId="0AAEBD16" w14:textId="77777777" w:rsidR="00FD37F3" w:rsidRDefault="000D4500">
      <w:pPr>
        <w:numPr>
          <w:ilvl w:val="0"/>
          <w:numId w:val="1"/>
        </w:numPr>
        <w:ind w:right="0" w:hanging="360"/>
      </w:pPr>
      <w:r>
        <w:t>‘Code of Practice on Disinformation: Meta Baseline Report’, Meta, January 2023, https://disinfocode.eu/reports-archive/?years=2023 (accessed 16 February 2023).</w:t>
      </w:r>
    </w:p>
    <w:p w14:paraId="6C98B042" w14:textId="77777777" w:rsidR="00FD37F3" w:rsidRDefault="000D4500">
      <w:pPr>
        <w:numPr>
          <w:ilvl w:val="0"/>
          <w:numId w:val="1"/>
        </w:numPr>
        <w:ind w:right="0" w:hanging="360"/>
      </w:pPr>
      <w:r>
        <w:t xml:space="preserve">‘Measure 26.2’, in </w:t>
      </w:r>
      <w:r>
        <w:rPr>
          <w:i/>
        </w:rPr>
        <w:t>The Strengthened Code of Practice on Disinformation 2022</w:t>
      </w:r>
      <w:r>
        <w:t>, https://ec.europa.eu/newsroom/dae/redirection/document/87585 (accessed 14 February 2023).</w:t>
      </w:r>
    </w:p>
    <w:p w14:paraId="38AEC7D1" w14:textId="77777777" w:rsidR="00FD37F3" w:rsidRDefault="000D4500">
      <w:pPr>
        <w:numPr>
          <w:ilvl w:val="0"/>
          <w:numId w:val="1"/>
        </w:numPr>
        <w:ind w:right="0" w:hanging="360"/>
      </w:pPr>
      <w:r>
        <w:t>‘Code of Practice on Disinformation: Meta Baseline Report’.</w:t>
      </w:r>
    </w:p>
    <w:p w14:paraId="24346FB9" w14:textId="77777777" w:rsidR="00FD37F3" w:rsidRDefault="000D4500">
      <w:pPr>
        <w:numPr>
          <w:ilvl w:val="0"/>
          <w:numId w:val="1"/>
        </w:numPr>
        <w:ind w:right="0" w:hanging="360"/>
      </w:pPr>
      <w:r>
        <w:t xml:space="preserve">Seth Smaley, ‘Meta Won’t Comment on Its Plans to Abandon </w:t>
      </w:r>
      <w:proofErr w:type="spellStart"/>
      <w:r>
        <w:t>CrowdTangle</w:t>
      </w:r>
      <w:proofErr w:type="spellEnd"/>
      <w:r>
        <w:t>’, Poynter, 18 August 2022, https://www.poynter.org/reporting-editing/2022/ meta-wont-comment-on-its-plans-to-abandon-</w:t>
      </w:r>
      <w:proofErr w:type="spellStart"/>
      <w:r>
        <w:t>crowdtangle</w:t>
      </w:r>
      <w:proofErr w:type="spellEnd"/>
      <w:r>
        <w:t xml:space="preserve"> (accessed 14 February 2023); Maxime Mohr, ‘Meta </w:t>
      </w:r>
      <w:proofErr w:type="spellStart"/>
      <w:r>
        <w:t>va</w:t>
      </w:r>
      <w:proofErr w:type="spellEnd"/>
      <w:r>
        <w:t xml:space="preserve"> </w:t>
      </w:r>
      <w:proofErr w:type="spellStart"/>
      <w:r>
        <w:t>éteindre</w:t>
      </w:r>
      <w:proofErr w:type="spellEnd"/>
      <w:r>
        <w:t xml:space="preserve"> </w:t>
      </w:r>
      <w:proofErr w:type="spellStart"/>
      <w:r>
        <w:t>CrowdTangle</w:t>
      </w:r>
      <w:proofErr w:type="spellEnd"/>
      <w:r>
        <w:t xml:space="preserve">, son </w:t>
      </w:r>
      <w:proofErr w:type="spellStart"/>
      <w:r>
        <w:t>outil</w:t>
      </w:r>
      <w:proofErr w:type="spellEnd"/>
      <w:r>
        <w:t xml:space="preserve"> de </w:t>
      </w:r>
      <w:proofErr w:type="spellStart"/>
      <w:r>
        <w:t>mesure</w:t>
      </w:r>
      <w:proofErr w:type="spellEnd"/>
      <w:r>
        <w:t xml:space="preserve"> des interactions, </w:t>
      </w:r>
      <w:proofErr w:type="spellStart"/>
      <w:r>
        <w:t>SiecleDigital</w:t>
      </w:r>
      <w:proofErr w:type="spellEnd"/>
      <w:r>
        <w:t xml:space="preserve">’, </w:t>
      </w:r>
      <w:proofErr w:type="spellStart"/>
      <w:r>
        <w:t>SiecleDigital</w:t>
      </w:r>
      <w:proofErr w:type="spellEnd"/>
      <w:r>
        <w:t>, 29 June 2022, https:// siecledigital.fr/2022/06/29/meta-va-eteindre-crowdtangle-son-outil-demesure-des-interactions (accessed 14 February 2023).</w:t>
      </w:r>
    </w:p>
    <w:p w14:paraId="0AAEDB09" w14:textId="77777777" w:rsidR="00FD37F3" w:rsidRDefault="000D4500">
      <w:pPr>
        <w:numPr>
          <w:ilvl w:val="0"/>
          <w:numId w:val="1"/>
        </w:numPr>
        <w:ind w:right="0" w:hanging="360"/>
      </w:pPr>
      <w:r>
        <w:t xml:space="preserve">Gemma B. Mendoza, ‘Why Possible Loss of </w:t>
      </w:r>
      <w:proofErr w:type="spellStart"/>
      <w:r>
        <w:t>CrowdTangle</w:t>
      </w:r>
      <w:proofErr w:type="spellEnd"/>
      <w:r>
        <w:t xml:space="preserve"> Worries </w:t>
      </w:r>
      <w:proofErr w:type="spellStart"/>
      <w:r>
        <w:t>FactCheckers</w:t>
      </w:r>
      <w:proofErr w:type="spellEnd"/>
      <w:r>
        <w:t xml:space="preserve"> and Disinformation Researchers’, Rappler, 11 July 2020, https:// www.rappler.com/technology/social-media/disinformation-crowdtangledata-access (accessed 16 February 2023). </w:t>
      </w:r>
    </w:p>
    <w:p w14:paraId="71159F0A" w14:textId="77777777" w:rsidR="00FD37F3" w:rsidRDefault="000D4500">
      <w:pPr>
        <w:numPr>
          <w:ilvl w:val="0"/>
          <w:numId w:val="1"/>
        </w:numPr>
        <w:ind w:right="0" w:hanging="360"/>
      </w:pPr>
      <w:r>
        <w:t xml:space="preserve">John Albert, ‘Facebook’s Gutting of </w:t>
      </w:r>
      <w:proofErr w:type="spellStart"/>
      <w:r>
        <w:t>CrowdTangle</w:t>
      </w:r>
      <w:proofErr w:type="spellEnd"/>
      <w:r>
        <w:t xml:space="preserve">: A Step Backward for Platform Transparency’, </w:t>
      </w:r>
      <w:proofErr w:type="spellStart"/>
      <w:r>
        <w:t>AlgorithmWatch</w:t>
      </w:r>
      <w:proofErr w:type="spellEnd"/>
      <w:r>
        <w:t>, 3 August 2022, https:// algorithmwatch.org/</w:t>
      </w:r>
      <w:proofErr w:type="spellStart"/>
      <w:r>
        <w:t>en</w:t>
      </w:r>
      <w:proofErr w:type="spellEnd"/>
      <w:r>
        <w:t>/</w:t>
      </w:r>
      <w:proofErr w:type="spellStart"/>
      <w:r>
        <w:t>crowdtangle</w:t>
      </w:r>
      <w:proofErr w:type="spellEnd"/>
      <w:r>
        <w:t>-platform-transparency (accessed 15 February 2023).</w:t>
      </w:r>
    </w:p>
    <w:p w14:paraId="65833A5E" w14:textId="77777777" w:rsidR="00FD37F3" w:rsidRDefault="000D4500">
      <w:pPr>
        <w:numPr>
          <w:ilvl w:val="0"/>
          <w:numId w:val="1"/>
        </w:numPr>
        <w:ind w:right="0" w:hanging="360"/>
      </w:pPr>
      <w:r>
        <w:lastRenderedPageBreak/>
        <w:t>Christina Fan, ‘</w:t>
      </w:r>
      <w:proofErr w:type="spellStart"/>
      <w:r>
        <w:t>CrowdTangle</w:t>
      </w:r>
      <w:proofErr w:type="spellEnd"/>
      <w:r>
        <w:t xml:space="preserve"> for Academics and Researchers’, </w:t>
      </w:r>
      <w:proofErr w:type="spellStart"/>
      <w:r>
        <w:t>CrowdTangle</w:t>
      </w:r>
      <w:proofErr w:type="spellEnd"/>
      <w:r>
        <w:t>, 2023, https://help.crowdtangle.com/en/articles/4302208-crowdtangle-foracademics-and-researchers (accessed 15 February 2023).</w:t>
      </w:r>
    </w:p>
    <w:p w14:paraId="76630C06" w14:textId="77777777" w:rsidR="00FD37F3" w:rsidRDefault="000D4500">
      <w:pPr>
        <w:numPr>
          <w:ilvl w:val="0"/>
          <w:numId w:val="1"/>
        </w:numPr>
        <w:ind w:right="0" w:hanging="360"/>
      </w:pPr>
      <w:r>
        <w:t xml:space="preserve">The exact phrasing of Facebook’s response was as follows: ‘Thank you for submitting an application for </w:t>
      </w:r>
      <w:proofErr w:type="spellStart"/>
      <w:r>
        <w:t>CrowdTangle</w:t>
      </w:r>
      <w:proofErr w:type="spellEnd"/>
      <w:r>
        <w:t xml:space="preserve"> access. Please note that we are prioritizing specific research topics as noted in the application form, and may not be able to onboard you if your research falls outside that scope. If we are able to onboard you, we will be in touch soon. Thanks, the </w:t>
      </w:r>
      <w:proofErr w:type="spellStart"/>
      <w:r>
        <w:t>CrowdTangleTeam</w:t>
      </w:r>
      <w:proofErr w:type="spellEnd"/>
      <w:r>
        <w:t xml:space="preserve">.’ </w:t>
      </w:r>
    </w:p>
    <w:p w14:paraId="50D14740" w14:textId="77777777" w:rsidR="00FD37F3" w:rsidRDefault="000D4500">
      <w:pPr>
        <w:numPr>
          <w:ilvl w:val="0"/>
          <w:numId w:val="1"/>
        </w:numPr>
        <w:ind w:right="0" w:hanging="360"/>
      </w:pPr>
      <w:r>
        <w:t xml:space="preserve">‘Meta Pauses New Users from Joining Analytics Tool </w:t>
      </w:r>
      <w:proofErr w:type="spellStart"/>
      <w:r>
        <w:t>CrowdTangle</w:t>
      </w:r>
      <w:proofErr w:type="spellEnd"/>
      <w:r>
        <w:t xml:space="preserve">’, Reuters, 29 January 2022, https://www.reuters.com/technology/meta-pauses-newusers-joining-analytics-tool-crowdtangle-2022-01-29 (accessed 17 May 2023). </w:t>
      </w:r>
    </w:p>
    <w:p w14:paraId="07A752DF" w14:textId="77777777" w:rsidR="00FD37F3" w:rsidRDefault="000D4500">
      <w:pPr>
        <w:numPr>
          <w:ilvl w:val="0"/>
          <w:numId w:val="1"/>
        </w:numPr>
        <w:ind w:right="0" w:hanging="360"/>
      </w:pPr>
      <w:r>
        <w:t xml:space="preserve">John Albert, ‘Platforms’ Promises to Researchers: First Reports Missing the Baseline’, </w:t>
      </w:r>
      <w:proofErr w:type="spellStart"/>
      <w:r>
        <w:t>AlgorithmWatch</w:t>
      </w:r>
      <w:proofErr w:type="spellEnd"/>
      <w:r>
        <w:t xml:space="preserve">, 16 February 2023, https://algorithmwatch.org/ </w:t>
      </w:r>
      <w:proofErr w:type="spellStart"/>
      <w:r>
        <w:t>en</w:t>
      </w:r>
      <w:proofErr w:type="spellEnd"/>
      <w:r>
        <w:t xml:space="preserve">/platforms-promises-to-researchers (accessed 27 February 2023). </w:t>
      </w:r>
    </w:p>
    <w:p w14:paraId="3922E8B7" w14:textId="77777777" w:rsidR="00FD37F3" w:rsidRDefault="000D4500">
      <w:pPr>
        <w:numPr>
          <w:ilvl w:val="0"/>
          <w:numId w:val="1"/>
        </w:numPr>
        <w:ind w:right="0" w:hanging="360"/>
      </w:pPr>
      <w:r>
        <w:t>‘Code of Practice on Disinformation: Meta Baseline Report’.</w:t>
      </w:r>
      <w:r>
        <w:rPr>
          <w:i/>
        </w:rPr>
        <w:t xml:space="preserve"> </w:t>
      </w:r>
    </w:p>
    <w:p w14:paraId="0B4674B3" w14:textId="77777777" w:rsidR="00FD37F3" w:rsidRDefault="000D4500">
      <w:pPr>
        <w:numPr>
          <w:ilvl w:val="0"/>
          <w:numId w:val="1"/>
        </w:numPr>
        <w:ind w:right="0" w:hanging="360"/>
      </w:pPr>
      <w:r>
        <w:t xml:space="preserve">‘Code of Practice on Disinformation: Meta Baseline Report’. </w:t>
      </w:r>
    </w:p>
    <w:p w14:paraId="28F79DB1" w14:textId="77777777" w:rsidR="00FD37F3" w:rsidRDefault="000D4500">
      <w:pPr>
        <w:numPr>
          <w:ilvl w:val="0"/>
          <w:numId w:val="1"/>
        </w:numPr>
        <w:ind w:right="0" w:hanging="360"/>
      </w:pPr>
      <w:r>
        <w:t xml:space="preserve">‘Code of Practice on Disinformation: New Transparency Centre Provides Insights and Data on Online Disinformation for the First Time’, European Commission, 9 February 2023, https://digital-strategy.ec.europa.eu/en/ news/code-practice-disinformation-new-transparency-centre-providesinsights-and-data-online (accessed 14 February 2023). </w:t>
      </w:r>
    </w:p>
    <w:p w14:paraId="3E695EA6" w14:textId="77777777" w:rsidR="00FD37F3" w:rsidRDefault="000D4500">
      <w:pPr>
        <w:numPr>
          <w:ilvl w:val="0"/>
          <w:numId w:val="1"/>
        </w:numPr>
        <w:ind w:right="0" w:hanging="360"/>
      </w:pPr>
      <w:r>
        <w:t>Facebook did not provide data on the number of monthly users, number of received applications, number of applications rejected, and so on. ‘Code of Practice on Disinformation: Meta Baseline Report’.</w:t>
      </w:r>
    </w:p>
    <w:p w14:paraId="6B60EDDA" w14:textId="77777777" w:rsidR="00FD37F3" w:rsidRDefault="000D4500">
      <w:pPr>
        <w:numPr>
          <w:ilvl w:val="0"/>
          <w:numId w:val="1"/>
        </w:numPr>
        <w:ind w:right="0" w:hanging="360"/>
      </w:pPr>
      <w:r>
        <w:t xml:space="preserve">‘Measure 26.1’, in </w:t>
      </w:r>
      <w:r>
        <w:rPr>
          <w:i/>
        </w:rPr>
        <w:t>The Strengthened Code of Practice on Disinformation 2022</w:t>
      </w:r>
      <w:r>
        <w:t>, https://ec.europa.eu/newsroom/dae/redirection/document/87585 (accessed 14 February 2023).</w:t>
      </w:r>
    </w:p>
    <w:p w14:paraId="0091C573" w14:textId="77777777" w:rsidR="00FD37F3" w:rsidRDefault="000D4500">
      <w:pPr>
        <w:numPr>
          <w:ilvl w:val="0"/>
          <w:numId w:val="1"/>
        </w:numPr>
        <w:ind w:right="0" w:hanging="360"/>
      </w:pPr>
      <w:r>
        <w:t>‘Code of Practice on Disinformation: Meta Baseline Report’.</w:t>
      </w:r>
      <w:r>
        <w:rPr>
          <w:i/>
        </w:rPr>
        <w:t xml:space="preserve"> </w:t>
      </w:r>
    </w:p>
    <w:p w14:paraId="73508CFD" w14:textId="77777777" w:rsidR="00FD37F3" w:rsidRDefault="000D4500">
      <w:pPr>
        <w:numPr>
          <w:ilvl w:val="0"/>
          <w:numId w:val="1"/>
        </w:numPr>
        <w:ind w:right="0" w:hanging="360"/>
      </w:pPr>
      <w:r>
        <w:t>As regards measure 18.2 of the 2022 code, which concerns the development and enforcement of publicly documented, proportionate policies to limit the spread of harmful, false, or misleading information. Facebook provided information on contents removed for violating the ‘harmful health misinformation’ or voter or census interference policies as per each member state and then as per EU as a whole. ‘Code of Practice on Disinformation: Meta Baseline Report’.</w:t>
      </w:r>
      <w:r>
        <w:rPr>
          <w:i/>
        </w:rPr>
        <w:t xml:space="preserve"> </w:t>
      </w:r>
    </w:p>
    <w:p w14:paraId="743DB94C" w14:textId="77777777" w:rsidR="00FD37F3" w:rsidRDefault="000D4500">
      <w:pPr>
        <w:numPr>
          <w:ilvl w:val="0"/>
          <w:numId w:val="1"/>
        </w:numPr>
        <w:ind w:right="0" w:hanging="360"/>
      </w:pPr>
      <w:r>
        <w:t>Article 37(6) of the DSA.</w:t>
      </w:r>
    </w:p>
    <w:p w14:paraId="7EFA99DB" w14:textId="77777777" w:rsidR="00FD37F3" w:rsidRDefault="000D4500">
      <w:pPr>
        <w:numPr>
          <w:ilvl w:val="0"/>
          <w:numId w:val="1"/>
        </w:numPr>
        <w:ind w:right="0" w:hanging="360"/>
      </w:pPr>
      <w:r>
        <w:lastRenderedPageBreak/>
        <w:t xml:space="preserve">‘Left Behind: How Facebook is Neglecting Europe’s Infodemic’, Avaaz, 20 April 2021, https://secure.avaaz.org/campaign/en/facebook_neglect_ </w:t>
      </w:r>
      <w:proofErr w:type="spellStart"/>
      <w:r>
        <w:t>europe_infodemic</w:t>
      </w:r>
      <w:proofErr w:type="spellEnd"/>
      <w:r>
        <w:t xml:space="preserve"> (accessed 19 May 2023).</w:t>
      </w:r>
    </w:p>
    <w:sectPr w:rsidR="00FD37F3">
      <w:headerReference w:type="even" r:id="rId8"/>
      <w:headerReference w:type="default" r:id="rId9"/>
      <w:footerReference w:type="even" r:id="rId10"/>
      <w:footerReference w:type="default" r:id="rId11"/>
      <w:headerReference w:type="first" r:id="rId12"/>
      <w:footerReference w:type="first" r:id="rId13"/>
      <w:pgSz w:w="9480" w:h="13800"/>
      <w:pgMar w:top="1835" w:right="1495" w:bottom="1476" w:left="1500" w:header="720" w:footer="720" w:gutter="0"/>
      <w:pgNumType w:start="28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36D57" w14:textId="77777777" w:rsidR="000B714D" w:rsidRDefault="000B714D">
      <w:pPr>
        <w:spacing w:after="0" w:line="240" w:lineRule="auto"/>
      </w:pPr>
      <w:r>
        <w:separator/>
      </w:r>
    </w:p>
  </w:endnote>
  <w:endnote w:type="continuationSeparator" w:id="0">
    <w:p w14:paraId="3D6541F1" w14:textId="77777777" w:rsidR="000B714D" w:rsidRDefault="000B7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F79B" w14:textId="77777777" w:rsidR="00FD37F3" w:rsidRDefault="000D45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4767CC77" wp14:editId="741BD6E8">
              <wp:simplePos x="0" y="0"/>
              <wp:positionH relativeFrom="page">
                <wp:posOffset>0</wp:posOffset>
              </wp:positionH>
              <wp:positionV relativeFrom="page">
                <wp:posOffset>8496300</wp:posOffset>
              </wp:positionV>
              <wp:extent cx="266700" cy="266700"/>
              <wp:effectExtent l="0" t="0" r="0" b="0"/>
              <wp:wrapSquare wrapText="bothSides"/>
              <wp:docPr id="17736" name="Group 1773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37" name="Shape 1773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38" name="Shape 17738"/>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36" style="width:21pt;height:21pt;position:absolute;mso-position-horizontal-relative:page;mso-position-horizontal:absolute;margin-left:0pt;mso-position-vertical-relative:page;margin-top:669pt;" coordsize="2667,2667">
              <v:shape id="Shape 17737" style="position:absolute;width:1905;height:0;left:0;top:0;" coordsize="190500,0" path="m190500,0l0,0">
                <v:stroke weight="0.25pt" endcap="flat" joinstyle="miter" miterlimit="10" on="true" color="#000000"/>
                <v:fill on="false" color="#000000" opacity="0"/>
              </v:shape>
              <v:shape id="Shape 17738"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6B106EC6" wp14:editId="7076A2BB">
              <wp:simplePos x="0" y="0"/>
              <wp:positionH relativeFrom="page">
                <wp:posOffset>5753100</wp:posOffset>
              </wp:positionH>
              <wp:positionV relativeFrom="page">
                <wp:posOffset>8496300</wp:posOffset>
              </wp:positionV>
              <wp:extent cx="266700" cy="266700"/>
              <wp:effectExtent l="0" t="0" r="0" b="0"/>
              <wp:wrapSquare wrapText="bothSides"/>
              <wp:docPr id="17739" name="Group 1773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40" name="Shape 17740"/>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41" name="Shape 17741"/>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39" style="width:21pt;height:21pt;position:absolute;mso-position-horizontal-relative:page;mso-position-horizontal:absolute;margin-left:453pt;mso-position-vertical-relative:page;margin-top:669pt;" coordsize="2667,2667">
              <v:shape id="Shape 17740" style="position:absolute;width:1905;height:0;left:762;top:0;" coordsize="190500,0" path="m0,0l190500,0">
                <v:stroke weight="0.25pt" endcap="flat" joinstyle="miter" miterlimit="10" on="true" color="#000000"/>
                <v:fill on="false" color="#000000" opacity="0"/>
              </v:shape>
              <v:shape id="Shape 17741"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5F67" w14:textId="77777777" w:rsidR="00FD37F3" w:rsidRDefault="000D45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24DC311" wp14:editId="4C4122A4">
              <wp:simplePos x="0" y="0"/>
              <wp:positionH relativeFrom="page">
                <wp:posOffset>0</wp:posOffset>
              </wp:positionH>
              <wp:positionV relativeFrom="page">
                <wp:posOffset>8496300</wp:posOffset>
              </wp:positionV>
              <wp:extent cx="266700" cy="266700"/>
              <wp:effectExtent l="0" t="0" r="0" b="0"/>
              <wp:wrapSquare wrapText="bothSides"/>
              <wp:docPr id="17712" name="Group 1771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13" name="Shape 17713"/>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14" name="Shape 17714"/>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12" style="width:21pt;height:21pt;position:absolute;mso-position-horizontal-relative:page;mso-position-horizontal:absolute;margin-left:0pt;mso-position-vertical-relative:page;margin-top:669pt;" coordsize="2667,2667">
              <v:shape id="Shape 17713" style="position:absolute;width:1905;height:0;left:0;top:0;" coordsize="190500,0" path="m190500,0l0,0">
                <v:stroke weight="0.25pt" endcap="flat" joinstyle="miter" miterlimit="10" on="true" color="#000000"/>
                <v:fill on="false" color="#000000" opacity="0"/>
              </v:shape>
              <v:shape id="Shape 17714"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79DAC1A5" wp14:editId="5843CF80">
              <wp:simplePos x="0" y="0"/>
              <wp:positionH relativeFrom="page">
                <wp:posOffset>5753100</wp:posOffset>
              </wp:positionH>
              <wp:positionV relativeFrom="page">
                <wp:posOffset>8496300</wp:posOffset>
              </wp:positionV>
              <wp:extent cx="266700" cy="266700"/>
              <wp:effectExtent l="0" t="0" r="0" b="0"/>
              <wp:wrapSquare wrapText="bothSides"/>
              <wp:docPr id="17715" name="Group 1771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16" name="Shape 17716"/>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17" name="Shape 17717"/>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15" style="width:21pt;height:21pt;position:absolute;mso-position-horizontal-relative:page;mso-position-horizontal:absolute;margin-left:453pt;mso-position-vertical-relative:page;margin-top:669pt;" coordsize="2667,2667">
              <v:shape id="Shape 17716" style="position:absolute;width:1905;height:0;left:762;top:0;" coordsize="190500,0" path="m0,0l190500,0">
                <v:stroke weight="0.25pt" endcap="flat" joinstyle="miter" miterlimit="10" on="true" color="#000000"/>
                <v:fill on="false" color="#000000" opacity="0"/>
              </v:shape>
              <v:shape id="Shape 17717"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67A83" w14:textId="77777777" w:rsidR="00FD37F3" w:rsidRDefault="000D45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34317D2C" wp14:editId="699BCE02">
              <wp:simplePos x="0" y="0"/>
              <wp:positionH relativeFrom="page">
                <wp:posOffset>0</wp:posOffset>
              </wp:positionH>
              <wp:positionV relativeFrom="page">
                <wp:posOffset>8496300</wp:posOffset>
              </wp:positionV>
              <wp:extent cx="266700" cy="266700"/>
              <wp:effectExtent l="0" t="0" r="0" b="0"/>
              <wp:wrapSquare wrapText="bothSides"/>
              <wp:docPr id="17688" name="Group 1768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689" name="Shape 17689"/>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690" name="Shape 17690"/>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88" style="width:21pt;height:21pt;position:absolute;mso-position-horizontal-relative:page;mso-position-horizontal:absolute;margin-left:0pt;mso-position-vertical-relative:page;margin-top:669pt;" coordsize="2667,2667">
              <v:shape id="Shape 17689" style="position:absolute;width:1905;height:0;left:0;top:0;" coordsize="190500,0" path="m190500,0l0,0">
                <v:stroke weight="0.25pt" endcap="flat" joinstyle="miter" miterlimit="10" on="true" color="#000000"/>
                <v:fill on="false" color="#000000" opacity="0"/>
              </v:shape>
              <v:shape id="Shape 17690"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193B1871" wp14:editId="0B25683E">
              <wp:simplePos x="0" y="0"/>
              <wp:positionH relativeFrom="page">
                <wp:posOffset>5753100</wp:posOffset>
              </wp:positionH>
              <wp:positionV relativeFrom="page">
                <wp:posOffset>8496300</wp:posOffset>
              </wp:positionV>
              <wp:extent cx="266700" cy="266700"/>
              <wp:effectExtent l="0" t="0" r="0" b="0"/>
              <wp:wrapSquare wrapText="bothSides"/>
              <wp:docPr id="17691" name="Group 1769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692" name="Shape 17692"/>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693" name="Shape 17693"/>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91" style="width:21pt;height:21pt;position:absolute;mso-position-horizontal-relative:page;mso-position-horizontal:absolute;margin-left:453pt;mso-position-vertical-relative:page;margin-top:669pt;" coordsize="2667,2667">
              <v:shape id="Shape 17692" style="position:absolute;width:1905;height:0;left:762;top:0;" coordsize="190500,0" path="m0,0l190500,0">
                <v:stroke weight="0.25pt" endcap="flat" joinstyle="miter" miterlimit="10" on="true" color="#000000"/>
                <v:fill on="false" color="#000000" opacity="0"/>
              </v:shape>
              <v:shape id="Shape 17693"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0EA7C" w14:textId="77777777" w:rsidR="000B714D" w:rsidRDefault="000B714D">
      <w:pPr>
        <w:spacing w:after="0" w:line="240" w:lineRule="auto"/>
      </w:pPr>
      <w:r>
        <w:separator/>
      </w:r>
    </w:p>
  </w:footnote>
  <w:footnote w:type="continuationSeparator" w:id="0">
    <w:p w14:paraId="60F86E57" w14:textId="77777777" w:rsidR="000B714D" w:rsidRDefault="000B7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7CCC" w14:textId="77777777" w:rsidR="00FD37F3" w:rsidRPr="0028230D" w:rsidRDefault="000D4500">
    <w:pPr>
      <w:tabs>
        <w:tab w:val="right" w:pos="6485"/>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DF602A5" wp14:editId="51D03055">
              <wp:simplePos x="0" y="0"/>
              <wp:positionH relativeFrom="page">
                <wp:posOffset>0</wp:posOffset>
              </wp:positionH>
              <wp:positionV relativeFrom="page">
                <wp:posOffset>0</wp:posOffset>
              </wp:positionV>
              <wp:extent cx="266700" cy="266700"/>
              <wp:effectExtent l="0" t="0" r="0" b="0"/>
              <wp:wrapSquare wrapText="bothSides"/>
              <wp:docPr id="17726" name="Group 1772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27" name="Shape 1772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28" name="Shape 1772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26" style="width:21pt;height:21pt;position:absolute;mso-position-horizontal-relative:page;mso-position-horizontal:absolute;margin-left:0pt;mso-position-vertical-relative:page;margin-top:0pt;" coordsize="2667,2667">
              <v:shape id="Shape 17727" style="position:absolute;width:1905;height:0;left:0;top:2667;" coordsize="190500,0" path="m190500,0l0,0">
                <v:stroke weight="0.25pt" endcap="flat" joinstyle="miter" miterlimit="10" on="true" color="#000000"/>
                <v:fill on="false" color="#000000" opacity="0"/>
              </v:shape>
              <v:shape id="Shape 17728"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ADB1627" wp14:editId="01EDB7E1">
              <wp:simplePos x="0" y="0"/>
              <wp:positionH relativeFrom="page">
                <wp:posOffset>5753100</wp:posOffset>
              </wp:positionH>
              <wp:positionV relativeFrom="page">
                <wp:posOffset>0</wp:posOffset>
              </wp:positionV>
              <wp:extent cx="266700" cy="266700"/>
              <wp:effectExtent l="0" t="0" r="0" b="0"/>
              <wp:wrapSquare wrapText="bothSides"/>
              <wp:docPr id="17729" name="Group 1772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30" name="Shape 17730"/>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31" name="Shape 1773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29" style="width:21pt;height:21pt;position:absolute;mso-position-horizontal-relative:page;mso-position-horizontal:absolute;margin-left:453pt;mso-position-vertical-relative:page;margin-top:0pt;" coordsize="2667,2667">
              <v:shape id="Shape 17730" style="position:absolute;width:1905;height:0;left:762;top:2667;" coordsize="190500,0" path="m0,0l190500,0">
                <v:stroke weight="0.25pt" endcap="flat" joinstyle="miter" miterlimit="10" on="true" color="#000000"/>
                <v:fill on="false" color="#000000" opacity="0"/>
              </v:shape>
              <v:shape id="Shape 17731"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rsidRPr="0028230D">
      <w:instrText xml:space="preserve"> PAGE   \* MERGEFORMAT </w:instrText>
    </w:r>
    <w:r>
      <w:fldChar w:fldCharType="separate"/>
    </w:r>
    <w:r w:rsidRPr="0028230D">
      <w:rPr>
        <w:rFonts w:ascii="Times New Roman" w:eastAsia="Times New Roman" w:hAnsi="Times New Roman" w:cs="Times New Roman"/>
        <w:b/>
        <w:sz w:val="19"/>
      </w:rPr>
      <w:t>286</w:t>
    </w:r>
    <w:r>
      <w:rPr>
        <w:rFonts w:ascii="Times New Roman" w:eastAsia="Times New Roman" w:hAnsi="Times New Roman" w:cs="Times New Roman"/>
        <w:b/>
        <w:sz w:val="19"/>
      </w:rPr>
      <w:fldChar w:fldCharType="end"/>
    </w:r>
    <w:r w:rsidRPr="0028230D">
      <w:rPr>
        <w:rFonts w:ascii="Times New Roman" w:eastAsia="Times New Roman" w:hAnsi="Times New Roman" w:cs="Times New Roman"/>
        <w:b/>
        <w:sz w:val="19"/>
      </w:rPr>
      <w:tab/>
    </w:r>
    <w:r w:rsidRPr="0028230D">
      <w:rPr>
        <w:rFonts w:ascii="Times New Roman" w:eastAsia="Times New Roman" w:hAnsi="Times New Roman" w:cs="Times New Roman"/>
        <w:sz w:val="19"/>
      </w:rPr>
      <w:t>Michalina Kowala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5C1B" w14:textId="77777777" w:rsidR="00FD37F3" w:rsidRDefault="000D4500">
    <w:pPr>
      <w:tabs>
        <w:tab w:val="right" w:pos="6485"/>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7B3E0D2" wp14:editId="6AC4A6F7">
              <wp:simplePos x="0" y="0"/>
              <wp:positionH relativeFrom="page">
                <wp:posOffset>0</wp:posOffset>
              </wp:positionH>
              <wp:positionV relativeFrom="page">
                <wp:posOffset>0</wp:posOffset>
              </wp:positionV>
              <wp:extent cx="266700" cy="266700"/>
              <wp:effectExtent l="0" t="0" r="0" b="0"/>
              <wp:wrapSquare wrapText="bothSides"/>
              <wp:docPr id="17702" name="Group 1770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03" name="Shape 17703"/>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04" name="Shape 17704"/>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02" style="width:21pt;height:21pt;position:absolute;mso-position-horizontal-relative:page;mso-position-horizontal:absolute;margin-left:0pt;mso-position-vertical-relative:page;margin-top:0pt;" coordsize="2667,2667">
              <v:shape id="Shape 17703" style="position:absolute;width:1905;height:0;left:0;top:2667;" coordsize="190500,0" path="m190500,0l0,0">
                <v:stroke weight="0.25pt" endcap="flat" joinstyle="miter" miterlimit="10" on="true" color="#000000"/>
                <v:fill on="false" color="#000000" opacity="0"/>
              </v:shape>
              <v:shape id="Shape 17704"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54637F0" wp14:editId="41DC9C5F">
              <wp:simplePos x="0" y="0"/>
              <wp:positionH relativeFrom="page">
                <wp:posOffset>5753100</wp:posOffset>
              </wp:positionH>
              <wp:positionV relativeFrom="page">
                <wp:posOffset>0</wp:posOffset>
              </wp:positionV>
              <wp:extent cx="266700" cy="266700"/>
              <wp:effectExtent l="0" t="0" r="0" b="0"/>
              <wp:wrapSquare wrapText="bothSides"/>
              <wp:docPr id="17705" name="Group 1770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06" name="Shape 17706"/>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07" name="Shape 17707"/>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05" style="width:21pt;height:21pt;position:absolute;mso-position-horizontal-relative:page;mso-position-horizontal:absolute;margin-left:453pt;mso-position-vertical-relative:page;margin-top:0pt;" coordsize="2667,2667">
              <v:shape id="Shape 17706" style="position:absolute;width:1905;height:0;left:762;top:2667;" coordsize="190500,0" path="m0,0l190500,0">
                <v:stroke weight="0.25pt" endcap="flat" joinstyle="miter" miterlimit="10" on="true" color="#000000"/>
                <v:fill on="false" color="#000000" opacity="0"/>
              </v:shape>
              <v:shape id="Shape 17707"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sz w:val="19"/>
      </w:rPr>
      <w:t xml:space="preserve">Access to Data on Disinformation within the Code of Practice on Disinformation </w:t>
    </w:r>
    <w:r>
      <w:rPr>
        <w:rFonts w:ascii="Times New Roman" w:eastAsia="Times New Roman" w:hAnsi="Times New Roman" w:cs="Times New Roman"/>
        <w:sz w:val="19"/>
      </w:rPr>
      <w:tab/>
    </w:r>
    <w:r>
      <w:fldChar w:fldCharType="begin"/>
    </w:r>
    <w:r>
      <w:instrText xml:space="preserve"> PAGE   \* MERGEFORMAT </w:instrText>
    </w:r>
    <w:r>
      <w:fldChar w:fldCharType="separate"/>
    </w:r>
    <w:r>
      <w:rPr>
        <w:rFonts w:ascii="Times New Roman" w:eastAsia="Times New Roman" w:hAnsi="Times New Roman" w:cs="Times New Roman"/>
        <w:b/>
        <w:sz w:val="19"/>
      </w:rPr>
      <w:t>285</w:t>
    </w:r>
    <w:r>
      <w:rPr>
        <w:rFonts w:ascii="Times New Roman" w:eastAsia="Times New Roman" w:hAnsi="Times New Roman" w:cs="Times New Roman"/>
        <w:b/>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595A" w14:textId="77777777" w:rsidR="00FD37F3" w:rsidRDefault="000D45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3C7C4561" wp14:editId="067E78F4">
              <wp:simplePos x="0" y="0"/>
              <wp:positionH relativeFrom="page">
                <wp:posOffset>0</wp:posOffset>
              </wp:positionH>
              <wp:positionV relativeFrom="page">
                <wp:posOffset>0</wp:posOffset>
              </wp:positionV>
              <wp:extent cx="266700" cy="266700"/>
              <wp:effectExtent l="0" t="0" r="0" b="0"/>
              <wp:wrapSquare wrapText="bothSides"/>
              <wp:docPr id="17678" name="Group 1767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679" name="Shape 17679"/>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680" name="Shape 17680"/>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78" style="width:21pt;height:21pt;position:absolute;mso-position-horizontal-relative:page;mso-position-horizontal:absolute;margin-left:0pt;mso-position-vertical-relative:page;margin-top:0pt;" coordsize="2667,2667">
              <v:shape id="Shape 17679" style="position:absolute;width:1905;height:0;left:0;top:2667;" coordsize="190500,0" path="m190500,0l0,0">
                <v:stroke weight="0.25pt" endcap="flat" joinstyle="miter" miterlimit="10" on="true" color="#000000"/>
                <v:fill on="false" color="#000000" opacity="0"/>
              </v:shape>
              <v:shape id="Shape 17680"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3CF2CC88" wp14:editId="499D5778">
              <wp:simplePos x="0" y="0"/>
              <wp:positionH relativeFrom="page">
                <wp:posOffset>5753100</wp:posOffset>
              </wp:positionH>
              <wp:positionV relativeFrom="page">
                <wp:posOffset>0</wp:posOffset>
              </wp:positionV>
              <wp:extent cx="266700" cy="266700"/>
              <wp:effectExtent l="0" t="0" r="0" b="0"/>
              <wp:wrapSquare wrapText="bothSides"/>
              <wp:docPr id="17681" name="Group 1768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682" name="Shape 17682"/>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683" name="Shape 1768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81" style="width:21pt;height:21pt;position:absolute;mso-position-horizontal-relative:page;mso-position-horizontal:absolute;margin-left:453pt;mso-position-vertical-relative:page;margin-top:0pt;" coordsize="2667,2667">
              <v:shape id="Shape 17682" style="position:absolute;width:1905;height:0;left:762;top:2667;" coordsize="190500,0" path="m0,0l190500,0">
                <v:stroke weight="0.25pt" endcap="flat" joinstyle="miter" miterlimit="10" on="true" color="#000000"/>
                <v:fill on="false" color="#000000" opacity="0"/>
              </v:shape>
              <v:shape id="Shape 17683"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4E73"/>
    <w:multiLevelType w:val="hybridMultilevel"/>
    <w:tmpl w:val="B874EBD6"/>
    <w:lvl w:ilvl="0" w:tplc="0ED2E34C">
      <w:start w:val="1"/>
      <w:numFmt w:val="decimal"/>
      <w:lvlText w:val="%1."/>
      <w:lvlJc w:val="left"/>
      <w:pPr>
        <w:ind w:left="44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68A4BF80">
      <w:start w:val="1"/>
      <w:numFmt w:val="lowerLetter"/>
      <w:lvlText w:val="%2"/>
      <w:lvlJc w:val="left"/>
      <w:pPr>
        <w:ind w:left="110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1E46BC18">
      <w:start w:val="1"/>
      <w:numFmt w:val="lowerRoman"/>
      <w:lvlText w:val="%3"/>
      <w:lvlJc w:val="left"/>
      <w:pPr>
        <w:ind w:left="182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68F01FA8">
      <w:start w:val="1"/>
      <w:numFmt w:val="decimal"/>
      <w:lvlText w:val="%4"/>
      <w:lvlJc w:val="left"/>
      <w:pPr>
        <w:ind w:left="254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D0E8C9E6">
      <w:start w:val="1"/>
      <w:numFmt w:val="lowerLetter"/>
      <w:lvlText w:val="%5"/>
      <w:lvlJc w:val="left"/>
      <w:pPr>
        <w:ind w:left="326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1160D0BA">
      <w:start w:val="1"/>
      <w:numFmt w:val="lowerRoman"/>
      <w:lvlText w:val="%6"/>
      <w:lvlJc w:val="left"/>
      <w:pPr>
        <w:ind w:left="398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F496D0B8">
      <w:start w:val="1"/>
      <w:numFmt w:val="decimal"/>
      <w:lvlText w:val="%7"/>
      <w:lvlJc w:val="left"/>
      <w:pPr>
        <w:ind w:left="470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9F4809A0">
      <w:start w:val="1"/>
      <w:numFmt w:val="lowerLetter"/>
      <w:lvlText w:val="%8"/>
      <w:lvlJc w:val="left"/>
      <w:pPr>
        <w:ind w:left="542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B9CEC8EA">
      <w:start w:val="1"/>
      <w:numFmt w:val="lowerRoman"/>
      <w:lvlText w:val="%9"/>
      <w:lvlJc w:val="left"/>
      <w:pPr>
        <w:ind w:left="614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num w:numId="1" w16cid:durableId="714699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7F3"/>
    <w:rsid w:val="000B714D"/>
    <w:rsid w:val="000D4500"/>
    <w:rsid w:val="001700A8"/>
    <w:rsid w:val="001D234A"/>
    <w:rsid w:val="0028230D"/>
    <w:rsid w:val="003F68B5"/>
    <w:rsid w:val="00753312"/>
    <w:rsid w:val="00816662"/>
    <w:rsid w:val="009435F5"/>
    <w:rsid w:val="00996562"/>
    <w:rsid w:val="00D7259C"/>
    <w:rsid w:val="00DE740E"/>
    <w:rsid w:val="00F941E4"/>
    <w:rsid w:val="00FD37F3"/>
    <w:rsid w:val="00FD7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0CFDDD"/>
  <w15:docId w15:val="{12FA1D60-608C-EA4E-82C6-FCD14464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8" w:lineRule="auto"/>
      <w:ind w:left="370" w:right="4" w:hanging="370"/>
      <w:jc w:val="both"/>
    </w:pPr>
    <w:rPr>
      <w:rFonts w:ascii="Garamond" w:eastAsia="Garamond" w:hAnsi="Garamond" w:cs="Garamond"/>
      <w:color w:val="181717"/>
      <w:sz w:val="21"/>
    </w:rPr>
  </w:style>
  <w:style w:type="paragraph" w:styleId="Heading1">
    <w:name w:val="heading 1"/>
    <w:next w:val="Normal"/>
    <w:link w:val="Heading1Char"/>
    <w:uiPriority w:val="9"/>
    <w:qFormat/>
    <w:pPr>
      <w:keepNext/>
      <w:keepLines/>
      <w:spacing w:after="3" w:line="254" w:lineRule="auto"/>
      <w:ind w:left="10" w:hanging="10"/>
      <w:outlineLvl w:val="0"/>
    </w:pPr>
    <w:rPr>
      <w:rFonts w:ascii="Times New Roman" w:eastAsia="Times New Roman" w:hAnsi="Times New Roman" w:cs="Times New Roman"/>
      <w:b/>
      <w:color w:val="181717"/>
      <w:sz w:val="30"/>
    </w:rPr>
  </w:style>
  <w:style w:type="paragraph" w:styleId="Heading2">
    <w:name w:val="heading 2"/>
    <w:next w:val="Normal"/>
    <w:link w:val="Heading2Char"/>
    <w:uiPriority w:val="9"/>
    <w:unhideWhenUsed/>
    <w:qFormat/>
    <w:pPr>
      <w:keepNext/>
      <w:keepLines/>
      <w:spacing w:after="12" w:line="259" w:lineRule="auto"/>
      <w:ind w:left="10" w:hanging="10"/>
      <w:outlineLvl w:val="1"/>
    </w:pPr>
    <w:rPr>
      <w:rFonts w:ascii="Times New Roman" w:eastAsia="Times New Roman" w:hAnsi="Times New Roman" w:cs="Times New Roman"/>
      <w:i/>
      <w:color w:val="181717"/>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81717"/>
      <w:sz w:val="27"/>
    </w:rPr>
  </w:style>
  <w:style w:type="character" w:customStyle="1" w:styleId="Heading1Char">
    <w:name w:val="Heading 1 Char"/>
    <w:link w:val="Heading1"/>
    <w:rPr>
      <w:rFonts w:ascii="Times New Roman" w:eastAsia="Times New Roman" w:hAnsi="Times New Roman" w:cs="Times New Roman"/>
      <w:b/>
      <w:color w:val="181717"/>
      <w:sz w:val="30"/>
    </w:rPr>
  </w:style>
  <w:style w:type="paragraph" w:styleId="BalloonText">
    <w:name w:val="Balloon Text"/>
    <w:basedOn w:val="Normal"/>
    <w:link w:val="BalloonTextChar"/>
    <w:uiPriority w:val="99"/>
    <w:semiHidden/>
    <w:unhideWhenUsed/>
    <w:rsid w:val="00FD7BE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D7BE1"/>
    <w:rPr>
      <w:rFonts w:ascii="Times New Roman" w:eastAsia="Garamond" w:hAnsi="Times New Roman" w:cs="Times New Roman"/>
      <w:color w:val="181717"/>
      <w:sz w:val="18"/>
      <w:szCs w:val="18"/>
    </w:rPr>
  </w:style>
  <w:style w:type="paragraph" w:styleId="EndnoteText">
    <w:name w:val="endnote text"/>
    <w:basedOn w:val="Normal"/>
    <w:link w:val="EndnoteTextChar"/>
    <w:uiPriority w:val="99"/>
    <w:semiHidden/>
    <w:unhideWhenUsed/>
    <w:rsid w:val="0081666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16662"/>
    <w:rPr>
      <w:rFonts w:ascii="Garamond" w:eastAsia="Garamond" w:hAnsi="Garamond" w:cs="Garamond"/>
      <w:color w:val="181717"/>
      <w:sz w:val="20"/>
      <w:szCs w:val="20"/>
    </w:rPr>
  </w:style>
  <w:style w:type="character" w:styleId="EndnoteReference">
    <w:name w:val="endnote reference"/>
    <w:basedOn w:val="DefaultParagraphFont"/>
    <w:uiPriority w:val="99"/>
    <w:semiHidden/>
    <w:unhideWhenUsed/>
    <w:rsid w:val="00816662"/>
    <w:rPr>
      <w:vertAlign w:val="superscript"/>
    </w:rPr>
  </w:style>
  <w:style w:type="paragraph" w:styleId="FootnoteText">
    <w:name w:val="footnote text"/>
    <w:basedOn w:val="Normal"/>
    <w:link w:val="FootnoteTextChar"/>
    <w:uiPriority w:val="99"/>
    <w:semiHidden/>
    <w:unhideWhenUsed/>
    <w:rsid w:val="0081666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6662"/>
    <w:rPr>
      <w:rFonts w:ascii="Garamond" w:eastAsia="Garamond" w:hAnsi="Garamond" w:cs="Garamond"/>
      <w:color w:val="181717"/>
      <w:sz w:val="20"/>
      <w:szCs w:val="20"/>
    </w:rPr>
  </w:style>
  <w:style w:type="character" w:styleId="FootnoteReference">
    <w:name w:val="footnote reference"/>
    <w:basedOn w:val="DefaultParagraphFont"/>
    <w:uiPriority w:val="99"/>
    <w:semiHidden/>
    <w:unhideWhenUsed/>
    <w:rsid w:val="00816662"/>
    <w:rPr>
      <w:vertAlign w:val="superscript"/>
    </w:rPr>
  </w:style>
  <w:style w:type="paragraph" w:styleId="NoSpacing">
    <w:name w:val="No Spacing"/>
    <w:uiPriority w:val="1"/>
    <w:qFormat/>
    <w:rsid w:val="00816662"/>
    <w:pPr>
      <w:spacing w:after="0" w:line="240" w:lineRule="auto"/>
      <w:ind w:left="370" w:right="4" w:hanging="370"/>
      <w:jc w:val="both"/>
    </w:pPr>
    <w:rPr>
      <w:rFonts w:ascii="Garamond" w:eastAsia="Garamond" w:hAnsi="Garamond" w:cs="Garamond"/>
      <w:color w:val="181717"/>
      <w:sz w:val="21"/>
    </w:rPr>
  </w:style>
  <w:style w:type="character" w:styleId="Hyperlink">
    <w:name w:val="Hyperlink"/>
    <w:basedOn w:val="DefaultParagraphFont"/>
    <w:uiPriority w:val="99"/>
    <w:unhideWhenUsed/>
    <w:rsid w:val="00816662"/>
    <w:rPr>
      <w:color w:val="467886" w:themeColor="hyperlink"/>
      <w:u w:val="single"/>
    </w:rPr>
  </w:style>
  <w:style w:type="character" w:styleId="UnresolvedMention">
    <w:name w:val="Unresolved Mention"/>
    <w:basedOn w:val="DefaultParagraphFont"/>
    <w:uiPriority w:val="99"/>
    <w:semiHidden/>
    <w:unhideWhenUsed/>
    <w:rsid w:val="00816662"/>
    <w:rPr>
      <w:color w:val="605E5C"/>
      <w:shd w:val="clear" w:color="auto" w:fill="E1DFDD"/>
    </w:rPr>
  </w:style>
  <w:style w:type="paragraph" w:styleId="Revision">
    <w:name w:val="Revision"/>
    <w:hidden/>
    <w:uiPriority w:val="99"/>
    <w:semiHidden/>
    <w:rsid w:val="0028230D"/>
    <w:pPr>
      <w:spacing w:after="0" w:line="240" w:lineRule="auto"/>
    </w:pPr>
    <w:rPr>
      <w:rFonts w:ascii="Garamond" w:eastAsia="Garamond" w:hAnsi="Garamond" w:cs="Garamond"/>
      <w:color w:val="181717"/>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323284">
      <w:bodyDiv w:val="1"/>
      <w:marLeft w:val="0"/>
      <w:marRight w:val="0"/>
      <w:marTop w:val="0"/>
      <w:marBottom w:val="0"/>
      <w:divBdr>
        <w:top w:val="none" w:sz="0" w:space="0" w:color="auto"/>
        <w:left w:val="none" w:sz="0" w:space="0" w:color="auto"/>
        <w:bottom w:val="none" w:sz="0" w:space="0" w:color="auto"/>
        <w:right w:val="none" w:sz="0" w:space="0" w:color="auto"/>
      </w:divBdr>
    </w:div>
    <w:div w:id="1031883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E39F6-A71E-6948-8639-39D9B76F0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23</Pages>
  <Words>8317</Words>
  <Characters>47409</Characters>
  <Application>Microsoft Office Word</Application>
  <DocSecurity>0</DocSecurity>
  <Lines>395</Lines>
  <Paragraphs>111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Jef Ausloos</cp:lastModifiedBy>
  <cp:revision>3</cp:revision>
  <dcterms:created xsi:type="dcterms:W3CDTF">2025-12-10T14:41:00Z</dcterms:created>
  <dcterms:modified xsi:type="dcterms:W3CDTF">2025-12-18T14:23:00Z</dcterms:modified>
</cp:coreProperties>
</file>