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5CA182" w14:textId="2B174E49" w:rsidR="00A25657" w:rsidRDefault="00A25657" w:rsidP="000A7AAA">
      <w:pPr>
        <w:pStyle w:val="Heading1"/>
      </w:pPr>
    </w:p>
    <w:p w14:paraId="5C9567C7" w14:textId="52784549" w:rsidR="00A25657" w:rsidRDefault="00000000" w:rsidP="000A7AAA">
      <w:pPr>
        <w:pStyle w:val="Heading1"/>
      </w:pPr>
      <w:r>
        <w:rPr>
          <w:sz w:val="34"/>
        </w:rPr>
        <w:t>Re-Conceptualizing Governance Policies on</w:t>
      </w:r>
      <w:r w:rsidR="003E16D9">
        <w:rPr>
          <w:sz w:val="34"/>
        </w:rPr>
        <w:t xml:space="preserve"> </w:t>
      </w:r>
      <w:r>
        <w:rPr>
          <w:sz w:val="34"/>
        </w:rPr>
        <w:t xml:space="preserve">Data Access for Research </w:t>
      </w:r>
    </w:p>
    <w:p w14:paraId="6ABB12DC" w14:textId="77777777" w:rsidR="00A25657" w:rsidRDefault="00000000" w:rsidP="000A7AAA">
      <w:pPr>
        <w:pStyle w:val="Heading1"/>
        <w:rPr>
          <w:i/>
          <w:sz w:val="20"/>
        </w:rPr>
      </w:pPr>
      <w:r>
        <w:rPr>
          <w:i/>
          <w:sz w:val="20"/>
        </w:rPr>
        <w:t xml:space="preserve">Carolina </w:t>
      </w:r>
      <w:proofErr w:type="spellStart"/>
      <w:r>
        <w:rPr>
          <w:i/>
          <w:sz w:val="20"/>
        </w:rPr>
        <w:t>Aguerre</w:t>
      </w:r>
      <w:proofErr w:type="spellEnd"/>
    </w:p>
    <w:p w14:paraId="1C2B207D" w14:textId="74657168" w:rsidR="000A7AAA" w:rsidRPr="000A7AAA" w:rsidRDefault="000A7AAA" w:rsidP="000A7AAA">
      <w:pPr>
        <w:rPr>
          <w:lang w:bidi="ar-SA"/>
        </w:rPr>
      </w:pPr>
    </w:p>
    <w:p w14:paraId="25CF6C66" w14:textId="4A49422C" w:rsidR="00A25657" w:rsidRDefault="00000000">
      <w:pPr>
        <w:ind w:left="0" w:right="0" w:firstLine="0"/>
      </w:pPr>
      <w:r>
        <w:t>The last decade has seen an expansion of scholars who are increasingly interested in questioning the current data governance arrangements, its politics, and the very foundations of knowledge and power against the dominance of Big Tech platforms.</w:t>
      </w:r>
      <w:r w:rsidR="001E1418">
        <w:rPr>
          <w:rStyle w:val="EndnoteReference"/>
        </w:rPr>
        <w:endnoteReference w:id="1"/>
      </w:r>
      <w:r>
        <w:t xml:space="preserve"> Much of this literature has claimed that the power harnessed by these organizations should be addressed practically and politically, through resistance strategies as well as through policies, including regulation. Yet often it claims that this is not only old wine in new bottles but rather that the nature of this power deserves a special epistemological status. </w:t>
      </w:r>
    </w:p>
    <w:p w14:paraId="217E3CCE" w14:textId="682B5BC0" w:rsidR="00A25657" w:rsidRDefault="00000000">
      <w:pPr>
        <w:ind w:left="0" w:right="0" w:firstLine="240"/>
      </w:pPr>
      <w:r>
        <w:t>The notion of ‘data interest’ as one that constitutes a need and value of data as a resource is found in different sectors, including the scientific, and involves design and governance practices.</w:t>
      </w:r>
      <w:r w:rsidR="001E1418">
        <w:rPr>
          <w:rStyle w:val="EndnoteReference"/>
          <w:sz w:val="19"/>
        </w:rPr>
        <w:endnoteReference w:id="2"/>
      </w:r>
      <w:r>
        <w:t xml:space="preserve"> Access to data has been a crucial and longstanding concern of academia to </w:t>
      </w:r>
      <w:proofErr w:type="spellStart"/>
      <w:r>
        <w:t>fulfill</w:t>
      </w:r>
      <w:proofErr w:type="spellEnd"/>
      <w:r>
        <w:t xml:space="preserve"> its mission towards advancing science and achieving research goals.</w:t>
      </w:r>
      <w:r w:rsidR="001E1418">
        <w:rPr>
          <w:rStyle w:val="EndnoteReference"/>
        </w:rPr>
        <w:endnoteReference w:id="3"/>
      </w:r>
      <w:r>
        <w:t xml:space="preserve"> The development of the internet in the 1990s and the expansion of digital networked technologies and artificial intelligence (AI) became game changers for the practices of the scientific community in different disciplinary domains. </w:t>
      </w:r>
    </w:p>
    <w:p w14:paraId="02EF63B6" w14:textId="5C58EF1A" w:rsidR="00A25657" w:rsidRDefault="00000000">
      <w:pPr>
        <w:spacing w:after="30"/>
        <w:ind w:left="0" w:right="0" w:firstLine="240"/>
      </w:pPr>
      <w:r>
        <w:t>The possibility of amassing large data troves of big data has been possible due to the internet and the platforms and applications that have connected layers of individuals and devices.</w:t>
      </w:r>
      <w:r w:rsidR="001E1418">
        <w:rPr>
          <w:rStyle w:val="EndnoteReference"/>
        </w:rPr>
        <w:endnoteReference w:id="4"/>
      </w:r>
      <w:r>
        <w:t xml:space="preserve"> The control of these data troves has been well guarded in many of the large internet platforms that have trained their algorithms with these machine learning (ML) models. The emergence of even larger data sets that train the algorithms of most generative AI applications is based on larger volumes of data that are collected and </w:t>
      </w:r>
      <w:proofErr w:type="spellStart"/>
      <w:r>
        <w:t>analyzed</w:t>
      </w:r>
      <w:proofErr w:type="spellEnd"/>
      <w:r>
        <w:t xml:space="preserve"> from the open internet, including platforms.</w:t>
      </w:r>
      <w:r w:rsidR="001E1418">
        <w:rPr>
          <w:rStyle w:val="EndnoteReference"/>
        </w:rPr>
        <w:endnoteReference w:id="5"/>
      </w:r>
      <w:r>
        <w:t xml:space="preserve"> Without the complementarities between different technologies and open infrastructures, the current disruptions of generative AI applications fostered by the private sector and many legacy digital platforms would not have been achieved.</w:t>
      </w:r>
      <w:r w:rsidR="001E1418">
        <w:rPr>
          <w:rStyle w:val="EndnoteReference"/>
        </w:rPr>
        <w:endnoteReference w:id="6"/>
      </w:r>
      <w:r>
        <w:t xml:space="preserve"> </w:t>
      </w:r>
    </w:p>
    <w:p w14:paraId="34D0EB6D" w14:textId="5B06E8B1" w:rsidR="00A25657" w:rsidRDefault="00000000">
      <w:pPr>
        <w:spacing w:after="48"/>
        <w:ind w:left="0" w:right="0" w:firstLine="240"/>
      </w:pPr>
      <w:r>
        <w:t>It is well known that the tensions between data access and the interests of global corporations are a pressing issue</w:t>
      </w:r>
      <w:r w:rsidR="001E1418">
        <w:rPr>
          <w:rStyle w:val="EndnoteReference"/>
        </w:rPr>
        <w:endnoteReference w:id="7"/>
      </w:r>
      <w:r>
        <w:t xml:space="preserve"> for governments, civil society, researchers, and small companies, as legitimacy concerns backed by an idea of access to data as a justice issue</w:t>
      </w:r>
      <w:r w:rsidR="001E1418">
        <w:rPr>
          <w:rStyle w:val="EndnoteReference"/>
        </w:rPr>
        <w:endnoteReference w:id="8"/>
      </w:r>
      <w:r>
        <w:t xml:space="preserve"> continue to build up.</w:t>
      </w:r>
      <w:r w:rsidR="001E1418">
        <w:rPr>
          <w:rStyle w:val="EndnoteReference"/>
        </w:rPr>
        <w:endnoteReference w:id="9"/>
      </w:r>
      <w:r>
        <w:t xml:space="preserve"> While the Digital Services Act, 2022 (DSA), and in particular Article 40 have played a relevant role in the debate of access to very large platforms’ data for research over the last years, this </w:t>
      </w:r>
      <w:r>
        <w:lastRenderedPageBreak/>
        <w:t>policy remains a regional instrument. The Digital Markets Act (DMA), 2022, and the DSA seek to address some of the concerns that unfold between the control of Big Tech and large and relevant data sets for society at large. Yet it is an instrument that is notably absent in countries outside the European Union (EU), and even more so in global majority contexts. Despite this, it may have implications for researchers beyond the EU and thence transnational and extraterritorial effects,</w:t>
      </w:r>
      <w:r w:rsidR="001E1418">
        <w:rPr>
          <w:rStyle w:val="EndnoteReference"/>
          <w:sz w:val="19"/>
        </w:rPr>
        <w:endnoteReference w:id="10"/>
      </w:r>
      <w:r>
        <w:t xml:space="preserve"> as evidenced from recent examples with EU regulation on data and digitization.</w:t>
      </w:r>
      <w:r w:rsidR="001E1418">
        <w:rPr>
          <w:rStyle w:val="EndnoteReference"/>
        </w:rPr>
        <w:endnoteReference w:id="11"/>
      </w:r>
    </w:p>
    <w:p w14:paraId="4DE471D1" w14:textId="5A24F17A" w:rsidR="00A25657" w:rsidRDefault="00000000">
      <w:pPr>
        <w:ind w:left="0" w:right="0" w:firstLine="240"/>
      </w:pPr>
      <w:r>
        <w:t>For stakeholders outside of the potential scope of these measures, there are different initiatives which have treated data access issues for scientific endeavours. These actions embrace different objectives and have been developed by national and supranational organizations with varying degrees of formality, binding nature, and scale over the last decade. National open data strategies, open science (OS) recommendations, and AI strategies are different policies that address data access as a key pillar to achieving different policy goals. Despite the claims made by these policies concerning data access options, these strategies are much more elusive concerning issues of access to data by the research community. For example, OS promotes the open sharing of scientific knowledge, including research data, and open data initiatives aim to make data accessible to the public, including researchers and AI practitioners. By providing open access to relevant datasets, open data may facilitate the development and training of AI models by local groups of researchers. While these claims may seem legitimate, these policy approaches do not always facilitate these objectives. This is largely because they are still disconnected policy instruments, but also because in many countries in global majority contexts, research and innovation is still an aspiration rather than a well-defined and consistent policy.</w:t>
      </w:r>
      <w:r w:rsidR="001E1418">
        <w:rPr>
          <w:rStyle w:val="EndnoteReference"/>
        </w:rPr>
        <w:endnoteReference w:id="12"/>
      </w:r>
      <w:r>
        <w:t xml:space="preserve"> Though the general objectives and the actors for both OS and (national) AI strategies are different, there are some overlaps and a notorious common interest in having access to data.</w:t>
      </w:r>
    </w:p>
    <w:p w14:paraId="4FEF38C4" w14:textId="2535CE27" w:rsidR="00A25657" w:rsidRDefault="00000000">
      <w:pPr>
        <w:ind w:left="0" w:right="0" w:firstLine="240"/>
      </w:pPr>
      <w:r>
        <w:t>The dispersed features around digital data policies are characteristics of polycentric governance and governing. Polycentric theories address how scattered sites of governance function, or not.</w:t>
      </w:r>
      <w:r w:rsidR="001E1418">
        <w:rPr>
          <w:rStyle w:val="EndnoteReference"/>
        </w:rPr>
        <w:endnoteReference w:id="13"/>
      </w:r>
      <w:r>
        <w:t xml:space="preserve"> The first theoretical developments concerning polycentric governance occurred with Michael Polanyi in 1951, when he studied science and the evolution of species along the lines of </w:t>
      </w:r>
      <w:proofErr w:type="spellStart"/>
      <w:r>
        <w:t>selforganization</w:t>
      </w:r>
      <w:proofErr w:type="spellEnd"/>
      <w:r>
        <w:t xml:space="preserve">. Science as such was one of the first locus of polycentric governance conceptualizations. Polycentric theorizing later evolved into the well-known frameworks developed by Vincent and Elinor Ostrom, which addressed the different types of goods, mainly those of a public good nature that tend not to exclude its uses. Many of these are related with natural resource management. </w:t>
      </w:r>
      <w:r>
        <w:lastRenderedPageBreak/>
        <w:t>This provides a relevant analogy with the recent but contentious analogies of data as a natural resource.</w:t>
      </w:r>
      <w:r w:rsidR="001E1418">
        <w:rPr>
          <w:rStyle w:val="EndnoteReference"/>
        </w:rPr>
        <w:endnoteReference w:id="14"/>
      </w:r>
      <w:r>
        <w:t xml:space="preserve"> Yet it is still relevant to acknowledge since it underscores the factiousness around data governance, including issues of data ownership, access, appropriation, protection, and management, which are all central to the tensions of natural resources.</w:t>
      </w:r>
    </w:p>
    <w:p w14:paraId="276188E0" w14:textId="4B582258" w:rsidR="00A25657" w:rsidRDefault="00000000">
      <w:pPr>
        <w:ind w:left="0" w:right="0" w:firstLine="240"/>
      </w:pPr>
      <w:r>
        <w:t>In the context of the consolidated power of Big Tech,</w:t>
      </w:r>
      <w:r w:rsidR="001E1418">
        <w:rPr>
          <w:rStyle w:val="EndnoteReference"/>
        </w:rPr>
        <w:endnoteReference w:id="15"/>
      </w:r>
      <w:r>
        <w:t xml:space="preserve"> it seems counterintuitive to ascertain digital data governance as polycentric. Yet, as developed by Kate Crawford, ‘this large-scale capture (of data) has become so fundamental to the AI field that it is unquestioned. So how did we get here? What ways of conceiving data have facilitated this stripping of context, meaning, and specificity? … What forms of power do these approaches enhance and enable?’</w:t>
      </w:r>
      <w:r w:rsidR="001E1418">
        <w:rPr>
          <w:rStyle w:val="EndnoteReference"/>
        </w:rPr>
        <w:endnoteReference w:id="16"/>
      </w:r>
      <w:r>
        <w:t xml:space="preserve"> How are these data-capture practices enabling certain forms of knowledge? What would expanding access to data mean for researchers in the context of increasing expansion of AI and more centres of power, authority, and legitimacy? </w:t>
      </w:r>
    </w:p>
    <w:p w14:paraId="63CCD2C3" w14:textId="77777777" w:rsidR="00A25657" w:rsidRDefault="00000000">
      <w:pPr>
        <w:ind w:left="0" w:right="0" w:firstLine="240"/>
      </w:pPr>
      <w:r>
        <w:t xml:space="preserve">This chapter’s fundamental objective is to discuss how access to data for research is being framed in different policy initiatives with an international reach and how should they evolve. There is a normative orientation that is concerned with this evolution, since there is an understanding that there are gaps to be attended to promote more equitable, just, and sustainable arrangements for the have-nots for science and research when data is out of reach for so many actors outside of Big Tech. More specifically, this chapter examines two existing policy instruments with a large presence in different countries and regions, with varied resources and capabilities: OS and AI strategies. This work probes polycentric governance concepts and how these different sites of governance and specific policy domains are a case for advancing a multi-pronged agenda on the conditions for access to digital data for scientific purposes. </w:t>
      </w:r>
    </w:p>
    <w:p w14:paraId="43BE776E" w14:textId="4A02C959" w:rsidR="00A25657" w:rsidRDefault="00000000">
      <w:pPr>
        <w:spacing w:after="55"/>
        <w:ind w:left="0" w:right="0" w:firstLine="240"/>
      </w:pPr>
      <w:r>
        <w:t>OS initiatives and AI strategies have been chosen for their focus on access to data for science, development, and innovation. They are also present in many global majority countries. While open data strategies would also potentially touch upon this concern, their focus is on increasing government transparency and citizen and business engagement with mostly open-sector data. As the last decade has shown in terms of the open data movement, it is not enough for the public sector to open data, as the private sector holds the key to the largest data sets.</w:t>
      </w:r>
      <w:r w:rsidR="001E1418">
        <w:rPr>
          <w:rStyle w:val="EndnoteReference"/>
        </w:rPr>
        <w:endnoteReference w:id="17"/>
      </w:r>
      <w:r>
        <w:t xml:space="preserve"> States in different parts of the world and different political regimes are concerned with the asymmetries between local actors’ capacity to develop data-driven products on the one hand and develop innovation and economic growth on the other. That is, they have a competitive motivation to help firms in their countries develop the production of data-driven goods and services, and sometimes this is </w:t>
      </w:r>
      <w:r>
        <w:lastRenderedPageBreak/>
        <w:t>only possible with the integration of science and research synergies with the local business environment</w:t>
      </w:r>
      <w:r w:rsidR="001E1418">
        <w:rPr>
          <w:rStyle w:val="EndnoteReference"/>
        </w:rPr>
        <w:endnoteReference w:id="18"/>
      </w:r>
      <w:r>
        <w:t xml:space="preserve"> in the EU </w:t>
      </w:r>
      <w:proofErr w:type="gramStart"/>
      <w:r>
        <w:t>and also</w:t>
      </w:r>
      <w:proofErr w:type="gramEnd"/>
      <w:r>
        <w:t xml:space="preserve"> beyond it.</w:t>
      </w:r>
      <w:r w:rsidR="001E1418">
        <w:rPr>
          <w:rStyle w:val="EndnoteReference"/>
        </w:rPr>
        <w:endnoteReference w:id="19"/>
      </w:r>
    </w:p>
    <w:p w14:paraId="7CF882B6" w14:textId="77777777" w:rsidR="00A25657" w:rsidRDefault="00000000">
      <w:pPr>
        <w:ind w:left="0" w:right="0" w:firstLine="240"/>
      </w:pPr>
      <w:r>
        <w:t xml:space="preserve">The research here is based on different data sources, including analysis of national and international policy documents concerning OS and national and regional AI strategies and plans, nine exploratory interviews, and participant observation in three workshops relevant to the theme (see Appendix 2A for details). The work uses an interpretative approach to identify and clarify meanings and understandings from existing policies. It is complemented with thematic analysis to identify possible integrations among themes. </w:t>
      </w:r>
    </w:p>
    <w:p w14:paraId="64BB7275" w14:textId="3DF9517F" w:rsidR="00A25657" w:rsidRDefault="00000000">
      <w:pPr>
        <w:spacing w:after="414"/>
        <w:ind w:left="0" w:right="0" w:firstLine="240"/>
      </w:pPr>
      <w:r>
        <w:t>The first section discusses the state of the art of the policy developments concerning data access for research in the OS movement and AI strategies and plans. The second section develops the conceptual framework that will be used based on polycentric governance theorizing in the digital field.</w:t>
      </w:r>
      <w:r w:rsidR="001E1418">
        <w:rPr>
          <w:rStyle w:val="EndnoteReference"/>
        </w:rPr>
        <w:endnoteReference w:id="20"/>
      </w:r>
      <w:r>
        <w:t xml:space="preserve"> The third elaborates on the landscape of initiatives and themes against polycentric governing. The final section addresses knowledge and power concerns and the way forward for this debate. </w:t>
      </w:r>
    </w:p>
    <w:p w14:paraId="0622D364" w14:textId="77777777" w:rsidR="00A25657" w:rsidRDefault="00000000" w:rsidP="000A7AAA">
      <w:pPr>
        <w:pStyle w:val="Heading2"/>
      </w:pPr>
      <w:r>
        <w:t xml:space="preserve">Access to Data for Research: OS and AI Strategies </w:t>
      </w:r>
    </w:p>
    <w:p w14:paraId="0114517D" w14:textId="77777777" w:rsidR="00A25657" w:rsidRDefault="00000000">
      <w:pPr>
        <w:ind w:left="0" w:right="0" w:firstLine="0"/>
      </w:pPr>
      <w:r>
        <w:t>This section addresses two policy approaches concerning access to digital data for scientific purposes: OS and AI strategies. Both these instruments are found in global majority countries, though they are not ubiquitous. Rather than contesting the status quo of digital governance and large platforms, the ventures of OS share the concerns for data access and inequality but are framed with the fuzzier aim of the democratization of science. AI strategies, on the other hand, have interest in including alternatives that promote more equitable conditions for local actors to develop AI, and big data is a crucial need to train deep learning algorithms, even more so with the hype of fundamental models and generative AI applications.</w:t>
      </w:r>
    </w:p>
    <w:p w14:paraId="0386D7B2" w14:textId="77777777" w:rsidR="00A25657" w:rsidRDefault="00000000" w:rsidP="000A7AAA">
      <w:pPr>
        <w:pStyle w:val="Heading3"/>
      </w:pPr>
      <w:r>
        <w:t>Access to Data in the OS Movement</w:t>
      </w:r>
    </w:p>
    <w:p w14:paraId="670D6C61" w14:textId="1B346803" w:rsidR="00A25657" w:rsidRDefault="00000000">
      <w:pPr>
        <w:spacing w:after="249"/>
        <w:ind w:left="0" w:right="0" w:firstLine="0"/>
      </w:pPr>
      <w:r>
        <w:t>OS rests on several definitions which embrace different scopes and practices. New demands are emerging from academia and civil society in relation to data access to achieve socio-economic development, advance science beyond a corporate agenda, and address cognitive justice.</w:t>
      </w:r>
      <w:r w:rsidR="001E1418">
        <w:rPr>
          <w:rStyle w:val="EndnoteReference"/>
        </w:rPr>
        <w:endnoteReference w:id="21"/>
      </w:r>
      <w:r>
        <w:t xml:space="preserve"> Ultimately, these different approaches share a common denominator in making knowledge development processes as open and accessible as possible.</w:t>
      </w:r>
    </w:p>
    <w:p w14:paraId="0903AABB" w14:textId="33ADB254" w:rsidR="00A25657" w:rsidRDefault="00000000">
      <w:pPr>
        <w:spacing w:after="306"/>
        <w:ind w:left="240" w:right="244" w:firstLine="0"/>
      </w:pPr>
      <w:r>
        <w:t xml:space="preserve">Open science is defined as inclusive construct that combines various movements and practices aiming to make multilingual scientific knowledge </w:t>
      </w:r>
      <w:r>
        <w:lastRenderedPageBreak/>
        <w:t>openly available, accessible and reusable for everyone, to increase scientific collaborations and sharing of information for the benefits of science and society, and to open the processes of scientific knowledge creation, evaluation and communication to societal actors beyond the traditional scientific community.</w:t>
      </w:r>
      <w:r w:rsidR="001E1418">
        <w:rPr>
          <w:rStyle w:val="EndnoteReference"/>
        </w:rPr>
        <w:endnoteReference w:id="22"/>
      </w:r>
    </w:p>
    <w:p w14:paraId="6CB98FDD" w14:textId="1E573E32" w:rsidR="00A25657" w:rsidRDefault="00000000">
      <w:pPr>
        <w:spacing w:after="30"/>
        <w:ind w:left="0" w:right="0" w:firstLine="0"/>
      </w:pPr>
      <w:r>
        <w:t>According to the UNESCO (United Nations Educational, Scientific, and Cultural Organization) Recommendation on Open Science, this concept rests on the following pillars: open scientific knowledge, open science infrastructures, science communication, open engagement of societal actors, and open dialogue with other knowledge systems. Of relevance for this work is the notion of open scientific knowledge, which refers to open access to scientific publications, research data, metadata, open educational resources, software, and source code and hardware that are available in the public domain or under copyright and licensed under an open licence that allows access, reuse, repurpose, adaptation, and distribution under specific conditions, provided to all actors.</w:t>
      </w:r>
      <w:r w:rsidR="001E1418">
        <w:rPr>
          <w:rStyle w:val="EndnoteReference"/>
        </w:rPr>
        <w:endnoteReference w:id="23"/>
      </w:r>
      <w:r>
        <w:t xml:space="preserve"> </w:t>
      </w:r>
    </w:p>
    <w:p w14:paraId="25D0F983" w14:textId="78D7FEDB" w:rsidR="00A25657" w:rsidRDefault="00000000">
      <w:pPr>
        <w:spacing w:after="31"/>
        <w:ind w:left="0" w:right="0" w:firstLine="240"/>
      </w:pPr>
      <w:r>
        <w:t>Other definitions based on literature reviews define OS as ‘transparent and accessible knowledge that is shared and developed through collaborative networks’.</w:t>
      </w:r>
      <w:r w:rsidR="001E1418">
        <w:rPr>
          <w:rStyle w:val="EndnoteReference"/>
        </w:rPr>
        <w:endnoteReference w:id="24"/>
      </w:r>
      <w:r>
        <w:t xml:space="preserve"> The term ‘knowledge’ includes code, data, ideas, information, scientific outputs, scientific publications, and scientific results.</w:t>
      </w:r>
      <w:r w:rsidR="001E1418">
        <w:rPr>
          <w:rStyle w:val="EndnoteReference"/>
        </w:rPr>
        <w:endnoteReference w:id="25"/>
      </w:r>
      <w:r>
        <w:t xml:space="preserve"> Sh. Moradi and S. Abdi conceive ‘open science’ as a novel approach to science and the process of its generation, monitoring, and dissemination, covering three sectors affected by the notion of ‘openness’ – that which should be incorporated in research data, in scholarly communication, and in access.</w:t>
      </w:r>
      <w:r w:rsidR="001E1418">
        <w:rPr>
          <w:rStyle w:val="EndnoteReference"/>
        </w:rPr>
        <w:endnoteReference w:id="26"/>
      </w:r>
    </w:p>
    <w:p w14:paraId="5D00E38A" w14:textId="4A68B249" w:rsidR="00A25657" w:rsidRDefault="00000000">
      <w:pPr>
        <w:spacing w:after="47"/>
        <w:ind w:left="0" w:right="0" w:firstLine="240"/>
      </w:pPr>
      <w:r>
        <w:t>The EU’s OS policy is defined as an ‘approach to the scientific process that focuses on spreading knowledge as soon as it is available using digital and collaborative technology’.</w:t>
      </w:r>
      <w:r w:rsidR="001E1418">
        <w:rPr>
          <w:rStyle w:val="EndnoteReference"/>
        </w:rPr>
        <w:endnoteReference w:id="27"/>
      </w:r>
      <w:r>
        <w:t xml:space="preserve"> Concerning the data component, the European Commission requires research and innovation funding beneficiaries to make their publications available in open access and ‘make their data as open as possible and as closed as necessary’, acknowledging a perennial tension of the debate concerning intellectual property and commercialization tensions. The EU’s approach stresses timeliness as a key attribute and added value of OS data access policies. In the case of Latin America, the COVID-19 pandemic enhanced the need to embrace a regional scope for OS policies.</w:t>
      </w:r>
      <w:r w:rsidR="001E1418">
        <w:rPr>
          <w:rStyle w:val="EndnoteReference"/>
        </w:rPr>
        <w:endnoteReference w:id="28"/>
      </w:r>
      <w:r>
        <w:t xml:space="preserve"> The region has countries with strong policies concerning scientific data and access to publications (Mexico, Peru, Argentina) and recommendations on different OS dimensions in Chile, Brazil, Colombia, and Uruguay, particularly within their national research agencies but which have not become consolidated policies.</w:t>
      </w:r>
      <w:r w:rsidR="001E1418">
        <w:rPr>
          <w:rStyle w:val="EndnoteReference"/>
        </w:rPr>
        <w:endnoteReference w:id="29"/>
      </w:r>
      <w:r>
        <w:t xml:space="preserve"> Africa has the Africa Open Science Platform (AOSP), established in 2017, which </w:t>
      </w:r>
      <w:r>
        <w:lastRenderedPageBreak/>
        <w:t>is supported by several scientific and research authorities in South Africa and the region, such as Bibliotheca Alexandrina. For many African countries, OS remains confined to scientists and research networks rather than being a state policy.</w:t>
      </w:r>
      <w:r w:rsidR="001E1418">
        <w:rPr>
          <w:rStyle w:val="EndnoteReference"/>
        </w:rPr>
        <w:endnoteReference w:id="30"/>
      </w:r>
    </w:p>
    <w:p w14:paraId="062613E1" w14:textId="59C6E62C" w:rsidR="00A25657" w:rsidRDefault="00000000">
      <w:pPr>
        <w:ind w:left="0" w:right="0" w:firstLine="240"/>
      </w:pPr>
      <w:r>
        <w:t>Data governance practices in OS are enshrined in two sets of principles: FAIR and CARE. The FAIR principles, meaning that data should be findable, accessible, interoperable, and re-usable, are a cross-cutting standard for all the data produced within the OS umbrella since they were adopted in 2016.</w:t>
      </w:r>
      <w:r w:rsidR="001E1418">
        <w:rPr>
          <w:rStyle w:val="EndnoteReference"/>
        </w:rPr>
        <w:endnoteReference w:id="31"/>
      </w:r>
      <w:r>
        <w:t xml:space="preserve"> The publication of these principles helped encourage practices that made OS values more visible and applicable for data access for scientific research, and they have also been included in open data strategies. CARE (collective benefit, authority to control, responsibility, and ethics) principles were approved in 2019 and are broader than FAIR but allow to frame the context and purpose of data governance for indigenous data sovereignty,</w:t>
      </w:r>
      <w:r w:rsidR="001E1418">
        <w:rPr>
          <w:rStyle w:val="EndnoteReference"/>
        </w:rPr>
        <w:endnoteReference w:id="32"/>
      </w:r>
      <w:r>
        <w:t xml:space="preserve"> which includes recognizing the different conceptions around science, technology, and culture. Indigenous data sovereignty ‘refers to the right of Indigenous Peoples to govern the collection, ownership, and application of data about Indigenous communities, peoples, lands, and resources’.</w:t>
      </w:r>
      <w:r w:rsidR="001E1418">
        <w:rPr>
          <w:rStyle w:val="EndnoteReference"/>
        </w:rPr>
        <w:endnoteReference w:id="33"/>
      </w:r>
      <w:r>
        <w:t xml:space="preserve"> Though the CARE principles are not invoked in the pastoralists’ struggle in Ghana to secure their data rights (see chapter 3), they are struggling for their own self-determination concerning their data politics and practices.</w:t>
      </w:r>
    </w:p>
    <w:p w14:paraId="7DD5640B" w14:textId="7C3399F5" w:rsidR="00A25657" w:rsidRDefault="00000000">
      <w:pPr>
        <w:spacing w:after="33"/>
        <w:ind w:left="0" w:right="0" w:firstLine="240"/>
      </w:pPr>
      <w:r>
        <w:t>OS has had significant effects on open access publications during the last 20 years.</w:t>
      </w:r>
      <w:r w:rsidR="001E1418">
        <w:rPr>
          <w:rStyle w:val="EndnoteReference"/>
        </w:rPr>
        <w:endnoteReference w:id="34"/>
      </w:r>
      <w:r>
        <w:t xml:space="preserve"> Open access and open data publications are becoming increasingly mandatory in research environments with public funding, notably in the EU, Latin America, and Canada. Two broad approaches may be identified in the different policies concerning the availability of open scientific knowledge: publication in open access formats and repositories and open data initiatives for scientific endeavours. There are more nuanced interpretations </w:t>
      </w:r>
      <w:proofErr w:type="gramStart"/>
      <w:r>
        <w:t>with regard to</w:t>
      </w:r>
      <w:proofErr w:type="gramEnd"/>
      <w:r>
        <w:t xml:space="preserve"> the publication of accessible and open data emerging from research. For example, the Organization for Economic Co-Operation and Development (OECD)</w:t>
      </w:r>
      <w:r w:rsidR="001E1418">
        <w:rPr>
          <w:rStyle w:val="EndnoteReference"/>
        </w:rPr>
        <w:endnoteReference w:id="35"/>
      </w:r>
      <w:r>
        <w:t xml:space="preserve"> mapped 15 open data initiatives for open science and 6 for publications, most of them concentrated in Europe and Latin America, the two regions where OS is more heavily discussed and practised.</w:t>
      </w:r>
      <w:r w:rsidR="001E1418">
        <w:rPr>
          <w:rStyle w:val="EndnoteReference"/>
        </w:rPr>
        <w:endnoteReference w:id="36"/>
      </w:r>
      <w:r>
        <w:t xml:space="preserve"> There are fewer incentives to publish open data emerging from scientific research compared with defining the outlets for publishing in open access across the different national and regional initiatives that have been assessed in Latin America, Europe, and Canada.</w:t>
      </w:r>
      <w:r w:rsidR="001E1418">
        <w:rPr>
          <w:rStyle w:val="EndnoteReference"/>
        </w:rPr>
        <w:endnoteReference w:id="37"/>
      </w:r>
      <w:r>
        <w:t xml:space="preserve"> </w:t>
      </w:r>
    </w:p>
    <w:p w14:paraId="7E6BFADF" w14:textId="0EB24C13" w:rsidR="00A25657" w:rsidRDefault="00000000">
      <w:pPr>
        <w:ind w:left="0" w:right="0" w:firstLine="240"/>
      </w:pPr>
      <w:r>
        <w:t>Several studies suggest that there is a lack of incentives for open science. Even though a vast majority of scientists support open science, few practise it, and there is a call for better enforcement.</w:t>
      </w:r>
      <w:r w:rsidR="001E1418">
        <w:rPr>
          <w:rStyle w:val="EndnoteReference"/>
        </w:rPr>
        <w:endnoteReference w:id="38"/>
      </w:r>
      <w:r>
        <w:t xml:space="preserve"> The Registry of Open Access Repositories Mandatory Archiving Policies (ROARMAP) is an example to </w:t>
      </w:r>
      <w:r>
        <w:lastRenderedPageBreak/>
        <w:t>redress this issue where policymakers and funders have developed certain policies requiring that the research they have sponsored should be released under open access and open data conditions.</w:t>
      </w:r>
    </w:p>
    <w:p w14:paraId="0F84270A" w14:textId="7AEC1576" w:rsidR="00A25657" w:rsidRDefault="00000000">
      <w:pPr>
        <w:spacing w:after="298"/>
        <w:ind w:left="0" w:right="0" w:firstLine="240"/>
      </w:pPr>
      <w:r>
        <w:t>OS is approached differently, not only in diverse geographic settings but also within stakeholders and institutions. The COVID-19 pandemic has underscored the need for much greater collaboration among scientists, and a shared understanding of the policies and practices, including those related to data access, has become more urgent to help address future global crises.</w:t>
      </w:r>
      <w:r w:rsidR="001E1418">
        <w:rPr>
          <w:rStyle w:val="EndnoteReference"/>
        </w:rPr>
        <w:endnoteReference w:id="39"/>
      </w:r>
      <w:r>
        <w:t xml:space="preserve"> The mix of concerns at the heart of the OS movement expose the different interests, actors’ values, and normative understandings. Research on this issue underscores the different policy objectives on how OS is framed, ranging from open data and open access as facilitators of OS to scientific efficiency, infrastructure enablers, strategic advantages, the role of the private sector, beneficiaries of OS, socio-economic progress as a response to global development and as a model to reduce dependencies on current structures.</w:t>
      </w:r>
      <w:r w:rsidR="001E1418">
        <w:rPr>
          <w:rStyle w:val="EndnoteReference"/>
        </w:rPr>
        <w:endnoteReference w:id="40"/>
      </w:r>
      <w:r>
        <w:t xml:space="preserve"> These different issues have multiple centres of decision-making and authority that span national and regional science agencies, data protection authorities, government open data policies, the private sector, academic publishers, cloud providers, universities and research centres, and non-governmental organizations (NGOs). Unless there are clearly defined policies, follow-up mechanisms, and consultations processes nationally and internationally, it can become a buzzword for cosmetic approaches on openness in scientific practices.</w:t>
      </w:r>
    </w:p>
    <w:p w14:paraId="5BDA5F02" w14:textId="77777777" w:rsidR="00A25657" w:rsidRPr="000A7AAA" w:rsidRDefault="00000000" w:rsidP="000A7AAA">
      <w:pPr>
        <w:pStyle w:val="Heading3"/>
      </w:pPr>
      <w:r w:rsidRPr="000A7AAA">
        <w:t>Access to Data in AI Strategies and Policies</w:t>
      </w:r>
    </w:p>
    <w:p w14:paraId="637BA84A" w14:textId="469DFCF6" w:rsidR="00A25657" w:rsidRDefault="00000000">
      <w:pPr>
        <w:spacing w:after="29"/>
        <w:ind w:left="0" w:right="0" w:firstLine="0"/>
      </w:pPr>
      <w:r>
        <w:t>The integration of AI systems in society has become a concern and a priority for many governments which steer these debates in their national contexts and embed their own vision.</w:t>
      </w:r>
      <w:r w:rsidR="001E1418">
        <w:rPr>
          <w:rStyle w:val="EndnoteReference"/>
        </w:rPr>
        <w:endnoteReference w:id="41"/>
      </w:r>
      <w:r>
        <w:t xml:space="preserve"> The so-called AI gap is characterized by those who have the capacity to design and implement AI applications which are largely based on computational capacity and power, access to relevant data, and skills and knowledge in AI.</w:t>
      </w:r>
      <w:r w:rsidR="001E1418">
        <w:rPr>
          <w:rStyle w:val="EndnoteReference"/>
        </w:rPr>
        <w:endnoteReference w:id="42"/>
      </w:r>
      <w:r>
        <w:t xml:space="preserve"> Access to large amounts of high-quality data provides one of the greatest competitive advantages under the AI paradigm.</w:t>
      </w:r>
      <w:r w:rsidR="001E1418">
        <w:rPr>
          <w:rStyle w:val="EndnoteReference"/>
        </w:rPr>
        <w:endnoteReference w:id="43"/>
      </w:r>
      <w:r>
        <w:t xml:space="preserve"> </w:t>
      </w:r>
    </w:p>
    <w:p w14:paraId="19F4138C" w14:textId="1C1845C4" w:rsidR="00A25657" w:rsidRDefault="00000000">
      <w:pPr>
        <w:spacing w:after="51"/>
        <w:ind w:left="0" w:right="0" w:firstLine="240"/>
      </w:pPr>
      <w:r>
        <w:t>During the second half of the 2010s, a growing number of countries and regions developed AI strategies, plans, or agendas as policy instruments, with varying degrees of involvement and participation from stakeholder groups outside government. AI strategies became policy artefacts that have helped frame, prioritize, and steer actions concerning the development, use, and regulation of AI systems in specific contexts. The first of these policy instruments emerged in Canada, but it was closely followed by both consolidated and emerging economies, mostly from Asia and Latin America from 2018.</w:t>
      </w:r>
      <w:r w:rsidR="001E1418">
        <w:rPr>
          <w:rStyle w:val="EndnoteReference"/>
        </w:rPr>
        <w:endnoteReference w:id="44"/>
      </w:r>
      <w:r>
        <w:t xml:space="preserve"> In most </w:t>
      </w:r>
      <w:r>
        <w:lastRenderedPageBreak/>
        <w:t>cases, a ‘first generation’ of strategies may be identified between the first period between 2017 and 2020 that aimed to address many needs: (</w:t>
      </w:r>
      <w:r>
        <w:rPr>
          <w:i/>
        </w:rPr>
        <w:t>a</w:t>
      </w:r>
      <w:r>
        <w:t xml:space="preserve">) clarification of the </w:t>
      </w:r>
      <w:proofErr w:type="spellStart"/>
      <w:r>
        <w:t>fastpaced</w:t>
      </w:r>
      <w:proofErr w:type="spellEnd"/>
      <w:r>
        <w:t xml:space="preserve"> changes that were being brought about by AI systems and their potential future scenarios, and definition of roles and responsibilities; (</w:t>
      </w:r>
      <w:r>
        <w:rPr>
          <w:i/>
        </w:rPr>
        <w:t>b</w:t>
      </w:r>
      <w:r>
        <w:t>) capacity development to coordinate the stakeholder groups and defining the ecosystem of actors and issues involved; and (</w:t>
      </w:r>
      <w:r>
        <w:rPr>
          <w:i/>
        </w:rPr>
        <w:t>c</w:t>
      </w:r>
      <w:r>
        <w:t>) provision of a competitive advantage to the country and their position to compete in the ‘AI race’. A ‘second generation’ of AI strategies was identified after 2021, when the UNESCO Recommendation on the Ethics of AI was approved by the General Assembly of this body, involving its 193 member states, the majority of which did not have any such instrument in place. This ‘second generation’ of AI strategies differs from the first wave in that they are more comprehensive and involve ethics, regulation, and development issues in the policy repertoire of these strategies in more explicit terms. Many countries with an existing AI strategy are embarking on a revision of these terms.</w:t>
      </w:r>
      <w:r w:rsidR="001E1418">
        <w:rPr>
          <w:rStyle w:val="EndnoteReference"/>
        </w:rPr>
        <w:endnoteReference w:id="45"/>
      </w:r>
    </w:p>
    <w:p w14:paraId="439EB495" w14:textId="0C80ECBC" w:rsidR="00A25657" w:rsidRDefault="00000000">
      <w:pPr>
        <w:ind w:left="0" w:right="0" w:firstLine="240"/>
      </w:pPr>
      <w:r>
        <w:t>As data plays such a pivotal role in ML models, its access and sharing are key considerations for sectors involved in the development and uptake of AI. In these AI strategies and related processes, countries continue to focus on providing access to civil society and firms to public sector data, not only open government data but also geodata and transportation data, as well as data sharing within the public sector. It is becoming increasingly evident that national strategies are focusing on open data access policies and strategies not only for the original purposes of transparency, research, and innovation, but also more forcefully to promote the development of AI systems in those contexts.</w:t>
      </w:r>
      <w:r w:rsidR="001E1418">
        <w:rPr>
          <w:rStyle w:val="EndnoteReference"/>
        </w:rPr>
        <w:endnoteReference w:id="46"/>
      </w:r>
      <w:r>
        <w:t xml:space="preserve"> Examples mapped by the OECD range from provision of access to weather, climate, and marine data following the example of the Danish Meteorological Institute; European co-operation on space data; the production of public data available in an open, reusable, and accessible format for ML in several countries across different regions (consolidated and emerging economies); the creation of several national AI policies plan to develop centralized, accessible repositories of open public data; and the creation of special agencies and institutions devoted to data, as is the case of national data institutes or similar organizations. The OECD AI observatory mapped 70 initiatives contained in different AI strategies and plans concerning data access and sharing as part of the policies defined as ‘AI </w:t>
      </w:r>
      <w:proofErr w:type="gramStart"/>
      <w:r>
        <w:t>enablers’</w:t>
      </w:r>
      <w:proofErr w:type="gramEnd"/>
      <w:r>
        <w:t>.</w:t>
      </w:r>
    </w:p>
    <w:p w14:paraId="3A827FFC" w14:textId="2991F55B" w:rsidR="00A25657" w:rsidRDefault="00000000">
      <w:pPr>
        <w:spacing w:after="47"/>
        <w:ind w:left="0" w:right="0" w:firstLine="240"/>
      </w:pPr>
      <w:r>
        <w:t xml:space="preserve">At the same time, countries and regional institutions such as the EU and Economic Commission for Latin America and the Caribbean (ECLAC) seek to incentivize and discuss data sharing in the private sector for AI systems development. For firms, there are some incentives connected with their data </w:t>
      </w:r>
      <w:r>
        <w:lastRenderedPageBreak/>
        <w:t>sharing for AI systems development, the consolidation of institutional network and ecosystems, open innovation purposes, and public ‘good’ research purposes. At the same time, firms lead ‘data/AI for good initiatives’ as part of the repertoire of instruments that are developed in partnership with other local actors (governments, universities, and civil society) mostly attending climate change and environment issues, followed by AI to achieve the Sustainable Development Goals (SDGs) and healthcare as the three main sectors in different national contexts.</w:t>
      </w:r>
      <w:r w:rsidR="00EB420D">
        <w:rPr>
          <w:rStyle w:val="EndnoteReference"/>
        </w:rPr>
        <w:endnoteReference w:id="47"/>
      </w:r>
    </w:p>
    <w:p w14:paraId="3B74C7CE" w14:textId="0E3C3FD5" w:rsidR="00A25657" w:rsidRDefault="00000000">
      <w:pPr>
        <w:spacing w:after="414"/>
        <w:ind w:left="0" w:right="0" w:firstLine="240"/>
      </w:pPr>
      <w:r>
        <w:t>Two recent events have spurred the debates concerning data access for science and AI: the COVID-19 pandemic and the widespread emergence of generative AI applications for the larger public, with commercial applications such as ChatGPT, Midjourney, and Gemini. In the first case, AI systems proved to be instrumental in some areas, such as vaccine development.</w:t>
      </w:r>
      <w:r w:rsidR="00EB420D">
        <w:rPr>
          <w:rStyle w:val="EndnoteReference"/>
        </w:rPr>
        <w:endnoteReference w:id="48"/>
      </w:r>
      <w:r>
        <w:t xml:space="preserve"> However, despite the many diagnostic and predictive tools, most of them were flawed for various reasons.</w:t>
      </w:r>
      <w:r w:rsidR="00EB420D">
        <w:rPr>
          <w:rStyle w:val="EndnoteReference"/>
        </w:rPr>
        <w:endnoteReference w:id="49"/>
      </w:r>
      <w:r>
        <w:t xml:space="preserve"> These weaknesses concerned data that was of poor quality, not standardized, </w:t>
      </w:r>
      <w:proofErr w:type="spellStart"/>
      <w:r>
        <w:t>mislabeled</w:t>
      </w:r>
      <w:proofErr w:type="spellEnd"/>
      <w:r>
        <w:t>, biased, and frequently from unknown sources. Another issue identified in the UNESCO report</w:t>
      </w:r>
      <w:r w:rsidR="00EB420D">
        <w:rPr>
          <w:rStyle w:val="EndnoteReference"/>
        </w:rPr>
        <w:endnoteReference w:id="50"/>
      </w:r>
      <w:r>
        <w:t xml:space="preserve"> was ‘that frequently neither data nor training models were shared since academic researchers have commonly few career incentives to do so’. The gap in terms of access to vaccines and relevant treatments that could be developed with AI based on large volumes of data exposed the need to include scientists from less favoured environments. A similar perception of asymmetry in power and capacity concerned generative AI systems that have flooded the digital public sphere since the emergence of ChatGPT by the American firm OpenAI in November 2022. These Generative foundation models (GFMs) rely on vast quantities of data. The costs of processing such huge amounts of data to develop these systems and train these models would make it impossible for research ventures in middle- and low-income countries, as well as small and medium enterprises (SMEs), to compete. </w:t>
      </w:r>
    </w:p>
    <w:p w14:paraId="0A21FAD6" w14:textId="77777777" w:rsidR="00A25657" w:rsidRDefault="00000000" w:rsidP="000A7AAA">
      <w:pPr>
        <w:pStyle w:val="Heading2"/>
      </w:pPr>
      <w:r>
        <w:t>Polycentric Governance Theories and Digital Data</w:t>
      </w:r>
    </w:p>
    <w:p w14:paraId="54A0A4C7" w14:textId="6C0B8782" w:rsidR="00A25657" w:rsidRDefault="00000000">
      <w:pPr>
        <w:ind w:left="0" w:right="0" w:firstLine="0"/>
      </w:pPr>
      <w:r>
        <w:t xml:space="preserve">The digital network environment is a contentious socio-technical infrastructure due to its increasing power asymmetries, open-ended characteristics, and commons spaces that are exploited by different types of private and state actors, which foster strong disciplinary and policy debates about global governance. Polycentric theories are relevant in governance studies due to their ability to provide insights and frameworks for understanding and </w:t>
      </w:r>
      <w:proofErr w:type="spellStart"/>
      <w:r>
        <w:t>analyzing</w:t>
      </w:r>
      <w:proofErr w:type="spellEnd"/>
      <w:r>
        <w:t xml:space="preserve"> the complexities of governance. This chapter expands on the theorizing of polycentric governance of digital data as one that provides a set of lenses that </w:t>
      </w:r>
      <w:r>
        <w:lastRenderedPageBreak/>
        <w:t>help tie together the wide range of actors, issues, and processes that are involved in access to digital data for research as a specific and contentious issue concerning digital data governance more broadly.</w:t>
      </w:r>
      <w:r w:rsidR="00EB420D">
        <w:rPr>
          <w:rStyle w:val="EndnoteReference"/>
        </w:rPr>
        <w:endnoteReference w:id="51"/>
      </w:r>
      <w:r>
        <w:t xml:space="preserve"> Polycentrism reveals multiple power centres and connections, including formal and informal arrangements, multiple scales (local-to-global), and different sectors (governmental, commercial, civil society, technical, academic).</w:t>
      </w:r>
      <w:r w:rsidR="00EB420D">
        <w:rPr>
          <w:rStyle w:val="EndnoteReference"/>
        </w:rPr>
        <w:endnoteReference w:id="52"/>
      </w:r>
      <w:r>
        <w:t xml:space="preserve"> The polycentric condition involves both dispersion and structure.</w:t>
      </w:r>
      <w:r w:rsidR="00EB420D">
        <w:rPr>
          <w:rStyle w:val="EndnoteReference"/>
        </w:rPr>
        <w:endnoteReference w:id="53"/>
      </w:r>
      <w:r>
        <w:t xml:space="preserve"> Polycentrism sheds light on both formal and informal attempts to address concerns surrounding data at different levels of activity and across sectors. It enables the identification and assessment of highly fluid arrangements emerging in global digital data governance. </w:t>
      </w:r>
    </w:p>
    <w:p w14:paraId="31DE599C" w14:textId="77777777" w:rsidR="00A25657" w:rsidRDefault="00000000">
      <w:pPr>
        <w:ind w:left="0" w:right="0" w:firstLine="240"/>
      </w:pPr>
      <w:r>
        <w:t xml:space="preserve">Even in the specific domain of data governance concerning access to data for research, there are tensions, contradictions, and normative expectations which need to come to conversation. Polycentric perspectives help draw together a growing range of insights from different disciplines about digital data governance: how it occurs, how it might occur differently, and how it should occur. It also allows to pinpoint specific sources of tensions, rule formation, and mechanisms. Adopting polycentric perspectives help identify and connect key actors and location of authority across different levels – national, regional, international – in making sense of the complexities of global digital data governance and how to rebalance and question them from the point of view of the needs of researchers more widely. </w:t>
      </w:r>
    </w:p>
    <w:p w14:paraId="3A207E0E" w14:textId="0BD74F3F" w:rsidR="00A25657" w:rsidRDefault="00000000">
      <w:pPr>
        <w:spacing w:after="40"/>
        <w:ind w:left="0" w:right="0" w:firstLine="240"/>
      </w:pPr>
      <w:r>
        <w:t>Most significantly, polycentricity addresses the sources of authority and decision-making centres that are involved in the different data governance issues. Particularly in the case of common goods – that is, those that are more prone to excluding others from their consumption, misuse, and/or depletion – polycentricity allows to trace both micro and macro practices of power and different types of formal and informal authority that shape both data and its governance at a macro level. While data may not be fully considered a pure common good, the tensions surrounding its governance lie in the lowering of barriers to its access that has been part of a process of expansion of digitalization, datafication, and radical productive transformation.</w:t>
      </w:r>
      <w:r w:rsidR="00EB420D">
        <w:rPr>
          <w:rStyle w:val="EndnoteReference"/>
        </w:rPr>
        <w:endnoteReference w:id="54"/>
      </w:r>
      <w:r>
        <w:t xml:space="preserve"> The corporate sector, mainly the </w:t>
      </w:r>
      <w:proofErr w:type="spellStart"/>
      <w:r>
        <w:t>platformbased</w:t>
      </w:r>
      <w:proofErr w:type="spellEnd"/>
      <w:r>
        <w:t xml:space="preserve"> technological companies, have managed to capture the largest amounts of data globally.</w:t>
      </w:r>
      <w:r w:rsidR="00EB420D">
        <w:rPr>
          <w:rStyle w:val="EndnoteReference"/>
        </w:rPr>
        <w:endnoteReference w:id="55"/>
      </w:r>
      <w:r>
        <w:t xml:space="preserve"> </w:t>
      </w:r>
    </w:p>
    <w:p w14:paraId="0B90A466" w14:textId="5F50F8D8" w:rsidR="00A25657" w:rsidRDefault="00000000">
      <w:pPr>
        <w:ind w:left="0" w:right="0" w:firstLine="240"/>
      </w:pPr>
      <w:r>
        <w:t>Up until a decade ago, polycentric governance theory was mainly related with the institutional perspectives from the Bloomington School and Elinor and Vincent Ostrom’s work on common-pool resources, which have influenced the studies concerning digital data governance from a data commons approach and related institutional and normative practices, including data trusts and ‘data sovereignty’.</w:t>
      </w:r>
      <w:r w:rsidR="00EB420D">
        <w:rPr>
          <w:rStyle w:val="EndnoteReference"/>
        </w:rPr>
        <w:endnoteReference w:id="56"/>
      </w:r>
      <w:r>
        <w:t xml:space="preserve"> With an international and complexity lens on polycentric </w:t>
      </w:r>
      <w:r>
        <w:lastRenderedPageBreak/>
        <w:t xml:space="preserve">governance, a more explicit focus emerges on the dynamics of power, legitimacy, authority, cooperation, as well as more day-to-day dispersed forms of technical coordination by firms, citizens, civil society, and other actors. </w:t>
      </w:r>
    </w:p>
    <w:p w14:paraId="46FF9134" w14:textId="332CF1F8" w:rsidR="00A25657" w:rsidRDefault="00000000">
      <w:pPr>
        <w:ind w:left="0" w:right="0" w:firstLine="240"/>
      </w:pPr>
      <w:r>
        <w:t>Both data in its digital form and governance are open and contested notions. There is not one single approach to or understanding of what digital data governance is, either conceptually or from a policy perspective. How data is governed in the digital space is a polycentric issue. Some forms of data have achieved regulatory governance status, as is the case of data protection or data pertaining to intellectual property, though other functionalities of data, particularly those that concern research and innovation, are involved in more fluid notions where the dispersion of interests, actors, and regulatory possibilities at the national and international levels are much more debatable. Regulatory polycentric regimes</w:t>
      </w:r>
      <w:r w:rsidR="00EB420D">
        <w:rPr>
          <w:rStyle w:val="EndnoteReference"/>
        </w:rPr>
        <w:endnoteReference w:id="57"/>
      </w:r>
      <w:r>
        <w:t xml:space="preserve"> are defined similarly to how recent theoretical developments have expanded on polycentric theorizing to address transnational issues.</w:t>
      </w:r>
      <w:r w:rsidR="00EB420D">
        <w:rPr>
          <w:rStyle w:val="EndnoteReference"/>
        </w:rPr>
        <w:endnoteReference w:id="58"/>
      </w:r>
      <w:r>
        <w:t xml:space="preserve"> A crucial difference is that regulatory polycentric regimes as approached by Julia Black are developed as a set of sustained events to modify the behaviour of others,</w:t>
      </w:r>
      <w:r w:rsidR="00EB420D">
        <w:rPr>
          <w:rStyle w:val="EndnoteReference"/>
        </w:rPr>
        <w:endnoteReference w:id="59"/>
      </w:r>
      <w:r>
        <w:t xml:space="preserve"> while polycentric theorizing on digital data governance specifically</w:t>
      </w:r>
      <w:r w:rsidR="00EB420D">
        <w:rPr>
          <w:rStyle w:val="EndnoteReference"/>
        </w:rPr>
        <w:endnoteReference w:id="60"/>
      </w:r>
      <w:r>
        <w:t xml:space="preserve"> is at an earlier stage in the construction of a normativity for a regime, probably because of the need for further analysis on existence, overlap, and tensions of multiple regimes that operate on the spectrum of digital data. Polycentric governance involves different actor constellations operating with multiple rationalities, normative orientations, ethical concerns, technologies, and institutional arrangements. Digital data from this perspective is subject to different modes of knowledge, uses, and interpretations, both from a scholarly and policy perspective. </w:t>
      </w:r>
    </w:p>
    <w:p w14:paraId="521E4627" w14:textId="77777777" w:rsidR="000A7AAA" w:rsidRDefault="000A7AAA">
      <w:pPr>
        <w:ind w:left="0" w:right="0" w:firstLine="240"/>
      </w:pPr>
    </w:p>
    <w:p w14:paraId="557261EA" w14:textId="77777777" w:rsidR="00A25657" w:rsidRDefault="00000000" w:rsidP="000A7AAA">
      <w:pPr>
        <w:pStyle w:val="Heading2"/>
      </w:pPr>
      <w:r>
        <w:t>Polycentricity, OS and AI Strategies</w:t>
      </w:r>
    </w:p>
    <w:p w14:paraId="202328AC" w14:textId="143703ED" w:rsidR="00A25657" w:rsidRDefault="00000000">
      <w:pPr>
        <w:ind w:left="0" w:right="0" w:firstLine="0"/>
      </w:pPr>
      <w:r>
        <w:t>In this section, the OS paradigm and the national AI strategies are discussed with a polycentric governance lens to assess their relevance for data access for research. Both policy approaches are examined against the characterization of specific sites of power as those that have the capacity to change other actors’ behaviours, and those of authority as those that have influence on others based on some legitimacy claims, rooted in the Weberian distinction that is critical for polycentric governance theories from the Ostrom legacy to newer approaches.</w:t>
      </w:r>
      <w:r w:rsidR="00EB420D">
        <w:rPr>
          <w:rStyle w:val="EndnoteReference"/>
        </w:rPr>
        <w:endnoteReference w:id="61"/>
      </w:r>
      <w:r>
        <w:t xml:space="preserve"> This classification is relevant for this work as the policies that are examined – OS and AI strategies – are not binding laws and must navigate different levels, actors, ambiguous hierarchies, and diffused authorities, all of which are typical attributes of polycentric governance</w:t>
      </w:r>
      <w:r w:rsidR="00EB420D">
        <w:rPr>
          <w:rStyle w:val="EndnoteReference"/>
        </w:rPr>
        <w:endnoteReference w:id="62"/>
      </w:r>
      <w:r>
        <w:t xml:space="preserve"> which needs some form of legitimacy as a minimum baseline from which to influence behaviours, norms, and expectations.</w:t>
      </w:r>
    </w:p>
    <w:p w14:paraId="7FDC2014" w14:textId="1B6D5FAD" w:rsidR="00A25657" w:rsidRDefault="00000000">
      <w:pPr>
        <w:ind w:left="0" w:right="0" w:firstLine="240"/>
      </w:pPr>
      <w:r>
        <w:lastRenderedPageBreak/>
        <w:t xml:space="preserve">Against a polycentric governance framework, these disparate arrangements are examined by connecting three different systemic organizing forces that frame the issue of access to data for research purposes from a polycentric governance lens. These systemic ordering forces are </w:t>
      </w:r>
      <w:r>
        <w:rPr>
          <w:i/>
        </w:rPr>
        <w:t>norms</w:t>
      </w:r>
      <w:r>
        <w:t xml:space="preserve">, </w:t>
      </w:r>
      <w:r>
        <w:rPr>
          <w:i/>
        </w:rPr>
        <w:t>practices</w:t>
      </w:r>
      <w:r>
        <w:t>,</w:t>
      </w:r>
      <w:r>
        <w:rPr>
          <w:i/>
        </w:rPr>
        <w:t xml:space="preserve"> </w:t>
      </w:r>
      <w:r>
        <w:t xml:space="preserve">and </w:t>
      </w:r>
      <w:r>
        <w:rPr>
          <w:i/>
        </w:rPr>
        <w:t>underlying orders</w:t>
      </w:r>
      <w:r>
        <w:t>. They allow to move beyond an ontological characterization of data governance through a lens of polycentric attributes to one where the relations between these three forces and their interconnections are rendered. Norms may be defined as principles that inform the process of governing, and they guide ideas and behaviours on what is correct.</w:t>
      </w:r>
      <w:r w:rsidR="00EB420D">
        <w:rPr>
          <w:rStyle w:val="EndnoteReference"/>
        </w:rPr>
        <w:endnoteReference w:id="63"/>
      </w:r>
      <w:r>
        <w:t xml:space="preserve"> As a specific analytical point of entry, normative approaches </w:t>
      </w:r>
      <w:proofErr w:type="gramStart"/>
      <w:r>
        <w:t>take into account</w:t>
      </w:r>
      <w:proofErr w:type="gramEnd"/>
      <w:r>
        <w:t xml:space="preserve"> both ethical orientations and legal foundations. Practices are what people do with varying degrees of consciousness in their everyday routines and the regulating effects of these actions on how ‘things are done’.</w:t>
      </w:r>
      <w:r w:rsidR="00EB420D">
        <w:rPr>
          <w:rStyle w:val="EndnoteReference"/>
        </w:rPr>
        <w:endnoteReference w:id="64"/>
      </w:r>
      <w:r>
        <w:t xml:space="preserve"> Finally, ‘underlying orders’ are the most invisible and deeply embedded systemic forces that ultimately shape many of the conscious adoption of norms and unconscious practices in a polycentric arrangement. Underlying orders are systemic in that they permeate different connections in a polycentric governance regime.</w:t>
      </w:r>
      <w:r w:rsidR="00EB420D">
        <w:rPr>
          <w:rStyle w:val="EndnoteReference"/>
        </w:rPr>
        <w:endnoteReference w:id="65"/>
      </w:r>
      <w:r>
        <w:t xml:space="preserve"> They are powerful driving forces for practices and norms. </w:t>
      </w:r>
    </w:p>
    <w:p w14:paraId="3AC7980D" w14:textId="77777777" w:rsidR="00A25657" w:rsidRDefault="00000000">
      <w:pPr>
        <w:ind w:left="0" w:right="0" w:firstLine="240"/>
      </w:pPr>
      <w:r>
        <w:t>Table 2.1 summarizes the findings in the respective approaches with a polycentric framework. Both OS and AI strategies configure specific data interests and are nuanced particularly in what concerns the practices and the underlying orders. The increasing overlap of sites of power and authority in these two domains configures a cross-policy polycentric governance sector of digital data access.</w:t>
      </w:r>
    </w:p>
    <w:p w14:paraId="1620FD12" w14:textId="77777777" w:rsidR="00A25657" w:rsidRDefault="00000000">
      <w:pPr>
        <w:tabs>
          <w:tab w:val="center" w:pos="1829"/>
        </w:tabs>
        <w:spacing w:after="0" w:line="265" w:lineRule="auto"/>
        <w:ind w:left="-15" w:right="0" w:firstLine="0"/>
        <w:jc w:val="left"/>
      </w:pPr>
      <w:r>
        <w:rPr>
          <w:b/>
          <w:sz w:val="17"/>
        </w:rPr>
        <w:t xml:space="preserve">Table 2.1 </w:t>
      </w:r>
      <w:r>
        <w:rPr>
          <w:b/>
          <w:sz w:val="17"/>
        </w:rPr>
        <w:tab/>
      </w:r>
      <w:r>
        <w:rPr>
          <w:sz w:val="17"/>
        </w:rPr>
        <w:t>OS and AI strategies: summary</w:t>
      </w:r>
    </w:p>
    <w:p w14:paraId="0A9966EC" w14:textId="77777777" w:rsidR="00A25657" w:rsidRDefault="00000000">
      <w:pPr>
        <w:spacing w:after="58"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31502230" wp14:editId="6A3C5F48">
                <wp:extent cx="4114802" cy="6350"/>
                <wp:effectExtent l="0" t="0" r="0" b="0"/>
                <wp:docPr id="24356" name="Group 24356"/>
                <wp:cNvGraphicFramePr/>
                <a:graphic xmlns:a="http://schemas.openxmlformats.org/drawingml/2006/main">
                  <a:graphicData uri="http://schemas.microsoft.com/office/word/2010/wordprocessingGroup">
                    <wpg:wgp>
                      <wpg:cNvGrpSpPr/>
                      <wpg:grpSpPr>
                        <a:xfrm>
                          <a:off x="0" y="0"/>
                          <a:ext cx="4114802" cy="6350"/>
                          <a:chOff x="0" y="0"/>
                          <a:chExt cx="4114802" cy="6350"/>
                        </a:xfrm>
                      </wpg:grpSpPr>
                      <wps:wsp>
                        <wps:cNvPr id="3084" name="Shape 3084"/>
                        <wps:cNvSpPr/>
                        <wps:spPr>
                          <a:xfrm>
                            <a:off x="0" y="0"/>
                            <a:ext cx="560502" cy="0"/>
                          </a:xfrm>
                          <a:custGeom>
                            <a:avLst/>
                            <a:gdLst/>
                            <a:ahLst/>
                            <a:cxnLst/>
                            <a:rect l="0" t="0" r="0" b="0"/>
                            <a:pathLst>
                              <a:path w="560502">
                                <a:moveTo>
                                  <a:pt x="0" y="0"/>
                                </a:moveTo>
                                <a:lnTo>
                                  <a:pt x="56050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085" name="Shape 3085"/>
                        <wps:cNvSpPr/>
                        <wps:spPr>
                          <a:xfrm>
                            <a:off x="560504" y="0"/>
                            <a:ext cx="835762" cy="0"/>
                          </a:xfrm>
                          <a:custGeom>
                            <a:avLst/>
                            <a:gdLst/>
                            <a:ahLst/>
                            <a:cxnLst/>
                            <a:rect l="0" t="0" r="0" b="0"/>
                            <a:pathLst>
                              <a:path w="835762">
                                <a:moveTo>
                                  <a:pt x="0" y="0"/>
                                </a:moveTo>
                                <a:lnTo>
                                  <a:pt x="83576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087" name="Shape 3087"/>
                        <wps:cNvSpPr/>
                        <wps:spPr>
                          <a:xfrm>
                            <a:off x="1396267" y="0"/>
                            <a:ext cx="928548" cy="0"/>
                          </a:xfrm>
                          <a:custGeom>
                            <a:avLst/>
                            <a:gdLst/>
                            <a:ahLst/>
                            <a:cxnLst/>
                            <a:rect l="0" t="0" r="0" b="0"/>
                            <a:pathLst>
                              <a:path w="928548">
                                <a:moveTo>
                                  <a:pt x="0" y="0"/>
                                </a:moveTo>
                                <a:lnTo>
                                  <a:pt x="928548"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088" name="Shape 3088"/>
                        <wps:cNvSpPr/>
                        <wps:spPr>
                          <a:xfrm>
                            <a:off x="2324818" y="0"/>
                            <a:ext cx="856323" cy="0"/>
                          </a:xfrm>
                          <a:custGeom>
                            <a:avLst/>
                            <a:gdLst/>
                            <a:ahLst/>
                            <a:cxnLst/>
                            <a:rect l="0" t="0" r="0" b="0"/>
                            <a:pathLst>
                              <a:path w="856323">
                                <a:moveTo>
                                  <a:pt x="0" y="0"/>
                                </a:moveTo>
                                <a:lnTo>
                                  <a:pt x="856323"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089" name="Shape 3089"/>
                        <wps:cNvSpPr/>
                        <wps:spPr>
                          <a:xfrm>
                            <a:off x="3181137" y="0"/>
                            <a:ext cx="933666" cy="0"/>
                          </a:xfrm>
                          <a:custGeom>
                            <a:avLst/>
                            <a:gdLst/>
                            <a:ahLst/>
                            <a:cxnLst/>
                            <a:rect l="0" t="0" r="0" b="0"/>
                            <a:pathLst>
                              <a:path w="933666">
                                <a:moveTo>
                                  <a:pt x="0" y="0"/>
                                </a:moveTo>
                                <a:lnTo>
                                  <a:pt x="933666"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24356" style="width:324pt;height:0.5pt;mso-position-horizontal-relative:char;mso-position-vertical-relative:line" coordsize="41148,63">
                <v:shape id="Shape 3084" style="position:absolute;width:5605;height:0;left:0;top:0;" coordsize="560502,0" path="m0,0l560502,0">
                  <v:stroke weight="0.5pt" endcap="flat" joinstyle="miter" miterlimit="10" on="true" color="#000000"/>
                  <v:fill on="false" color="#000000" opacity="0"/>
                </v:shape>
                <v:shape id="Shape 3085" style="position:absolute;width:8357;height:0;left:5605;top:0;" coordsize="835762,0" path="m0,0l835762,0">
                  <v:stroke weight="0.5pt" endcap="flat" joinstyle="miter" miterlimit="10" on="true" color="#000000"/>
                  <v:fill on="false" color="#000000" opacity="0"/>
                </v:shape>
                <v:shape id="Shape 3087" style="position:absolute;width:9285;height:0;left:13962;top:0;" coordsize="928548,0" path="m0,0l928548,0">
                  <v:stroke weight="0.5pt" endcap="flat" joinstyle="miter" miterlimit="10" on="true" color="#000000"/>
                  <v:fill on="false" color="#000000" opacity="0"/>
                </v:shape>
                <v:shape id="Shape 3088" style="position:absolute;width:8563;height:0;left:23248;top:0;" coordsize="856323,0" path="m0,0l856323,0">
                  <v:stroke weight="0.5pt" endcap="flat" joinstyle="miter" miterlimit="10" on="true" color="#000000"/>
                  <v:fill on="false" color="#000000" opacity="0"/>
                </v:shape>
                <v:shape id="Shape 3089" style="position:absolute;width:9336;height:0;left:31811;top:0;" coordsize="933666,0" path="m0,0l933666,0">
                  <v:stroke weight="0.5pt" endcap="flat" joinstyle="miter" miterlimit="10" on="true" color="#000000"/>
                  <v:fill on="false" color="#000000" opacity="0"/>
                </v:shape>
              </v:group>
            </w:pict>
          </mc:Fallback>
        </mc:AlternateContent>
      </w:r>
    </w:p>
    <w:p w14:paraId="3A0E14DF" w14:textId="77777777" w:rsidR="00A25657" w:rsidRDefault="00000000">
      <w:pPr>
        <w:tabs>
          <w:tab w:val="center" w:pos="1467"/>
          <w:tab w:val="center" w:pos="4339"/>
        </w:tabs>
        <w:spacing w:after="0" w:line="259" w:lineRule="auto"/>
        <w:ind w:left="0" w:right="0" w:firstLine="0"/>
        <w:jc w:val="left"/>
      </w:pPr>
      <w:r>
        <w:rPr>
          <w:rFonts w:ascii="Calibri" w:eastAsia="Calibri" w:hAnsi="Calibri" w:cs="Calibri"/>
          <w:color w:val="000000"/>
          <w:sz w:val="22"/>
        </w:rPr>
        <w:tab/>
      </w:r>
      <w:r>
        <w:rPr>
          <w:b/>
          <w:sz w:val="17"/>
        </w:rPr>
        <w:t xml:space="preserve">Sites of power </w:t>
      </w:r>
      <w:r>
        <w:rPr>
          <w:b/>
          <w:sz w:val="17"/>
        </w:rPr>
        <w:tab/>
        <w:t>Systemic ordering forces</w:t>
      </w:r>
    </w:p>
    <w:tbl>
      <w:tblPr>
        <w:tblStyle w:val="TableGrid"/>
        <w:tblW w:w="6480" w:type="dxa"/>
        <w:tblInd w:w="0" w:type="dxa"/>
        <w:tblCellMar>
          <w:right w:w="97" w:type="dxa"/>
        </w:tblCellMar>
        <w:tblLook w:val="04A0" w:firstRow="1" w:lastRow="0" w:firstColumn="1" w:lastColumn="0" w:noHBand="0" w:noVBand="1"/>
      </w:tblPr>
      <w:tblGrid>
        <w:gridCol w:w="882"/>
        <w:gridCol w:w="1289"/>
        <w:gridCol w:w="235"/>
        <w:gridCol w:w="1220"/>
        <w:gridCol w:w="223"/>
        <w:gridCol w:w="1114"/>
        <w:gridCol w:w="159"/>
        <w:gridCol w:w="1362"/>
      </w:tblGrid>
      <w:tr w:rsidR="00A25657" w14:paraId="318D9957" w14:textId="77777777">
        <w:trPr>
          <w:trHeight w:val="323"/>
        </w:trPr>
        <w:tc>
          <w:tcPr>
            <w:tcW w:w="983" w:type="dxa"/>
            <w:vMerge w:val="restart"/>
            <w:tcBorders>
              <w:top w:val="nil"/>
              <w:left w:val="nil"/>
              <w:bottom w:val="nil"/>
              <w:right w:val="nil"/>
            </w:tcBorders>
          </w:tcPr>
          <w:p w14:paraId="49437E23" w14:textId="77777777" w:rsidR="00A25657" w:rsidRDefault="00000000">
            <w:pPr>
              <w:spacing w:after="22" w:line="259" w:lineRule="auto"/>
              <w:ind w:left="100" w:right="0" w:firstLine="0"/>
              <w:jc w:val="left"/>
            </w:pPr>
            <w:r>
              <w:rPr>
                <w:b/>
                <w:sz w:val="17"/>
              </w:rPr>
              <w:t xml:space="preserve">Open </w:t>
            </w:r>
          </w:p>
          <w:p w14:paraId="3D4AD75C" w14:textId="77777777" w:rsidR="00A25657" w:rsidRDefault="00000000">
            <w:pPr>
              <w:spacing w:after="0" w:line="259" w:lineRule="auto"/>
              <w:ind w:left="100" w:right="0" w:firstLine="0"/>
              <w:jc w:val="left"/>
            </w:pPr>
            <w:r>
              <w:rPr>
                <w:b/>
                <w:sz w:val="17"/>
              </w:rPr>
              <w:lastRenderedPageBreak/>
              <w:t>science</w:t>
            </w:r>
          </w:p>
        </w:tc>
        <w:tc>
          <w:tcPr>
            <w:tcW w:w="1296" w:type="dxa"/>
            <w:tcBorders>
              <w:top w:val="nil"/>
              <w:left w:val="nil"/>
              <w:bottom w:val="single" w:sz="4" w:space="0" w:color="000000"/>
              <w:right w:val="nil"/>
            </w:tcBorders>
          </w:tcPr>
          <w:p w14:paraId="7B34CBAB" w14:textId="77777777" w:rsidR="00A25657" w:rsidRDefault="00000000">
            <w:pPr>
              <w:spacing w:after="0" w:line="259" w:lineRule="auto"/>
              <w:ind w:left="0" w:right="0" w:firstLine="0"/>
              <w:jc w:val="left"/>
            </w:pPr>
            <w:r>
              <w:rPr>
                <w:b/>
                <w:sz w:val="17"/>
              </w:rPr>
              <w:lastRenderedPageBreak/>
              <w:t xml:space="preserve">and authority </w:t>
            </w:r>
          </w:p>
        </w:tc>
        <w:tc>
          <w:tcPr>
            <w:tcW w:w="1462" w:type="dxa"/>
            <w:gridSpan w:val="2"/>
            <w:tcBorders>
              <w:top w:val="single" w:sz="4" w:space="0" w:color="000000"/>
              <w:left w:val="nil"/>
              <w:bottom w:val="single" w:sz="4" w:space="0" w:color="000000"/>
              <w:right w:val="nil"/>
            </w:tcBorders>
          </w:tcPr>
          <w:p w14:paraId="33766ADD" w14:textId="77777777" w:rsidR="00A25657" w:rsidRDefault="00000000">
            <w:pPr>
              <w:spacing w:after="0" w:line="259" w:lineRule="auto"/>
              <w:ind w:left="0" w:right="0" w:firstLine="0"/>
              <w:jc w:val="left"/>
            </w:pPr>
            <w:r>
              <w:rPr>
                <w:b/>
                <w:sz w:val="17"/>
              </w:rPr>
              <w:t>Norms</w:t>
            </w:r>
          </w:p>
        </w:tc>
        <w:tc>
          <w:tcPr>
            <w:tcW w:w="1349" w:type="dxa"/>
            <w:gridSpan w:val="2"/>
            <w:tcBorders>
              <w:top w:val="single" w:sz="4" w:space="0" w:color="000000"/>
              <w:left w:val="nil"/>
              <w:bottom w:val="single" w:sz="4" w:space="0" w:color="000000"/>
              <w:right w:val="nil"/>
            </w:tcBorders>
          </w:tcPr>
          <w:p w14:paraId="60EE70FB" w14:textId="77777777" w:rsidR="00A25657" w:rsidRDefault="00000000">
            <w:pPr>
              <w:spacing w:after="0" w:line="259" w:lineRule="auto"/>
              <w:ind w:left="0" w:right="0" w:firstLine="0"/>
              <w:jc w:val="left"/>
            </w:pPr>
            <w:r>
              <w:rPr>
                <w:b/>
                <w:sz w:val="17"/>
              </w:rPr>
              <w:t>Practices</w:t>
            </w:r>
          </w:p>
        </w:tc>
        <w:tc>
          <w:tcPr>
            <w:tcW w:w="1390" w:type="dxa"/>
            <w:gridSpan w:val="2"/>
            <w:tcBorders>
              <w:top w:val="single" w:sz="4" w:space="0" w:color="000000"/>
              <w:left w:val="nil"/>
              <w:bottom w:val="single" w:sz="4" w:space="0" w:color="000000"/>
              <w:right w:val="nil"/>
            </w:tcBorders>
          </w:tcPr>
          <w:p w14:paraId="36713F13" w14:textId="77777777" w:rsidR="00A25657" w:rsidRDefault="00000000">
            <w:pPr>
              <w:spacing w:after="0" w:line="259" w:lineRule="auto"/>
              <w:ind w:left="0" w:right="0" w:firstLine="0"/>
              <w:jc w:val="left"/>
            </w:pPr>
            <w:r>
              <w:rPr>
                <w:b/>
                <w:sz w:val="17"/>
              </w:rPr>
              <w:t>Underlying orders</w:t>
            </w:r>
          </w:p>
        </w:tc>
      </w:tr>
      <w:tr w:rsidR="00A25657" w14:paraId="2C5B21B7" w14:textId="77777777">
        <w:trPr>
          <w:trHeight w:val="3467"/>
        </w:trPr>
        <w:tc>
          <w:tcPr>
            <w:tcW w:w="0" w:type="auto"/>
            <w:vMerge/>
            <w:tcBorders>
              <w:top w:val="nil"/>
              <w:left w:val="nil"/>
              <w:bottom w:val="nil"/>
              <w:right w:val="nil"/>
            </w:tcBorders>
          </w:tcPr>
          <w:p w14:paraId="2040657D" w14:textId="77777777" w:rsidR="00A25657" w:rsidRDefault="00A25657">
            <w:pPr>
              <w:spacing w:after="160" w:line="259" w:lineRule="auto"/>
              <w:ind w:left="0" w:right="0" w:firstLine="0"/>
              <w:jc w:val="left"/>
            </w:pPr>
          </w:p>
        </w:tc>
        <w:tc>
          <w:tcPr>
            <w:tcW w:w="1532" w:type="dxa"/>
            <w:gridSpan w:val="2"/>
            <w:tcBorders>
              <w:top w:val="single" w:sz="4" w:space="0" w:color="000000"/>
              <w:left w:val="nil"/>
              <w:bottom w:val="nil"/>
              <w:right w:val="nil"/>
            </w:tcBorders>
          </w:tcPr>
          <w:p w14:paraId="61823FCE" w14:textId="77777777" w:rsidR="00A25657" w:rsidRDefault="00000000">
            <w:pPr>
              <w:numPr>
                <w:ilvl w:val="0"/>
                <w:numId w:val="2"/>
              </w:numPr>
              <w:spacing w:after="103" w:line="259" w:lineRule="auto"/>
              <w:ind w:right="0" w:hanging="236"/>
              <w:jc w:val="left"/>
            </w:pPr>
            <w:r>
              <w:rPr>
                <w:sz w:val="17"/>
              </w:rPr>
              <w:t>EU</w:t>
            </w:r>
            <w:r>
              <w:rPr>
                <w:sz w:val="17"/>
              </w:rPr>
              <w:tab/>
              <w:t xml:space="preserve">• </w:t>
            </w:r>
          </w:p>
          <w:p w14:paraId="5CD6A20B" w14:textId="77777777" w:rsidR="00A25657" w:rsidRDefault="00000000">
            <w:pPr>
              <w:numPr>
                <w:ilvl w:val="0"/>
                <w:numId w:val="2"/>
              </w:numPr>
              <w:spacing w:after="91" w:line="259" w:lineRule="auto"/>
              <w:ind w:right="0" w:hanging="236"/>
              <w:jc w:val="left"/>
            </w:pPr>
            <w:r>
              <w:rPr>
                <w:sz w:val="17"/>
              </w:rPr>
              <w:t>States</w:t>
            </w:r>
            <w:r>
              <w:rPr>
                <w:sz w:val="17"/>
              </w:rPr>
              <w:tab/>
              <w:t xml:space="preserve">• </w:t>
            </w:r>
          </w:p>
          <w:p w14:paraId="31136287" w14:textId="77777777" w:rsidR="00A25657" w:rsidRDefault="00000000">
            <w:pPr>
              <w:numPr>
                <w:ilvl w:val="0"/>
                <w:numId w:val="2"/>
              </w:numPr>
              <w:spacing w:after="130" w:line="259" w:lineRule="auto"/>
              <w:ind w:right="0" w:hanging="236"/>
              <w:jc w:val="left"/>
            </w:pPr>
            <w:r>
              <w:rPr>
                <w:sz w:val="17"/>
              </w:rPr>
              <w:t>UNESCO</w:t>
            </w:r>
          </w:p>
          <w:p w14:paraId="4FB7A969" w14:textId="77777777" w:rsidR="00A25657" w:rsidRDefault="00000000">
            <w:pPr>
              <w:numPr>
                <w:ilvl w:val="0"/>
                <w:numId w:val="2"/>
              </w:numPr>
              <w:spacing w:after="44" w:line="259" w:lineRule="auto"/>
              <w:ind w:right="0" w:hanging="236"/>
              <w:jc w:val="left"/>
            </w:pPr>
            <w:r>
              <w:rPr>
                <w:sz w:val="17"/>
              </w:rPr>
              <w:t xml:space="preserve">Universities </w:t>
            </w:r>
            <w:r>
              <w:rPr>
                <w:sz w:val="17"/>
              </w:rPr>
              <w:tab/>
            </w:r>
            <w:r>
              <w:rPr>
                <w:sz w:val="26"/>
                <w:vertAlign w:val="superscript"/>
              </w:rPr>
              <w:t xml:space="preserve">• </w:t>
            </w:r>
          </w:p>
          <w:p w14:paraId="53EB0F37" w14:textId="77777777" w:rsidR="00A25657" w:rsidRDefault="00000000">
            <w:pPr>
              <w:numPr>
                <w:ilvl w:val="0"/>
                <w:numId w:val="2"/>
              </w:numPr>
              <w:spacing w:after="55" w:line="312" w:lineRule="auto"/>
              <w:ind w:right="0" w:hanging="236"/>
              <w:jc w:val="left"/>
            </w:pPr>
            <w:r>
              <w:rPr>
                <w:sz w:val="17"/>
              </w:rPr>
              <w:t xml:space="preserve">National </w:t>
            </w:r>
            <w:r>
              <w:rPr>
                <w:sz w:val="26"/>
                <w:vertAlign w:val="superscript"/>
              </w:rPr>
              <w:t xml:space="preserve">• </w:t>
            </w:r>
            <w:r>
              <w:rPr>
                <w:sz w:val="17"/>
              </w:rPr>
              <w:t xml:space="preserve">research institutions • </w:t>
            </w:r>
          </w:p>
          <w:p w14:paraId="7BB3844C" w14:textId="77777777" w:rsidR="00A25657" w:rsidRDefault="00000000">
            <w:pPr>
              <w:numPr>
                <w:ilvl w:val="0"/>
                <w:numId w:val="2"/>
              </w:numPr>
              <w:spacing w:after="60" w:line="286" w:lineRule="auto"/>
              <w:ind w:right="0" w:hanging="236"/>
              <w:jc w:val="left"/>
            </w:pPr>
            <w:r>
              <w:rPr>
                <w:sz w:val="17"/>
              </w:rPr>
              <w:t>Publishing firms</w:t>
            </w:r>
          </w:p>
          <w:p w14:paraId="30E75737" w14:textId="77777777" w:rsidR="00A25657" w:rsidRDefault="00000000">
            <w:pPr>
              <w:numPr>
                <w:ilvl w:val="0"/>
                <w:numId w:val="2"/>
              </w:numPr>
              <w:spacing w:after="0" w:line="259" w:lineRule="auto"/>
              <w:ind w:right="0" w:hanging="236"/>
              <w:jc w:val="left"/>
            </w:pPr>
            <w:r>
              <w:rPr>
                <w:sz w:val="17"/>
              </w:rPr>
              <w:t>Tech companies</w:t>
            </w:r>
          </w:p>
        </w:tc>
        <w:tc>
          <w:tcPr>
            <w:tcW w:w="1455" w:type="dxa"/>
            <w:gridSpan w:val="2"/>
            <w:tcBorders>
              <w:top w:val="single" w:sz="4" w:space="0" w:color="000000"/>
              <w:left w:val="nil"/>
              <w:bottom w:val="nil"/>
              <w:right w:val="nil"/>
            </w:tcBorders>
          </w:tcPr>
          <w:p w14:paraId="36099958" w14:textId="77777777" w:rsidR="00A25657" w:rsidRDefault="00000000">
            <w:pPr>
              <w:tabs>
                <w:tab w:val="right" w:pos="1358"/>
              </w:tabs>
              <w:spacing w:after="82" w:line="259" w:lineRule="auto"/>
              <w:ind w:left="0" w:right="0" w:firstLine="0"/>
              <w:jc w:val="left"/>
            </w:pPr>
            <w:r>
              <w:rPr>
                <w:sz w:val="17"/>
              </w:rPr>
              <w:t xml:space="preserve"> FAIR principles</w:t>
            </w:r>
            <w:r>
              <w:rPr>
                <w:sz w:val="17"/>
              </w:rPr>
              <w:tab/>
              <w:t xml:space="preserve">• </w:t>
            </w:r>
          </w:p>
          <w:p w14:paraId="294C9FEF" w14:textId="77777777" w:rsidR="00A25657" w:rsidRDefault="00000000">
            <w:pPr>
              <w:spacing w:after="79" w:line="286" w:lineRule="auto"/>
              <w:ind w:left="0" w:right="20" w:firstLine="0"/>
              <w:jc w:val="left"/>
            </w:pPr>
            <w:r>
              <w:rPr>
                <w:sz w:val="17"/>
              </w:rPr>
              <w:t xml:space="preserve"> Intellectual property</w:t>
            </w:r>
          </w:p>
          <w:p w14:paraId="7BA05AEE" w14:textId="77777777" w:rsidR="00A25657" w:rsidRDefault="00000000">
            <w:pPr>
              <w:tabs>
                <w:tab w:val="right" w:pos="1358"/>
              </w:tabs>
              <w:spacing w:after="123" w:line="259" w:lineRule="auto"/>
              <w:ind w:left="0" w:right="0" w:firstLine="0"/>
              <w:jc w:val="left"/>
            </w:pPr>
            <w:r>
              <w:rPr>
                <w:sz w:val="17"/>
              </w:rPr>
              <w:t>Privacy</w:t>
            </w:r>
            <w:r>
              <w:rPr>
                <w:sz w:val="17"/>
              </w:rPr>
              <w:tab/>
              <w:t xml:space="preserve">• </w:t>
            </w:r>
          </w:p>
          <w:p w14:paraId="51CD44C3" w14:textId="77777777" w:rsidR="00A25657" w:rsidRDefault="00000000">
            <w:pPr>
              <w:spacing w:after="22" w:line="259" w:lineRule="auto"/>
              <w:ind w:left="0" w:right="0" w:firstLine="0"/>
              <w:jc w:val="left"/>
            </w:pPr>
            <w:r>
              <w:rPr>
                <w:sz w:val="17"/>
              </w:rPr>
              <w:t xml:space="preserve"> Open data </w:t>
            </w:r>
          </w:p>
          <w:p w14:paraId="4AD3C0AF" w14:textId="77777777" w:rsidR="00A25657" w:rsidRDefault="00000000">
            <w:pPr>
              <w:spacing w:after="0" w:line="259" w:lineRule="auto"/>
              <w:ind w:left="0" w:right="0" w:firstLine="0"/>
              <w:jc w:val="left"/>
            </w:pPr>
            <w:r>
              <w:rPr>
                <w:sz w:val="17"/>
              </w:rPr>
              <w:t>mandates</w:t>
            </w:r>
          </w:p>
          <w:p w14:paraId="3893DD3B" w14:textId="77777777" w:rsidR="00A25657" w:rsidRDefault="00000000">
            <w:pPr>
              <w:spacing w:after="915" w:line="218" w:lineRule="auto"/>
              <w:ind w:left="0" w:right="66" w:firstLine="1226"/>
              <w:jc w:val="left"/>
            </w:pPr>
            <w:r>
              <w:rPr>
                <w:sz w:val="17"/>
              </w:rPr>
              <w:t xml:space="preserve">•  Safety and security </w:t>
            </w:r>
          </w:p>
          <w:p w14:paraId="1B9AEA3E" w14:textId="77777777" w:rsidR="00A25657" w:rsidRDefault="00000000">
            <w:pPr>
              <w:spacing w:after="0" w:line="259" w:lineRule="auto"/>
              <w:ind w:left="0" w:right="66" w:firstLine="0"/>
              <w:jc w:val="right"/>
            </w:pPr>
            <w:r>
              <w:rPr>
                <w:sz w:val="17"/>
              </w:rPr>
              <w:t xml:space="preserve">• </w:t>
            </w:r>
          </w:p>
        </w:tc>
        <w:tc>
          <w:tcPr>
            <w:tcW w:w="1349" w:type="dxa"/>
            <w:gridSpan w:val="2"/>
            <w:tcBorders>
              <w:top w:val="single" w:sz="4" w:space="0" w:color="000000"/>
              <w:left w:val="nil"/>
              <w:bottom w:val="nil"/>
              <w:right w:val="nil"/>
            </w:tcBorders>
          </w:tcPr>
          <w:p w14:paraId="2118FCC8" w14:textId="77777777" w:rsidR="00A25657" w:rsidRDefault="00000000">
            <w:pPr>
              <w:spacing w:after="0" w:line="345" w:lineRule="auto"/>
              <w:ind w:left="8" w:right="0" w:firstLine="0"/>
            </w:pPr>
            <w:r>
              <w:rPr>
                <w:sz w:val="17"/>
              </w:rPr>
              <w:t xml:space="preserve"> Support of • open access • </w:t>
            </w:r>
          </w:p>
          <w:p w14:paraId="56A6373B" w14:textId="77777777" w:rsidR="00A25657" w:rsidRDefault="00000000">
            <w:pPr>
              <w:spacing w:after="113" w:line="259" w:lineRule="auto"/>
              <w:ind w:left="8" w:right="0" w:firstLine="0"/>
              <w:jc w:val="left"/>
            </w:pPr>
            <w:r>
              <w:rPr>
                <w:sz w:val="17"/>
              </w:rPr>
              <w:t>journals</w:t>
            </w:r>
          </w:p>
          <w:p w14:paraId="41A1C393" w14:textId="77777777" w:rsidR="00A25657" w:rsidRDefault="00000000">
            <w:pPr>
              <w:spacing w:after="11" w:line="323" w:lineRule="auto"/>
              <w:ind w:left="8" w:right="0" w:firstLine="0"/>
              <w:jc w:val="left"/>
            </w:pPr>
            <w:r>
              <w:rPr>
                <w:sz w:val="17"/>
              </w:rPr>
              <w:t xml:space="preserve"> Creation of </w:t>
            </w:r>
            <w:r>
              <w:rPr>
                <w:sz w:val="17"/>
              </w:rPr>
              <w:tab/>
              <w:t xml:space="preserve">• open indexed </w:t>
            </w:r>
            <w:proofErr w:type="gramStart"/>
            <w:r>
              <w:rPr>
                <w:sz w:val="17"/>
              </w:rPr>
              <w:t>repositories  Generation</w:t>
            </w:r>
            <w:proofErr w:type="gramEnd"/>
            <w:r>
              <w:rPr>
                <w:sz w:val="17"/>
              </w:rPr>
              <w:t xml:space="preserve"> </w:t>
            </w:r>
          </w:p>
          <w:p w14:paraId="75D8C2E1" w14:textId="77777777" w:rsidR="00A25657" w:rsidRDefault="00000000">
            <w:pPr>
              <w:tabs>
                <w:tab w:val="right" w:pos="1252"/>
              </w:tabs>
              <w:spacing w:after="41" w:line="259" w:lineRule="auto"/>
              <w:ind w:left="0" w:right="0" w:firstLine="0"/>
              <w:jc w:val="left"/>
            </w:pPr>
            <w:r>
              <w:rPr>
                <w:sz w:val="17"/>
              </w:rPr>
              <w:t xml:space="preserve">of data </w:t>
            </w:r>
            <w:r>
              <w:rPr>
                <w:sz w:val="17"/>
              </w:rPr>
              <w:tab/>
              <w:t xml:space="preserve">• </w:t>
            </w:r>
          </w:p>
          <w:p w14:paraId="17B921D5" w14:textId="77777777" w:rsidR="00A25657" w:rsidRDefault="00000000">
            <w:pPr>
              <w:spacing w:after="0" w:line="259" w:lineRule="auto"/>
              <w:ind w:left="0" w:right="66" w:firstLine="8"/>
              <w:jc w:val="left"/>
            </w:pPr>
            <w:r>
              <w:rPr>
                <w:sz w:val="17"/>
              </w:rPr>
              <w:t xml:space="preserve">repositories rather than finished </w:t>
            </w:r>
            <w:proofErr w:type="gramStart"/>
            <w:r>
              <w:rPr>
                <w:sz w:val="17"/>
              </w:rPr>
              <w:t>publications  Training</w:t>
            </w:r>
            <w:proofErr w:type="gramEnd"/>
            <w:r>
              <w:rPr>
                <w:sz w:val="17"/>
              </w:rPr>
              <w:t xml:space="preserve"> and education</w:t>
            </w:r>
          </w:p>
        </w:tc>
        <w:tc>
          <w:tcPr>
            <w:tcW w:w="1162" w:type="dxa"/>
            <w:tcBorders>
              <w:top w:val="single" w:sz="4" w:space="0" w:color="000000"/>
              <w:left w:val="nil"/>
              <w:bottom w:val="nil"/>
              <w:right w:val="nil"/>
            </w:tcBorders>
          </w:tcPr>
          <w:p w14:paraId="3453B807" w14:textId="77777777" w:rsidR="00A25657" w:rsidRDefault="00000000">
            <w:pPr>
              <w:spacing w:after="82" w:line="259" w:lineRule="auto"/>
              <w:ind w:left="8" w:right="0" w:firstLine="0"/>
              <w:jc w:val="left"/>
            </w:pPr>
            <w:r>
              <w:rPr>
                <w:sz w:val="17"/>
              </w:rPr>
              <w:t>Innovation</w:t>
            </w:r>
          </w:p>
          <w:p w14:paraId="0AC7C19C" w14:textId="77777777" w:rsidR="00A25657" w:rsidRDefault="00000000">
            <w:pPr>
              <w:spacing w:after="0" w:line="259" w:lineRule="auto"/>
              <w:ind w:left="8" w:right="43" w:firstLine="0"/>
              <w:jc w:val="left"/>
            </w:pPr>
            <w:r>
              <w:rPr>
                <w:sz w:val="17"/>
              </w:rPr>
              <w:t xml:space="preserve"> Commercial </w:t>
            </w:r>
            <w:proofErr w:type="gramStart"/>
            <w:r>
              <w:rPr>
                <w:sz w:val="17"/>
              </w:rPr>
              <w:t>interests  Altruistic</w:t>
            </w:r>
            <w:proofErr w:type="gramEnd"/>
            <w:r>
              <w:rPr>
                <w:sz w:val="17"/>
              </w:rPr>
              <w:t xml:space="preserve"> motives: ‘advancing humanity’  Data science as new knowledge paradigm</w:t>
            </w:r>
          </w:p>
        </w:tc>
      </w:tr>
      <w:tr w:rsidR="00A25657" w14:paraId="04272962" w14:textId="77777777">
        <w:trPr>
          <w:trHeight w:val="3029"/>
        </w:trPr>
        <w:tc>
          <w:tcPr>
            <w:tcW w:w="983" w:type="dxa"/>
            <w:tcBorders>
              <w:top w:val="nil"/>
              <w:left w:val="nil"/>
              <w:bottom w:val="single" w:sz="4" w:space="0" w:color="000000"/>
              <w:right w:val="nil"/>
            </w:tcBorders>
          </w:tcPr>
          <w:p w14:paraId="3F292B1E" w14:textId="77777777" w:rsidR="00A25657" w:rsidRDefault="00000000">
            <w:pPr>
              <w:spacing w:after="0" w:line="259" w:lineRule="auto"/>
              <w:ind w:left="100" w:right="0" w:firstLine="0"/>
              <w:jc w:val="left"/>
            </w:pPr>
            <w:r>
              <w:rPr>
                <w:b/>
                <w:sz w:val="17"/>
              </w:rPr>
              <w:t>AI strategies and plans (national, regional)</w:t>
            </w:r>
          </w:p>
        </w:tc>
        <w:tc>
          <w:tcPr>
            <w:tcW w:w="1532" w:type="dxa"/>
            <w:gridSpan w:val="2"/>
            <w:tcBorders>
              <w:top w:val="nil"/>
              <w:left w:val="nil"/>
              <w:bottom w:val="single" w:sz="4" w:space="0" w:color="000000"/>
              <w:right w:val="nil"/>
            </w:tcBorders>
          </w:tcPr>
          <w:p w14:paraId="2967FC3C" w14:textId="77777777" w:rsidR="00A25657" w:rsidRDefault="00000000">
            <w:pPr>
              <w:numPr>
                <w:ilvl w:val="0"/>
                <w:numId w:val="3"/>
              </w:numPr>
              <w:spacing w:after="63" w:line="295" w:lineRule="auto"/>
              <w:ind w:right="0" w:hanging="236"/>
              <w:jc w:val="left"/>
            </w:pPr>
            <w:proofErr w:type="gramStart"/>
            <w:r>
              <w:rPr>
                <w:sz w:val="17"/>
              </w:rPr>
              <w:t xml:space="preserve">Regional  </w:t>
            </w:r>
            <w:r>
              <w:rPr>
                <w:sz w:val="17"/>
              </w:rPr>
              <w:tab/>
            </w:r>
            <w:proofErr w:type="gramEnd"/>
            <w:r>
              <w:rPr>
                <w:sz w:val="17"/>
              </w:rPr>
              <w:t>• organizations</w:t>
            </w:r>
          </w:p>
          <w:p w14:paraId="15445793" w14:textId="77777777" w:rsidR="00A25657" w:rsidRDefault="00000000">
            <w:pPr>
              <w:numPr>
                <w:ilvl w:val="0"/>
                <w:numId w:val="3"/>
              </w:numPr>
              <w:spacing w:after="0" w:line="387" w:lineRule="auto"/>
              <w:ind w:right="0" w:hanging="236"/>
              <w:jc w:val="left"/>
            </w:pPr>
            <w:r>
              <w:rPr>
                <w:sz w:val="17"/>
              </w:rPr>
              <w:t>States</w:t>
            </w:r>
            <w:r>
              <w:rPr>
                <w:sz w:val="17"/>
              </w:rPr>
              <w:tab/>
              <w:t xml:space="preserve">• • </w:t>
            </w:r>
            <w:r>
              <w:rPr>
                <w:sz w:val="17"/>
              </w:rPr>
              <w:tab/>
              <w:t>UNESCO</w:t>
            </w:r>
            <w:r>
              <w:rPr>
                <w:sz w:val="17"/>
              </w:rPr>
              <w:tab/>
              <w:t xml:space="preserve">• </w:t>
            </w:r>
          </w:p>
          <w:p w14:paraId="79E06AB4" w14:textId="77777777" w:rsidR="00A25657" w:rsidRDefault="00000000">
            <w:pPr>
              <w:numPr>
                <w:ilvl w:val="0"/>
                <w:numId w:val="3"/>
              </w:numPr>
              <w:spacing w:after="102" w:line="259" w:lineRule="auto"/>
              <w:ind w:right="0" w:hanging="236"/>
              <w:jc w:val="left"/>
            </w:pPr>
            <w:r>
              <w:rPr>
                <w:sz w:val="17"/>
              </w:rPr>
              <w:t>OECD</w:t>
            </w:r>
            <w:r>
              <w:rPr>
                <w:sz w:val="17"/>
              </w:rPr>
              <w:tab/>
              <w:t xml:space="preserve">• </w:t>
            </w:r>
          </w:p>
          <w:p w14:paraId="316A8675" w14:textId="77777777" w:rsidR="00A25657" w:rsidRDefault="00000000">
            <w:pPr>
              <w:numPr>
                <w:ilvl w:val="0"/>
                <w:numId w:val="3"/>
              </w:numPr>
              <w:spacing w:after="51" w:line="297" w:lineRule="auto"/>
              <w:ind w:right="0" w:hanging="236"/>
              <w:jc w:val="left"/>
            </w:pPr>
            <w:r>
              <w:rPr>
                <w:sz w:val="17"/>
              </w:rPr>
              <w:t xml:space="preserve">Tech/AI </w:t>
            </w:r>
            <w:r>
              <w:rPr>
                <w:sz w:val="17"/>
              </w:rPr>
              <w:tab/>
              <w:t>• companies</w:t>
            </w:r>
          </w:p>
          <w:p w14:paraId="5EB51523" w14:textId="77777777" w:rsidR="00A25657" w:rsidRDefault="00000000">
            <w:pPr>
              <w:numPr>
                <w:ilvl w:val="0"/>
                <w:numId w:val="3"/>
              </w:numPr>
              <w:spacing w:after="125" w:line="259" w:lineRule="auto"/>
              <w:ind w:right="0" w:hanging="236"/>
              <w:jc w:val="left"/>
            </w:pPr>
            <w:r>
              <w:rPr>
                <w:sz w:val="17"/>
              </w:rPr>
              <w:t xml:space="preserve">Universities </w:t>
            </w:r>
          </w:p>
          <w:p w14:paraId="63F8C95D" w14:textId="77777777" w:rsidR="00A25657" w:rsidRDefault="00000000">
            <w:pPr>
              <w:numPr>
                <w:ilvl w:val="0"/>
                <w:numId w:val="3"/>
              </w:numPr>
              <w:spacing w:after="30" w:line="340" w:lineRule="auto"/>
              <w:ind w:right="0" w:hanging="236"/>
              <w:jc w:val="left"/>
            </w:pPr>
            <w:r>
              <w:rPr>
                <w:sz w:val="17"/>
              </w:rPr>
              <w:t xml:space="preserve">Research </w:t>
            </w:r>
            <w:r>
              <w:rPr>
                <w:sz w:val="26"/>
                <w:vertAlign w:val="superscript"/>
              </w:rPr>
              <w:t xml:space="preserve">• </w:t>
            </w:r>
            <w:r>
              <w:rPr>
                <w:sz w:val="17"/>
              </w:rPr>
              <w:t xml:space="preserve">agencies • </w:t>
            </w:r>
          </w:p>
          <w:p w14:paraId="5A51D2F8" w14:textId="77777777" w:rsidR="00A25657" w:rsidRDefault="00000000">
            <w:pPr>
              <w:numPr>
                <w:ilvl w:val="0"/>
                <w:numId w:val="3"/>
              </w:numPr>
              <w:spacing w:after="0" w:line="259" w:lineRule="auto"/>
              <w:ind w:right="0" w:hanging="236"/>
              <w:jc w:val="left"/>
            </w:pPr>
            <w:r>
              <w:rPr>
                <w:sz w:val="17"/>
              </w:rPr>
              <w:t>Civil society</w:t>
            </w:r>
          </w:p>
        </w:tc>
        <w:tc>
          <w:tcPr>
            <w:tcW w:w="1455" w:type="dxa"/>
            <w:gridSpan w:val="2"/>
            <w:tcBorders>
              <w:top w:val="nil"/>
              <w:left w:val="nil"/>
              <w:bottom w:val="single" w:sz="4" w:space="0" w:color="000000"/>
              <w:right w:val="nil"/>
            </w:tcBorders>
          </w:tcPr>
          <w:p w14:paraId="10175A4D" w14:textId="77777777" w:rsidR="00A25657" w:rsidRDefault="00000000">
            <w:pPr>
              <w:tabs>
                <w:tab w:val="right" w:pos="1358"/>
              </w:tabs>
              <w:spacing w:after="22" w:line="259" w:lineRule="auto"/>
              <w:ind w:left="0" w:right="0" w:firstLine="0"/>
              <w:jc w:val="left"/>
            </w:pPr>
            <w:r>
              <w:rPr>
                <w:sz w:val="17"/>
              </w:rPr>
              <w:t xml:space="preserve"> National </w:t>
            </w:r>
            <w:r>
              <w:rPr>
                <w:sz w:val="17"/>
              </w:rPr>
              <w:tab/>
              <w:t xml:space="preserve">• </w:t>
            </w:r>
          </w:p>
          <w:p w14:paraId="6AEFE628" w14:textId="77777777" w:rsidR="00A25657" w:rsidRDefault="00000000">
            <w:pPr>
              <w:spacing w:after="82" w:line="259" w:lineRule="auto"/>
              <w:ind w:left="0" w:right="0" w:firstLine="0"/>
              <w:jc w:val="left"/>
            </w:pPr>
            <w:r>
              <w:rPr>
                <w:sz w:val="17"/>
              </w:rPr>
              <w:t>competitiveness</w:t>
            </w:r>
          </w:p>
          <w:p w14:paraId="105D707D" w14:textId="77777777" w:rsidR="00A25657" w:rsidRDefault="00000000">
            <w:pPr>
              <w:tabs>
                <w:tab w:val="right" w:pos="1358"/>
              </w:tabs>
              <w:spacing w:after="82" w:line="259" w:lineRule="auto"/>
              <w:ind w:left="0" w:right="0" w:firstLine="0"/>
              <w:jc w:val="left"/>
            </w:pPr>
            <w:r>
              <w:rPr>
                <w:sz w:val="17"/>
              </w:rPr>
              <w:t>Market growth</w:t>
            </w:r>
            <w:r>
              <w:rPr>
                <w:sz w:val="17"/>
              </w:rPr>
              <w:tab/>
              <w:t xml:space="preserve">• </w:t>
            </w:r>
          </w:p>
          <w:p w14:paraId="6BB12AB9" w14:textId="77777777" w:rsidR="00A25657" w:rsidRDefault="00000000">
            <w:pPr>
              <w:tabs>
                <w:tab w:val="right" w:pos="1358"/>
              </w:tabs>
              <w:spacing w:after="82" w:line="259" w:lineRule="auto"/>
              <w:ind w:left="0" w:right="0" w:firstLine="0"/>
              <w:jc w:val="left"/>
            </w:pPr>
            <w:r>
              <w:rPr>
                <w:sz w:val="17"/>
              </w:rPr>
              <w:t>Ethics</w:t>
            </w:r>
            <w:r>
              <w:rPr>
                <w:sz w:val="17"/>
              </w:rPr>
              <w:tab/>
              <w:t xml:space="preserve">• </w:t>
            </w:r>
          </w:p>
          <w:p w14:paraId="06C0E7B5" w14:textId="77777777" w:rsidR="00A25657" w:rsidRDefault="00000000">
            <w:pPr>
              <w:spacing w:after="112" w:line="259" w:lineRule="auto"/>
              <w:ind w:left="0" w:right="0" w:firstLine="0"/>
              <w:jc w:val="left"/>
            </w:pPr>
            <w:r>
              <w:rPr>
                <w:sz w:val="17"/>
              </w:rPr>
              <w:t>Human rights</w:t>
            </w:r>
          </w:p>
          <w:p w14:paraId="3185BED5" w14:textId="77777777" w:rsidR="00A25657" w:rsidRDefault="00000000">
            <w:pPr>
              <w:spacing w:after="0" w:line="323" w:lineRule="auto"/>
              <w:ind w:left="0" w:right="0" w:firstLine="0"/>
              <w:jc w:val="left"/>
            </w:pPr>
            <w:r>
              <w:rPr>
                <w:sz w:val="17"/>
              </w:rPr>
              <w:t xml:space="preserve"> Responsibility </w:t>
            </w:r>
            <w:r>
              <w:rPr>
                <w:sz w:val="17"/>
              </w:rPr>
              <w:tab/>
              <w:t xml:space="preserve">• and </w:t>
            </w:r>
          </w:p>
          <w:p w14:paraId="72F6AE11" w14:textId="77777777" w:rsidR="00A25657" w:rsidRDefault="00000000">
            <w:pPr>
              <w:tabs>
                <w:tab w:val="right" w:pos="1358"/>
              </w:tabs>
              <w:spacing w:after="82" w:line="259" w:lineRule="auto"/>
              <w:ind w:left="0" w:right="0" w:firstLine="0"/>
              <w:jc w:val="left"/>
            </w:pPr>
            <w:r>
              <w:rPr>
                <w:sz w:val="17"/>
              </w:rPr>
              <w:t>trustworthiness</w:t>
            </w:r>
            <w:r>
              <w:rPr>
                <w:sz w:val="17"/>
              </w:rPr>
              <w:tab/>
              <w:t xml:space="preserve">• </w:t>
            </w:r>
          </w:p>
          <w:p w14:paraId="7C80C752" w14:textId="77777777" w:rsidR="00A25657" w:rsidRDefault="00000000">
            <w:pPr>
              <w:spacing w:after="82" w:line="259" w:lineRule="auto"/>
              <w:ind w:left="0" w:right="0" w:firstLine="0"/>
              <w:jc w:val="left"/>
            </w:pPr>
            <w:r>
              <w:rPr>
                <w:sz w:val="17"/>
              </w:rPr>
              <w:t>Data protection</w:t>
            </w:r>
          </w:p>
          <w:p w14:paraId="736B8C72" w14:textId="77777777" w:rsidR="00A25657" w:rsidRDefault="00000000">
            <w:pPr>
              <w:spacing w:after="0" w:line="259" w:lineRule="auto"/>
              <w:ind w:left="0" w:right="0" w:firstLine="0"/>
              <w:jc w:val="left"/>
            </w:pPr>
            <w:r>
              <w:rPr>
                <w:sz w:val="17"/>
              </w:rPr>
              <w:t>Regulation</w:t>
            </w:r>
          </w:p>
        </w:tc>
        <w:tc>
          <w:tcPr>
            <w:tcW w:w="1349" w:type="dxa"/>
            <w:gridSpan w:val="2"/>
            <w:tcBorders>
              <w:top w:val="nil"/>
              <w:left w:val="nil"/>
              <w:bottom w:val="single" w:sz="4" w:space="0" w:color="000000"/>
              <w:right w:val="nil"/>
            </w:tcBorders>
          </w:tcPr>
          <w:p w14:paraId="7FF7F4C3" w14:textId="77777777" w:rsidR="00A25657" w:rsidRDefault="00000000">
            <w:pPr>
              <w:spacing w:after="60" w:line="286" w:lineRule="auto"/>
              <w:ind w:left="0" w:right="0" w:firstLine="0"/>
              <w:jc w:val="left"/>
            </w:pPr>
            <w:r>
              <w:rPr>
                <w:sz w:val="17"/>
              </w:rPr>
              <w:t xml:space="preserve"> Training and </w:t>
            </w:r>
            <w:r>
              <w:rPr>
                <w:sz w:val="17"/>
              </w:rPr>
              <w:tab/>
              <w:t>• education</w:t>
            </w:r>
          </w:p>
          <w:p w14:paraId="6675C6B6" w14:textId="77777777" w:rsidR="00A25657" w:rsidRDefault="00000000">
            <w:pPr>
              <w:tabs>
                <w:tab w:val="right" w:pos="1252"/>
              </w:tabs>
              <w:spacing w:after="82" w:line="259" w:lineRule="auto"/>
              <w:ind w:left="0" w:right="0" w:firstLine="0"/>
              <w:jc w:val="left"/>
            </w:pPr>
            <w:r>
              <w:rPr>
                <w:sz w:val="17"/>
              </w:rPr>
              <w:t>Use cases</w:t>
            </w:r>
            <w:r>
              <w:rPr>
                <w:sz w:val="17"/>
              </w:rPr>
              <w:tab/>
              <w:t xml:space="preserve">• </w:t>
            </w:r>
          </w:p>
          <w:p w14:paraId="4F552748" w14:textId="77777777" w:rsidR="00A25657" w:rsidRDefault="00000000">
            <w:pPr>
              <w:spacing w:after="26" w:line="345" w:lineRule="auto"/>
              <w:ind w:left="8" w:right="0" w:firstLine="0"/>
            </w:pPr>
            <w:r>
              <w:rPr>
                <w:sz w:val="17"/>
              </w:rPr>
              <w:t xml:space="preserve"> International • benchmarks • </w:t>
            </w:r>
          </w:p>
          <w:p w14:paraId="10D0D5F8" w14:textId="77777777" w:rsidR="00A25657" w:rsidRDefault="00000000">
            <w:pPr>
              <w:spacing w:after="0" w:line="259" w:lineRule="auto"/>
              <w:ind w:left="8" w:right="223" w:firstLine="0"/>
              <w:jc w:val="left"/>
            </w:pPr>
            <w:r>
              <w:rPr>
                <w:sz w:val="17"/>
              </w:rPr>
              <w:t xml:space="preserve"> Data </w:t>
            </w:r>
            <w:proofErr w:type="gramStart"/>
            <w:r>
              <w:rPr>
                <w:sz w:val="17"/>
              </w:rPr>
              <w:t>infrastructures  Coordination</w:t>
            </w:r>
            <w:proofErr w:type="gramEnd"/>
            <w:r>
              <w:rPr>
                <w:sz w:val="17"/>
              </w:rPr>
              <w:t xml:space="preserve"> and governance</w:t>
            </w:r>
          </w:p>
        </w:tc>
        <w:tc>
          <w:tcPr>
            <w:tcW w:w="1162" w:type="dxa"/>
            <w:tcBorders>
              <w:top w:val="nil"/>
              <w:left w:val="nil"/>
              <w:bottom w:val="single" w:sz="4" w:space="0" w:color="000000"/>
              <w:right w:val="nil"/>
            </w:tcBorders>
          </w:tcPr>
          <w:p w14:paraId="36AD3248" w14:textId="77777777" w:rsidR="00A25657" w:rsidRDefault="00000000">
            <w:pPr>
              <w:spacing w:after="60" w:line="286" w:lineRule="auto"/>
              <w:ind w:left="0" w:right="0" w:firstLine="0"/>
              <w:jc w:val="left"/>
            </w:pPr>
            <w:r>
              <w:rPr>
                <w:sz w:val="17"/>
              </w:rPr>
              <w:t xml:space="preserve"> </w:t>
            </w:r>
            <w:proofErr w:type="spellStart"/>
            <w:r>
              <w:rPr>
                <w:sz w:val="17"/>
              </w:rPr>
              <w:t>Technosolutionism</w:t>
            </w:r>
            <w:proofErr w:type="spellEnd"/>
            <w:r>
              <w:rPr>
                <w:sz w:val="17"/>
              </w:rPr>
              <w:t xml:space="preserve"> </w:t>
            </w:r>
          </w:p>
          <w:p w14:paraId="2D6ECDEC" w14:textId="77777777" w:rsidR="00A25657" w:rsidRDefault="00000000">
            <w:pPr>
              <w:spacing w:after="82" w:line="259" w:lineRule="auto"/>
              <w:ind w:left="8" w:right="0" w:firstLine="0"/>
              <w:jc w:val="left"/>
            </w:pPr>
            <w:r>
              <w:rPr>
                <w:sz w:val="17"/>
              </w:rPr>
              <w:t>Utilitarianism</w:t>
            </w:r>
          </w:p>
          <w:p w14:paraId="0EDEA171" w14:textId="77777777" w:rsidR="00A25657" w:rsidRDefault="00000000">
            <w:pPr>
              <w:spacing w:after="82" w:line="259" w:lineRule="auto"/>
              <w:ind w:left="8" w:right="0" w:firstLine="0"/>
              <w:jc w:val="left"/>
            </w:pPr>
            <w:r>
              <w:rPr>
                <w:sz w:val="17"/>
              </w:rPr>
              <w:t>Geopolitics</w:t>
            </w:r>
          </w:p>
          <w:p w14:paraId="0DE42334" w14:textId="77777777" w:rsidR="00A25657" w:rsidRDefault="00000000">
            <w:pPr>
              <w:spacing w:after="0" w:line="259" w:lineRule="auto"/>
              <w:ind w:left="8" w:right="0" w:firstLine="0"/>
              <w:jc w:val="left"/>
            </w:pPr>
            <w:r>
              <w:rPr>
                <w:sz w:val="17"/>
              </w:rPr>
              <w:t>Innovation</w:t>
            </w:r>
          </w:p>
        </w:tc>
      </w:tr>
    </w:tbl>
    <w:p w14:paraId="6D6B3D83" w14:textId="77777777" w:rsidR="00A25657" w:rsidRDefault="00000000">
      <w:pPr>
        <w:spacing w:after="433" w:line="265" w:lineRule="auto"/>
        <w:ind w:left="-5" w:right="0" w:hanging="10"/>
        <w:jc w:val="left"/>
      </w:pPr>
      <w:r>
        <w:rPr>
          <w:i/>
          <w:sz w:val="17"/>
        </w:rPr>
        <w:t>Source</w:t>
      </w:r>
      <w:r>
        <w:rPr>
          <w:sz w:val="17"/>
        </w:rPr>
        <w:t xml:space="preserve">: Collated by the author. </w:t>
      </w:r>
    </w:p>
    <w:p w14:paraId="4623AB2C" w14:textId="77777777" w:rsidR="00A25657" w:rsidRDefault="00000000" w:rsidP="000A7AAA">
      <w:pPr>
        <w:pStyle w:val="Heading3"/>
      </w:pPr>
      <w:r>
        <w:t>Open Science</w:t>
      </w:r>
    </w:p>
    <w:p w14:paraId="616A9611" w14:textId="171CD094" w:rsidR="00A25657" w:rsidRDefault="00000000">
      <w:pPr>
        <w:ind w:left="0" w:right="0" w:firstLine="0"/>
      </w:pPr>
      <w:r>
        <w:t>In terms of sites of governance and authority in OS, since 2021 the UNESCO framework has generated an international and quasi-global instrument that represents a global site of authority for its governance. Yet the OS movement faces strong challenges concerning the application of FAIR principles, ‘particularly in the Global South, as countries need to transform the normative incentives within government bodies and funding agencies, as well as the evaluation models for researchers, institutions, and research programs’.</w:t>
      </w:r>
      <w:r w:rsidR="00EB420D">
        <w:rPr>
          <w:rStyle w:val="EndnoteReference"/>
        </w:rPr>
        <w:endnoteReference w:id="66"/>
      </w:r>
      <w:r>
        <w:t xml:space="preserve"> OS </w:t>
      </w:r>
      <w:r>
        <w:lastRenderedPageBreak/>
        <w:t>and data governance approaches in many of these countries need not only to update existing practices but also to change long-standing approaches on how data is conceptualized, including intellectual property issues. On the other hand, the application of FAIR principles to data becomes one of the most consistent practices to guarantee the implementation of OS and is also unequivocally polycentric as claimed by their authors: ‘The resulting data ecosystem, therefore, appears to be moving away from centralization, is becoming more diverse, and less integrated, thereby exacerbating the discovery and re-usability problem for both human and computational stakeholders.’</w:t>
      </w:r>
      <w:r w:rsidR="00EB420D">
        <w:rPr>
          <w:rStyle w:val="EndnoteReference"/>
        </w:rPr>
        <w:endnoteReference w:id="67"/>
      </w:r>
      <w:r>
        <w:t xml:space="preserve"> While there are inherent tensions that aim to centralize data for historical reasons motivated by intellectual property concerns and even security, greater demands placed on transparency and democratization principles invoke a different perception of the problem. </w:t>
      </w:r>
    </w:p>
    <w:p w14:paraId="510BF745" w14:textId="5D3D86E7" w:rsidR="00A25657" w:rsidRDefault="00000000">
      <w:pPr>
        <w:spacing w:after="30"/>
        <w:ind w:left="0" w:right="0" w:firstLine="240"/>
      </w:pPr>
      <w:r>
        <w:t>The multiplicity of policies concerning OS indicates the need for a suitable platform for its implementation in the scientific community; on the other hand, the diversity of these supportive policies reveals the wide range of subjects and the array of the OS ecosystem. Therefore, the distinctive features of the scientific community of the country in question should be considered. Realizing such a systemic change involves an internationally coordinated effort of researchers, universities, research institutes, publishers, research councils, and policymakers.</w:t>
      </w:r>
      <w:r w:rsidR="00EB420D">
        <w:rPr>
          <w:rStyle w:val="EndnoteReference"/>
        </w:rPr>
        <w:endnoteReference w:id="68"/>
      </w:r>
      <w:r>
        <w:t xml:space="preserve"> </w:t>
      </w:r>
    </w:p>
    <w:p w14:paraId="5319FDE3" w14:textId="62E3472B" w:rsidR="00A25657" w:rsidRDefault="00000000">
      <w:pPr>
        <w:ind w:left="0" w:right="0" w:firstLine="240"/>
      </w:pPr>
      <w:r>
        <w:t xml:space="preserve">Ghislaine </w:t>
      </w:r>
      <w:proofErr w:type="spellStart"/>
      <w:r>
        <w:t>Chartron</w:t>
      </w:r>
      <w:proofErr w:type="spellEnd"/>
      <w:r>
        <w:t xml:space="preserve"> spelled out three different and convergent orders of values and beliefs that underly the OS paradigm: ‘the </w:t>
      </w:r>
      <w:r>
        <w:rPr>
          <w:i/>
        </w:rPr>
        <w:t>ethical values</w:t>
      </w:r>
      <w:r>
        <w:t xml:space="preserve"> of science as defined by Merton (1942 [1973]), </w:t>
      </w:r>
      <w:r>
        <w:rPr>
          <w:i/>
        </w:rPr>
        <w:t>data science</w:t>
      </w:r>
      <w:r>
        <w:t xml:space="preserve"> as a new scientific paradigm, and </w:t>
      </w:r>
      <w:r>
        <w:rPr>
          <w:i/>
        </w:rPr>
        <w:t>innovation</w:t>
      </w:r>
      <w:r>
        <w:t xml:space="preserve"> as a source of economic growth’.</w:t>
      </w:r>
      <w:r w:rsidR="00EB420D">
        <w:rPr>
          <w:rStyle w:val="EndnoteReference"/>
        </w:rPr>
        <w:endnoteReference w:id="69"/>
      </w:r>
      <w:r>
        <w:t xml:space="preserve"> According to this vision, the innovation system is at the heart of the promotion of OS. Knowledge production must cross-fertilize scientific fields, companies, and governments.</w:t>
      </w:r>
      <w:r w:rsidR="00EB420D">
        <w:rPr>
          <w:rStyle w:val="EndnoteReference"/>
        </w:rPr>
        <w:endnoteReference w:id="70"/>
      </w:r>
      <w:r>
        <w:t xml:space="preserve"> Possible transfers between science, the economic fabric, and civil society to gain growth and confidence in science become the basic motivation. ‘When these three regimes come face to face, a certain confusion gradually sets in. Hardly reconcilable visions are being projected, such as the </w:t>
      </w:r>
      <w:proofErr w:type="spellStart"/>
      <w:r>
        <w:t>defense</w:t>
      </w:r>
      <w:proofErr w:type="spellEnd"/>
      <w:r>
        <w:t xml:space="preserve"> of the common good of science and the quest to create value for the socio-economic world.’</w:t>
      </w:r>
      <w:r w:rsidR="00EB420D">
        <w:rPr>
          <w:rStyle w:val="EndnoteReference"/>
        </w:rPr>
        <w:endnoteReference w:id="71"/>
      </w:r>
      <w:r>
        <w:t xml:space="preserve"> These visions underscore the inherent tensions in a polycentric domain with different underlying orders. </w:t>
      </w:r>
    </w:p>
    <w:p w14:paraId="272DD5EB" w14:textId="68D2C03B" w:rsidR="00A25657" w:rsidRDefault="00000000">
      <w:pPr>
        <w:spacing w:after="336"/>
        <w:ind w:left="0" w:right="0" w:firstLine="240"/>
      </w:pPr>
      <w:r>
        <w:t>Moradi and Abdi’s research focused on European OS policies found that these prioritized open access publications, followed by open research data.</w:t>
      </w:r>
      <w:r w:rsidR="00EB420D">
        <w:rPr>
          <w:rStyle w:val="EndnoteReference"/>
        </w:rPr>
        <w:endnoteReference w:id="72"/>
      </w:r>
      <w:r>
        <w:t xml:space="preserve"> Their work also noted the conflation of the notion of open access to data included in publications, rather than data for research. Part of the normative underpinnings of access to data by the OS movement concerns different framings around intellectual property provisions and privacy regulations when </w:t>
      </w:r>
      <w:r>
        <w:lastRenderedPageBreak/>
        <w:t>personal data is involved, but most relevantly the incentives for researchers to generate open data repositories. While Latin America aims to increase uptake and foster open access indexed journal repositories, the application of the FAIR principles to data has not yet been substantively accomplished.</w:t>
      </w:r>
      <w:r w:rsidR="00EB420D">
        <w:rPr>
          <w:rStyle w:val="EndnoteReference"/>
        </w:rPr>
        <w:endnoteReference w:id="73"/>
      </w:r>
    </w:p>
    <w:p w14:paraId="247453CB" w14:textId="77777777" w:rsidR="00A25657" w:rsidRDefault="00000000" w:rsidP="000A7AAA">
      <w:pPr>
        <w:pStyle w:val="Heading3"/>
      </w:pPr>
      <w:r>
        <w:t>AI Strategies and Plans</w:t>
      </w:r>
    </w:p>
    <w:p w14:paraId="1DBF47CC" w14:textId="78EDA246" w:rsidR="00A25657" w:rsidRDefault="00000000">
      <w:pPr>
        <w:ind w:left="0" w:right="0" w:firstLine="0"/>
      </w:pPr>
      <w:r>
        <w:t>AI strategies tend to approach data governance as a vital resource for local AI development.</w:t>
      </w:r>
      <w:r w:rsidR="00EB420D">
        <w:rPr>
          <w:rStyle w:val="EndnoteReference"/>
        </w:rPr>
        <w:endnoteReference w:id="74"/>
      </w:r>
      <w:r>
        <w:t xml:space="preserve"> The creation of large datasets is essential for the development of AI, sector-specific innovation, and capacity creation. Local research communities have been shown to be key actors in many contexts in the formulation of these policy instruments, but their concerns were not met in the first generation of AI strategies in most countries.</w:t>
      </w:r>
    </w:p>
    <w:p w14:paraId="4E3227AA" w14:textId="4391A1BC" w:rsidR="00A25657" w:rsidRDefault="00000000">
      <w:pPr>
        <w:ind w:left="0" w:right="0" w:firstLine="240"/>
      </w:pPr>
      <w:r>
        <w:t>AI plans that formulate access to data for research have a strong competitive incentive. Practically all strategies address access to data for research with a utilitarian and geopolitical understanding, concerning the ‘AI race’ where indicators about number of standards, conference papers, and the like are routinely compared.</w:t>
      </w:r>
      <w:r w:rsidR="00EB420D">
        <w:rPr>
          <w:rStyle w:val="EndnoteReference"/>
        </w:rPr>
        <w:endnoteReference w:id="75"/>
      </w:r>
      <w:r>
        <w:t xml:space="preserve"> There are few interdisciplinary approaches or concerns in AI strategies for non-computer approaches to data and AI. Access to data for research is not even considered as part of the repertoire of many AI strategies, and these interests are included in other policy instruments, notably in the science sector.</w:t>
      </w:r>
      <w:r w:rsidR="00EB420D">
        <w:rPr>
          <w:rStyle w:val="EndnoteReference"/>
        </w:rPr>
        <w:endnoteReference w:id="76"/>
      </w:r>
      <w:r>
        <w:t xml:space="preserve"> In a recent regional AI index covering 12 countries in Latin America,</w:t>
      </w:r>
      <w:r w:rsidR="00D42ABE">
        <w:rPr>
          <w:rStyle w:val="EndnoteReference"/>
        </w:rPr>
        <w:endnoteReference w:id="77"/>
      </w:r>
      <w:r>
        <w:t xml:space="preserve"> access to relevant data is confined to the dimensions of the Global Data Barometer which are more relevant for an open government strategy rather than for comprehensive national data strategies that are needed in AI and OS.</w:t>
      </w:r>
    </w:p>
    <w:p w14:paraId="75287454" w14:textId="7892EC78" w:rsidR="00A25657" w:rsidRDefault="00000000">
      <w:pPr>
        <w:spacing w:after="32"/>
        <w:ind w:left="0" w:right="0" w:firstLine="240"/>
      </w:pPr>
      <w:r>
        <w:t>The sites for power and authority for AI plans have been developed by different organizational bodies, steered mostly by national and regional governments and supranational organizations such as the OECD and UNESCO. The OECD published in 2019 its document on principles on AI, which was endorsed by other countries outside of this organization. The document maps the development of, and access to, a digital ecosystem for trustworthy AI that includes digital technologies and infrastructure ‘and mechanisms for sharing AI knowledge, as appropriate. In this regard, governments should consider promoting mechanisms, such as data trusts, to support the safe, fair, legal, and ethical sharing of data’.</w:t>
      </w:r>
      <w:r w:rsidR="00D42ABE">
        <w:rPr>
          <w:rStyle w:val="EndnoteReference"/>
        </w:rPr>
        <w:endnoteReference w:id="78"/>
      </w:r>
      <w:r>
        <w:t xml:space="preserve"> Karen Yeung assesses the OECD recommendation as treading between two underlying forces with normative approaches: the ethical imperative to provide safeguards to the rise of AI risks but also as enablers ‘to avoid killing the golden goose of technological innovation’.</w:t>
      </w:r>
      <w:r w:rsidR="00D42ABE">
        <w:rPr>
          <w:rStyle w:val="EndnoteReference"/>
        </w:rPr>
        <w:endnoteReference w:id="79"/>
      </w:r>
      <w:r>
        <w:t xml:space="preserve"> </w:t>
      </w:r>
    </w:p>
    <w:p w14:paraId="2C03B6F9" w14:textId="77777777" w:rsidR="00A25657" w:rsidRDefault="00000000">
      <w:pPr>
        <w:ind w:left="0" w:right="0" w:firstLine="240"/>
      </w:pPr>
      <w:r>
        <w:t xml:space="preserve">The UNESCO Recommendation on the Ethics of AI has spurred a more specific normative orientation on the ethics of AI as the centrepiece of this </w:t>
      </w:r>
      <w:r>
        <w:lastRenderedPageBreak/>
        <w:t xml:space="preserve">recommendation. It has become the only document with a global reach and though it is not legally binding, it is an authoritative instrument. UNESCO is pursuing this authoritativeness by implementing a readiness assessment methodology (RAM) instrument, which in 2023 spanned over 50 countries, many of which already had national AI plans in place but were looking to further enhance the ethical dimensions and the ensuing policies that should be implemented. The increasing regulatory and legislative measures related with AI development, as is the case of the AI Act of 2024 in the EU as well as the UNESCO initiative on the RAM, are promoting a normative orientation towards AI systems that fully incorporates binding legal measures. </w:t>
      </w:r>
    </w:p>
    <w:p w14:paraId="258F3D0F" w14:textId="73986BB6" w:rsidR="00A25657" w:rsidRDefault="00000000">
      <w:pPr>
        <w:spacing w:after="414"/>
        <w:ind w:left="0" w:right="0" w:firstLine="240"/>
      </w:pPr>
      <w:r>
        <w:t>From an underlying orders perspective, utilitarian perspectives predominate in AI strategies as their socio-technical imaginaries</w:t>
      </w:r>
      <w:r w:rsidR="00D42ABE">
        <w:rPr>
          <w:rStyle w:val="EndnoteReference"/>
        </w:rPr>
        <w:endnoteReference w:id="80"/>
      </w:r>
      <w:r>
        <w:t xml:space="preserve"> are imbued by notions of supremacy in AI capacity, the AI race, and cybernetic futures.</w:t>
      </w:r>
      <w:r w:rsidR="00D42ABE">
        <w:rPr>
          <w:rStyle w:val="EndnoteReference"/>
        </w:rPr>
        <w:endnoteReference w:id="81"/>
      </w:r>
      <w:r>
        <w:t xml:space="preserve"> Utilitarian approaches look at the maximization of benefits for ‘a majority’, which have greater difficulty in matching these expectations on the consequences and outcomes of data-driven AI systems at broader social levels. The solutionist approach of national and regional AI strategies is another fundamental underlying order that is aligned with utilitarian values. ‘Solutionist beliefs are a particularly important part of the spirit of digital capitalism, which we define as those normative beliefs that play a legitimizing, motivating and orienting role for today’s tech companies.’</w:t>
      </w:r>
      <w:r w:rsidR="00D42ABE">
        <w:rPr>
          <w:rStyle w:val="EndnoteReference"/>
        </w:rPr>
        <w:endnoteReference w:id="82"/>
      </w:r>
      <w:r>
        <w:t xml:space="preserve"> These beliefs are present in AI strategies and inform not only how tech and AI firms see themselves but also how they are perceived by others, notably governments which steer the developments of these national plans. While there is an increasing normative orientation on the inclusion of societal risks and the ethical and human rights principles that should be the foundations of AI plans, their underlying orders are still at odds as the geopolitics of AI is still predominant.</w:t>
      </w:r>
    </w:p>
    <w:p w14:paraId="032630AF" w14:textId="77777777" w:rsidR="00A25657" w:rsidRDefault="00000000" w:rsidP="000A7AAA">
      <w:pPr>
        <w:pStyle w:val="Heading2"/>
      </w:pPr>
      <w:r>
        <w:t>Conclusion</w:t>
      </w:r>
    </w:p>
    <w:p w14:paraId="6B2660F2" w14:textId="77777777" w:rsidR="00A25657" w:rsidRDefault="00000000">
      <w:pPr>
        <w:ind w:left="0" w:right="0" w:firstLine="0"/>
      </w:pPr>
      <w:r>
        <w:t xml:space="preserve">The aim of the chapter has been to develop a case for a more holistic and relational approach to the issue of access to data for research purposes, beyond existing possibilities as those portrayed in the DMA–DSA package, by discussing different data regimes found in many contexts, including global majority regions, with a polycentric theory. This chapter adopted a normative orientation concerning the relevance of access to data for research purposes and developed a case to address this by encompassing two existing policies – OS and AI strategies – as policy alternatives to further advance other scientific interests and uses from a polycentric perspective. This normative stance was adopted as an </w:t>
      </w:r>
      <w:r>
        <w:lastRenderedPageBreak/>
        <w:t xml:space="preserve">intellectual response to the increasing centrality of data-driven AI technologies and large platforms power vis-à-vis local research capacity. </w:t>
      </w:r>
    </w:p>
    <w:p w14:paraId="3A6206AC" w14:textId="497B5729" w:rsidR="00A25657" w:rsidRDefault="00000000">
      <w:pPr>
        <w:ind w:left="0" w:right="0" w:firstLine="240"/>
      </w:pPr>
      <w:r>
        <w:t>A polycentric lens enabled the connection of different sites of power and authority, as well as different normative, practical, and underlying orders of these arrangements. The different policy and regulatory initiatives involving access to digital data are a manifestation of broader theoretical, political, and sociotechnical intersections.</w:t>
      </w:r>
      <w:r w:rsidR="00D42ABE">
        <w:rPr>
          <w:rStyle w:val="EndnoteReference"/>
        </w:rPr>
        <w:endnoteReference w:id="83"/>
      </w:r>
      <w:r>
        <w:t xml:space="preserve"> Currently, available policy initiatives should address these different centres of power and authority from these specialized fields and build bridges as access claims are shared. This recommendation is not concerned with promoting centralization, that is, hierarchically concentrating power and authority for the different implications concerning digital data and access for research, but rather about developing pathways across these different policy domains, increasing coordination and coherence. This is particularly relevant for many countries in global majority contexts that have consolidated their own trajectories in some domains – for example, in Latin America with national open data strategies and open science initiatives and in Asia with consolidated national AI strategies – but whose regulations will be difficult to implement as those like the DMA–DSA in Europe. The involvement of the global, regional, and national levels in the analysis is the key to understanding how access to data for research is framed and how it should evolve.</w:t>
      </w:r>
    </w:p>
    <w:p w14:paraId="5DA6CE52" w14:textId="77777777" w:rsidR="00A25657" w:rsidRDefault="00000000">
      <w:pPr>
        <w:ind w:left="0" w:right="0" w:firstLine="240"/>
      </w:pPr>
      <w:r>
        <w:t>Since 2021, there is a more pronounced global configuration around OS and AI strategies led by UNESCO with its two recommendations approved in that same year. These global policy instruments are not only relevant as additional sites of international governance but also more particularly since they provide common ground to conversations that would otherwise be disconnected. This international expansion also spurs the involvement of middle- and lower-income countries. Without a global and mobilized research community, specific instruments such Article 40 of the DSA that is devised for a particular region would not have so much power and authority across other national governance sites.</w:t>
      </w:r>
    </w:p>
    <w:p w14:paraId="634617D3" w14:textId="0C052CDE" w:rsidR="00A25657" w:rsidRDefault="00000000">
      <w:pPr>
        <w:ind w:left="0" w:right="0" w:firstLine="240"/>
      </w:pPr>
      <w:r>
        <w:t>Policymaking at a national level is essential for the development of data access policies for research. Like other policy innovations, it will require adjustments and redefinitions of governance structures, including reviewing or formulating policies that are critical drivers for implementations in the OS domain, in the AI policies space, and in the complementary strategies that should be considered to address a polycentric issue.</w:t>
      </w:r>
      <w:r w:rsidR="00D42ABE">
        <w:rPr>
          <w:rStyle w:val="EndnoteReference"/>
        </w:rPr>
        <w:endnoteReference w:id="84"/>
      </w:r>
      <w:r>
        <w:t xml:space="preserve"> Some of these policies will become legally coded, but others will be addressed through practices, as has been the case of the expansion of the FAIR and CARE principles for data and the open repository initiatives that rely on organic processes and different timings.</w:t>
      </w:r>
    </w:p>
    <w:p w14:paraId="130CD30B" w14:textId="77777777" w:rsidR="00A25657" w:rsidRDefault="00000000">
      <w:pPr>
        <w:ind w:left="0" w:right="0" w:firstLine="240"/>
      </w:pPr>
      <w:r>
        <w:lastRenderedPageBreak/>
        <w:t>Polycentric governance theorizing proved to be a relevant lens to frame the different sites of power and authority that are embedded in OS and AI policy initiatives and their connections with other initiatives to reframe the current landscape of data control around large platforms. It helps to develop a position around difference and negotiation, rather than centralization of power as the only alternative solution to either Big Tech predominance or governmental control. Polycentricity also embraces the institutional complexity concerning digital data governance, including the political economy of digital data commons, in an era of mass web scraping to train fundamental AI models, which is one of the major contentions in the contemporary debates about the systemic power of large corporations with implications for data protection and intellectual property concerns.</w:t>
      </w:r>
    </w:p>
    <w:p w14:paraId="6E091B38" w14:textId="652850E7" w:rsidR="00A25657" w:rsidRDefault="00000000">
      <w:pPr>
        <w:ind w:left="0" w:right="0" w:firstLine="240"/>
      </w:pPr>
      <w:r>
        <w:t>Two substantive differences between OS and AI national plans stand out in the redefinition of data governance rules. The first is concerned with the conditions for research and how scientists make their own data available, structural access, and the publishing of data. OS and principles such as FAIR and CARE reconfigure the norms and underlying structures of research and data. It has a meta-governance configuration where the norms and practices are subverted to incorporate new conditions ‘about’ research and access to data. This has implications for the wider ecosystem and governance sites. AI strategies, on the other hand, are more inclined to develop a tactical approach towards data concerned with conditions ‘for’ research. The provocation is extended to rethink beyond a framing of OS in relation to science policy</w:t>
      </w:r>
      <w:r w:rsidR="00D42ABE">
        <w:rPr>
          <w:rStyle w:val="EndnoteReference"/>
        </w:rPr>
        <w:endnoteReference w:id="85"/>
      </w:r>
      <w:r>
        <w:t xml:space="preserve"> and to develop a triangular dialogue between OS, science policy, and AI policy to advance access to data for research, among other objectives. This is a vital link where the research community should play an active role in the reconfiguration of norms, practices, and underlying orders about contemporary notions around digital data and knowledge.</w:t>
      </w:r>
    </w:p>
    <w:p w14:paraId="6E662575" w14:textId="77207DBD" w:rsidR="00A25657" w:rsidRDefault="00000000">
      <w:pPr>
        <w:spacing w:after="412"/>
        <w:ind w:left="0" w:right="0" w:firstLine="240"/>
      </w:pPr>
      <w:r>
        <w:t xml:space="preserve">Future work could engage more thoroughly on issues concerning ‘data </w:t>
      </w:r>
      <w:proofErr w:type="gramStart"/>
      <w:r>
        <w:t>access’</w:t>
      </w:r>
      <w:proofErr w:type="gramEnd"/>
      <w:r>
        <w:t xml:space="preserve"> for research from a justice and sustainability lens. The problems concerning access are relevant as they not only encompass a range of dimensions, including data infrastructures, some of which already have polycentric attributions, and their availability, but also capabilities and skills of local communities and epistemic power. The reification of data and datafication processes should also be examined against more thorough philosophical positions concerning the construction of legitimacy of certain types of knowledge, as the introduction to this volume by Jef Ausloos and Siddharth Peter de Souza has highlighted.</w:t>
      </w:r>
      <w:r w:rsidR="00D42ABE">
        <w:rPr>
          <w:rStyle w:val="EndnoteReference"/>
        </w:rPr>
        <w:endnoteReference w:id="86"/>
      </w:r>
      <w:r>
        <w:t xml:space="preserve"> Further studies could also address the different disciplinary stakes on the issue </w:t>
      </w:r>
      <w:r>
        <w:lastRenderedPageBreak/>
        <w:t xml:space="preserve">of access to data for research, including a global majority perspective that situates practices of science and innovation policies. </w:t>
      </w:r>
    </w:p>
    <w:p w14:paraId="5FB7EBEB" w14:textId="77777777" w:rsidR="00A25657" w:rsidRDefault="00000000" w:rsidP="000A7AAA">
      <w:pPr>
        <w:pStyle w:val="Heading2"/>
      </w:pPr>
      <w:r>
        <w:t>Appendix 2A</w:t>
      </w:r>
    </w:p>
    <w:p w14:paraId="2DE27E4C" w14:textId="4E0F2CC7" w:rsidR="00A25657" w:rsidRDefault="00000000">
      <w:pPr>
        <w:spacing w:after="298"/>
        <w:ind w:left="0" w:right="0" w:firstLine="0"/>
      </w:pPr>
      <w:r>
        <w:t>The following public forums and events informed this research through a modality of participant observation: (</w:t>
      </w:r>
      <w:r>
        <w:rPr>
          <w:i/>
        </w:rPr>
        <w:t>a</w:t>
      </w:r>
      <w:r>
        <w:t>) 4 May 2023: virtual discussion organized by UNESCO on the readiness assessment methodology (RAM) published by this organization;</w:t>
      </w:r>
      <w:r w:rsidR="00D42ABE">
        <w:rPr>
          <w:rStyle w:val="EndnoteReference"/>
        </w:rPr>
        <w:endnoteReference w:id="87"/>
      </w:r>
      <w:r>
        <w:t xml:space="preserve"> (</w:t>
      </w:r>
      <w:r>
        <w:rPr>
          <w:i/>
        </w:rPr>
        <w:t>b</w:t>
      </w:r>
      <w:r>
        <w:t>) 10–11 May 2023: workshop convened by the National Endowment for Democracy (NED) (Buenos Aires) as part of a consultation on AI and its impact on democracy and human rights; and (</w:t>
      </w:r>
      <w:r>
        <w:rPr>
          <w:i/>
        </w:rPr>
        <w:t>c</w:t>
      </w:r>
      <w:r>
        <w:t>) 28–30 June 2023: roundtables organized by the Agency for Electronic Government and Information and Knowledge Society (AGESIC), the national agency for digital government of Uruguay, as part of the revision of the national AI strategy. These spaces were nurtured by the presence of policymakers, experts, and advocates from Argentina, Brazil, Egypt, and Uruguay and organizations such as UNESCO and the Development Bank of Latin America and the Caribbean (CAF), and civil society participants from Canada, Poland, the United States, and various countries in Latin America.</w:t>
      </w:r>
    </w:p>
    <w:p w14:paraId="651400F9" w14:textId="77777777" w:rsidR="00A25657" w:rsidRDefault="00000000" w:rsidP="000A7AAA">
      <w:pPr>
        <w:pStyle w:val="Heading3"/>
      </w:pPr>
      <w:r>
        <w:t>Anonymized Interviews</w:t>
      </w:r>
    </w:p>
    <w:p w14:paraId="4B7648B7" w14:textId="77777777" w:rsidR="00A25657" w:rsidRDefault="00000000">
      <w:pPr>
        <w:ind w:left="0" w:right="0" w:firstLine="0"/>
      </w:pPr>
      <w:r>
        <w:t>Senior executive, National Agency for Research and Innovation (ANII), Uruguay (in person), March 2023.</w:t>
      </w:r>
    </w:p>
    <w:p w14:paraId="13D082C7" w14:textId="77777777" w:rsidR="00A25657" w:rsidRDefault="00000000">
      <w:pPr>
        <w:ind w:left="0" w:right="0" w:firstLine="0"/>
      </w:pPr>
      <w:r>
        <w:t>Former advisor to the Ministry of Communications and Information Technology (MCIT), Egypt (virtual), April 2023.</w:t>
      </w:r>
    </w:p>
    <w:p w14:paraId="4135CE28" w14:textId="77777777" w:rsidR="00A25657" w:rsidRDefault="00000000">
      <w:pPr>
        <w:ind w:left="0" w:right="0" w:firstLine="0"/>
      </w:pPr>
      <w:r>
        <w:t>Representative, Latin American digital rights NGO (in person), May 2023.</w:t>
      </w:r>
    </w:p>
    <w:p w14:paraId="4832A168" w14:textId="77777777" w:rsidR="00A25657" w:rsidRDefault="00000000">
      <w:pPr>
        <w:ind w:left="0" w:right="0" w:firstLine="0"/>
      </w:pPr>
      <w:r>
        <w:t>Senior executive, UNESCO, Paris (virtual), May 2023.</w:t>
      </w:r>
    </w:p>
    <w:p w14:paraId="5966FA8E" w14:textId="77777777" w:rsidR="00A25657" w:rsidRDefault="00000000">
      <w:pPr>
        <w:ind w:left="0" w:right="0" w:firstLine="0"/>
      </w:pPr>
      <w:r>
        <w:t>Director, UNESCO regional office (in person), April 2023.</w:t>
      </w:r>
    </w:p>
    <w:p w14:paraId="5EA70961" w14:textId="77777777" w:rsidR="00A25657" w:rsidRDefault="00000000">
      <w:pPr>
        <w:ind w:left="0" w:right="0" w:firstLine="0"/>
      </w:pPr>
      <w:r>
        <w:t>Senior executive, UNESCO, Paris (virtual), May 2023.</w:t>
      </w:r>
    </w:p>
    <w:p w14:paraId="491FA860" w14:textId="77777777" w:rsidR="00A25657" w:rsidRDefault="00000000">
      <w:pPr>
        <w:ind w:left="0" w:right="0" w:firstLine="0"/>
      </w:pPr>
      <w:r>
        <w:t>Representative, AGESIC, Uruguay (in person), May 2023.</w:t>
      </w:r>
    </w:p>
    <w:p w14:paraId="5E8B586B" w14:textId="77777777" w:rsidR="00A25657" w:rsidRDefault="00000000">
      <w:pPr>
        <w:ind w:left="0" w:right="0" w:firstLine="0"/>
      </w:pPr>
      <w:r>
        <w:t>Representative, Ministry of Science and Technology, Argentina (in person), April 2023.</w:t>
      </w:r>
    </w:p>
    <w:p w14:paraId="22CBF024" w14:textId="77777777" w:rsidR="00A25657" w:rsidRDefault="00000000">
      <w:pPr>
        <w:spacing w:after="340"/>
        <w:ind w:left="0" w:right="0" w:firstLine="0"/>
      </w:pPr>
      <w:r>
        <w:t>Secretariat for open data, Argentina (in person), March 2023.</w:t>
      </w:r>
    </w:p>
    <w:p w14:paraId="04C864CE" w14:textId="77777777" w:rsidR="00A25657" w:rsidRDefault="00000000" w:rsidP="000A7AAA">
      <w:pPr>
        <w:pStyle w:val="Heading2"/>
      </w:pPr>
      <w:r>
        <w:t>Notes</w:t>
      </w:r>
    </w:p>
    <w:p w14:paraId="50D25D3F" w14:textId="78B09A84" w:rsidR="00A25657" w:rsidRDefault="00000000" w:rsidP="003A01C4">
      <w:pPr>
        <w:spacing w:after="10" w:line="268" w:lineRule="auto"/>
        <w:ind w:left="0" w:right="0" w:firstLine="0"/>
      </w:pPr>
      <w:r>
        <w:t xml:space="preserve"> </w:t>
      </w:r>
    </w:p>
    <w:sectPr w:rsidR="00A25657">
      <w:headerReference w:type="even" r:id="rId8"/>
      <w:headerReference w:type="default" r:id="rId9"/>
      <w:footerReference w:type="even" r:id="rId10"/>
      <w:footerReference w:type="default" r:id="rId11"/>
      <w:headerReference w:type="first" r:id="rId12"/>
      <w:footerReference w:type="first" r:id="rId13"/>
      <w:pgSz w:w="9480" w:h="13800"/>
      <w:pgMar w:top="1827" w:right="1496" w:bottom="1476" w:left="1500" w:header="720" w:footer="720" w:gutter="0"/>
      <w:pgNumType w:start="2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475D4" w14:textId="77777777" w:rsidR="00CE369E" w:rsidRDefault="00CE369E">
      <w:pPr>
        <w:spacing w:after="0" w:line="240" w:lineRule="auto"/>
      </w:pPr>
      <w:r>
        <w:separator/>
      </w:r>
    </w:p>
  </w:endnote>
  <w:endnote w:type="continuationSeparator" w:id="0">
    <w:p w14:paraId="2BD7A5EB" w14:textId="77777777" w:rsidR="00CE369E" w:rsidRDefault="00CE369E">
      <w:pPr>
        <w:spacing w:after="0" w:line="240" w:lineRule="auto"/>
      </w:pPr>
      <w:r>
        <w:continuationSeparator/>
      </w:r>
    </w:p>
  </w:endnote>
  <w:endnote w:id="1">
    <w:p w14:paraId="0DD7B866" w14:textId="77777777" w:rsidR="005A76E4" w:rsidRDefault="001E1418" w:rsidP="003A01C4">
      <w:pPr>
        <w:ind w:left="0" w:right="0" w:firstLine="0"/>
      </w:pPr>
      <w:r>
        <w:rPr>
          <w:rStyle w:val="EndnoteReference"/>
        </w:rPr>
        <w:endnoteRef/>
      </w:r>
      <w:r>
        <w:t xml:space="preserve"> </w:t>
      </w:r>
      <w:r w:rsidR="005A76E4">
        <w:t xml:space="preserve">O. </w:t>
      </w:r>
      <w:proofErr w:type="spellStart"/>
      <w:r w:rsidR="005A76E4">
        <w:t>Nachtwey</w:t>
      </w:r>
      <w:proofErr w:type="spellEnd"/>
      <w:r w:rsidR="005A76E4">
        <w:t xml:space="preserve"> and T. </w:t>
      </w:r>
      <w:proofErr w:type="spellStart"/>
      <w:r w:rsidR="005A76E4">
        <w:t>Seidl</w:t>
      </w:r>
      <w:proofErr w:type="spellEnd"/>
      <w:r w:rsidR="005A76E4">
        <w:t xml:space="preserve">, ‘The Solutionist Ethic and the Spirit of Digital Capitalism’, 13 March 2020, https://osf.io/preprints/socarxiv/sgjzq (accessed 25 June 2023); Robert </w:t>
      </w:r>
      <w:proofErr w:type="spellStart"/>
      <w:r w:rsidR="005A76E4">
        <w:t>Gorwa</w:t>
      </w:r>
      <w:proofErr w:type="spellEnd"/>
      <w:r w:rsidR="005A76E4">
        <w:t xml:space="preserve">, ‘What Is Platform Governance?’ </w:t>
      </w:r>
      <w:r w:rsidR="005A76E4">
        <w:rPr>
          <w:i/>
        </w:rPr>
        <w:t>Information, Communication and Society</w:t>
      </w:r>
      <w:r w:rsidR="005A76E4">
        <w:t xml:space="preserve"> 22, no. 6, DOI: https://doi.org/10.1080/13691 18X.2019.1573914; S. Zuboff, </w:t>
      </w:r>
      <w:r w:rsidR="005A76E4">
        <w:rPr>
          <w:i/>
        </w:rPr>
        <w:t>The Age of Surveillance Capitalism: The Fight for a Human Future at the New Frontier of Power</w:t>
      </w:r>
      <w:r w:rsidR="005A76E4">
        <w:t xml:space="preserve"> (</w:t>
      </w:r>
      <w:proofErr w:type="spellStart"/>
      <w:r w:rsidR="005A76E4">
        <w:t>PublicAffairs</w:t>
      </w:r>
      <w:proofErr w:type="spellEnd"/>
      <w:r w:rsidR="005A76E4">
        <w:t xml:space="preserve">, 2019); E. Ruppert, E. </w:t>
      </w:r>
      <w:proofErr w:type="spellStart"/>
      <w:r w:rsidR="005A76E4">
        <w:t>Isin</w:t>
      </w:r>
      <w:proofErr w:type="spellEnd"/>
      <w:r w:rsidR="005A76E4">
        <w:t xml:space="preserve">, and D. </w:t>
      </w:r>
      <w:proofErr w:type="spellStart"/>
      <w:r w:rsidR="005A76E4">
        <w:t>Bigo</w:t>
      </w:r>
      <w:proofErr w:type="spellEnd"/>
      <w:r w:rsidR="005A76E4">
        <w:t xml:space="preserve">, ‘Data Politics’, </w:t>
      </w:r>
      <w:r w:rsidR="005A76E4">
        <w:rPr>
          <w:i/>
        </w:rPr>
        <w:t>Big Data and Society</w:t>
      </w:r>
      <w:r w:rsidR="005A76E4">
        <w:t xml:space="preserve"> 4 (2017), </w:t>
      </w:r>
    </w:p>
    <w:p w14:paraId="27C9D50F" w14:textId="77777777" w:rsidR="005A76E4" w:rsidRDefault="005A76E4" w:rsidP="003A01C4">
      <w:pPr>
        <w:ind w:left="0" w:right="0" w:firstLine="0"/>
      </w:pPr>
      <w:r>
        <w:t xml:space="preserve">DOI: https://doi.org/10.1177/2053951717717749; Danah Boyd and K. Crawford, ‘Critical Questions for Big Data: Provocations for a Cultural, Technological, and Scholarly Phenomenon’, </w:t>
      </w:r>
      <w:r w:rsidRPr="003A01C4">
        <w:rPr>
          <w:i/>
        </w:rPr>
        <w:t>Information, Communication and Society</w:t>
      </w:r>
      <w:r>
        <w:t xml:space="preserve"> 15, no. 662 (2012): 662–679.</w:t>
      </w:r>
    </w:p>
    <w:p w14:paraId="777C73D6" w14:textId="04FF562D" w:rsidR="001E1418" w:rsidRPr="005A76E4" w:rsidRDefault="001E1418" w:rsidP="003A01C4">
      <w:pPr>
        <w:pStyle w:val="EndnoteText"/>
        <w:ind w:left="0" w:firstLine="0"/>
      </w:pPr>
    </w:p>
  </w:endnote>
  <w:endnote w:id="2">
    <w:p w14:paraId="27796234" w14:textId="77777777" w:rsidR="005A76E4" w:rsidRDefault="001E1418" w:rsidP="003A01C4">
      <w:pPr>
        <w:ind w:left="0" w:right="0" w:firstLine="0"/>
      </w:pPr>
      <w:r>
        <w:rPr>
          <w:rStyle w:val="EndnoteReference"/>
        </w:rPr>
        <w:endnoteRef/>
      </w:r>
      <w:r>
        <w:t xml:space="preserve"> </w:t>
      </w:r>
      <w:proofErr w:type="spellStart"/>
      <w:r w:rsidR="005A76E4">
        <w:t>Gry</w:t>
      </w:r>
      <w:proofErr w:type="spellEnd"/>
      <w:r w:rsidR="005A76E4">
        <w:t xml:space="preserve"> </w:t>
      </w:r>
      <w:proofErr w:type="spellStart"/>
      <w:r w:rsidR="005A76E4">
        <w:t>Hasselbalch</w:t>
      </w:r>
      <w:proofErr w:type="spellEnd"/>
      <w:r w:rsidR="005A76E4">
        <w:t xml:space="preserve">, </w:t>
      </w:r>
      <w:r w:rsidR="005A76E4">
        <w:rPr>
          <w:i/>
        </w:rPr>
        <w:t>Data Ethics of Power</w:t>
      </w:r>
      <w:r w:rsidR="005A76E4">
        <w:t xml:space="preserve"> (Edward Elgar Publishing, 2021), 2.</w:t>
      </w:r>
    </w:p>
    <w:p w14:paraId="1BAD8935" w14:textId="76B931EA" w:rsidR="001E1418" w:rsidRPr="005A76E4" w:rsidRDefault="001E1418" w:rsidP="003A01C4">
      <w:pPr>
        <w:pStyle w:val="EndnoteText"/>
        <w:ind w:left="0" w:firstLine="0"/>
      </w:pPr>
    </w:p>
  </w:endnote>
  <w:endnote w:id="3">
    <w:p w14:paraId="375B39AE" w14:textId="77777777" w:rsidR="005A76E4" w:rsidRDefault="001E1418" w:rsidP="003A01C4">
      <w:pPr>
        <w:ind w:left="0" w:right="0" w:firstLine="0"/>
      </w:pPr>
      <w:r>
        <w:rPr>
          <w:rStyle w:val="EndnoteReference"/>
        </w:rPr>
        <w:endnoteRef/>
      </w:r>
      <w:r>
        <w:t xml:space="preserve"> </w:t>
      </w:r>
      <w:r w:rsidR="005A76E4">
        <w:t xml:space="preserve">J. </w:t>
      </w:r>
      <w:proofErr w:type="spellStart"/>
      <w:r w:rsidR="005A76E4">
        <w:t>Brase</w:t>
      </w:r>
      <w:proofErr w:type="spellEnd"/>
      <w:r w:rsidR="005A76E4">
        <w:t xml:space="preserve"> and A. Farquhar, ‘Access to Research Data’, </w:t>
      </w:r>
      <w:r w:rsidR="005A76E4">
        <w:rPr>
          <w:i/>
        </w:rPr>
        <w:t>D-Lib Magazine</w:t>
      </w:r>
      <w:r w:rsidR="005A76E4">
        <w:t xml:space="preserve"> 17, nos. 1–2 (2011), http://www.dlib.org/dlib/january11/brase/01brase.html (accessed 3 March 2024); A. Nagaraj, E. Shears, and M. de </w:t>
      </w:r>
      <w:proofErr w:type="spellStart"/>
      <w:r w:rsidR="005A76E4">
        <w:t>Vaan</w:t>
      </w:r>
      <w:proofErr w:type="spellEnd"/>
      <w:r w:rsidR="005A76E4">
        <w:t xml:space="preserve">, ‘Improving Data Access Democratizes and Diversifies Science’, </w:t>
      </w:r>
      <w:r w:rsidR="005A76E4">
        <w:rPr>
          <w:i/>
        </w:rPr>
        <w:t>Proceedings of the National Academy of Sciences</w:t>
      </w:r>
      <w:r w:rsidR="005A76E4">
        <w:t xml:space="preserve"> 23490 (2020), DOI: https://doi.org/10.1073/ pnas.2001682117. </w:t>
      </w:r>
    </w:p>
    <w:p w14:paraId="626BBE19" w14:textId="41C094A3" w:rsidR="001E1418" w:rsidRPr="005A76E4" w:rsidRDefault="001E1418" w:rsidP="003A01C4">
      <w:pPr>
        <w:pStyle w:val="EndnoteText"/>
        <w:ind w:left="0" w:firstLine="0"/>
      </w:pPr>
    </w:p>
  </w:endnote>
  <w:endnote w:id="4">
    <w:p w14:paraId="5FEF7F28" w14:textId="77777777" w:rsidR="005A76E4" w:rsidRDefault="001E1418" w:rsidP="003A01C4">
      <w:pPr>
        <w:ind w:left="0" w:right="0" w:firstLine="0"/>
      </w:pPr>
      <w:r>
        <w:rPr>
          <w:rStyle w:val="EndnoteReference"/>
        </w:rPr>
        <w:endnoteRef/>
      </w:r>
      <w:r>
        <w:t xml:space="preserve"> </w:t>
      </w:r>
      <w:r w:rsidR="005A76E4">
        <w:t xml:space="preserve">S. A. Aaronson, ‘Data Is Dangerous: Comparing the Risks that the United States, Canada and Germany See in Data Troves’, Working Papers, 2020, https://ideas.repec.org//p/gwi/wpaper/2020-5.html (accessed 16 June 2021); Kai-Fu Lee, </w:t>
      </w:r>
      <w:r w:rsidR="005A76E4">
        <w:rPr>
          <w:i/>
        </w:rPr>
        <w:t>AI Superpowers</w:t>
      </w:r>
      <w:r w:rsidR="005A76E4">
        <w:t xml:space="preserve"> (Houghton Mifflin Harcourt, 2018); A. S. </w:t>
      </w:r>
      <w:proofErr w:type="spellStart"/>
      <w:r w:rsidR="005A76E4">
        <w:t>Obendiek</w:t>
      </w:r>
      <w:proofErr w:type="spellEnd"/>
      <w:r w:rsidR="005A76E4">
        <w:t xml:space="preserve">, </w:t>
      </w:r>
      <w:r w:rsidR="005A76E4">
        <w:rPr>
          <w:i/>
        </w:rPr>
        <w:t>Data Governance: Value Orders and Jurisdictional Conflicts</w:t>
      </w:r>
      <w:r w:rsidR="005A76E4">
        <w:t xml:space="preserve"> (Oxford University Press, 2023). </w:t>
      </w:r>
    </w:p>
    <w:p w14:paraId="1B98744E" w14:textId="01EE1AFE" w:rsidR="001E1418" w:rsidRPr="005A76E4" w:rsidRDefault="001E1418" w:rsidP="003A01C4">
      <w:pPr>
        <w:pStyle w:val="EndnoteText"/>
        <w:ind w:left="0" w:firstLine="0"/>
      </w:pPr>
    </w:p>
  </w:endnote>
  <w:endnote w:id="5">
    <w:p w14:paraId="0BFE3C84" w14:textId="77777777" w:rsidR="005A76E4" w:rsidRDefault="001E1418" w:rsidP="003A01C4">
      <w:pPr>
        <w:ind w:left="0" w:right="0" w:firstLine="0"/>
      </w:pPr>
      <w:r>
        <w:rPr>
          <w:rStyle w:val="EndnoteReference"/>
        </w:rPr>
        <w:endnoteRef/>
      </w:r>
      <w:r>
        <w:t xml:space="preserve"> </w:t>
      </w:r>
      <w:proofErr w:type="spellStart"/>
      <w:r w:rsidR="005A76E4">
        <w:t>Benj</w:t>
      </w:r>
      <w:proofErr w:type="spellEnd"/>
      <w:r w:rsidR="005A76E4">
        <w:t xml:space="preserve"> Edwards, ‘Sites Scramble to Block ChatGPT Web Crawler after Instructions Emerge’, </w:t>
      </w:r>
      <w:r w:rsidR="005A76E4">
        <w:rPr>
          <w:i/>
        </w:rPr>
        <w:t xml:space="preserve">Ars </w:t>
      </w:r>
      <w:proofErr w:type="spellStart"/>
      <w:r w:rsidR="005A76E4">
        <w:rPr>
          <w:i/>
        </w:rPr>
        <w:t>Technica</w:t>
      </w:r>
      <w:proofErr w:type="spellEnd"/>
      <w:r w:rsidR="005A76E4">
        <w:t>, 12 August 2023, https://arstechnica. com/information-technology/2023/08/openai-details-how-to-keep-chatgptfrom-gobbling-up-website-data (accessed 12 October 2023); ‘New York Times May Sue OpenAI over Chat GPT Data Scraping’, Yahoo Finance, 12 September 2023, https://finance.yahoo.com/news/york-times-may-sueopenai-150048157.html (accessed 12 October 2023).</w:t>
      </w:r>
    </w:p>
    <w:p w14:paraId="39C8F432" w14:textId="336449AE" w:rsidR="001E1418" w:rsidRPr="005A76E4" w:rsidRDefault="001E1418" w:rsidP="003A01C4">
      <w:pPr>
        <w:pStyle w:val="EndnoteText"/>
        <w:ind w:left="0" w:firstLine="0"/>
      </w:pPr>
    </w:p>
  </w:endnote>
  <w:endnote w:id="6">
    <w:p w14:paraId="1ABC57E1" w14:textId="77777777" w:rsidR="005A76E4" w:rsidRDefault="001E1418" w:rsidP="003A01C4">
      <w:pPr>
        <w:ind w:left="0" w:right="0" w:firstLine="0"/>
      </w:pPr>
      <w:r>
        <w:rPr>
          <w:rStyle w:val="EndnoteReference"/>
        </w:rPr>
        <w:endnoteRef/>
      </w:r>
      <w:r>
        <w:t xml:space="preserve"> </w:t>
      </w:r>
      <w:r w:rsidR="005A76E4">
        <w:t xml:space="preserve">A. Haleem, M. Javaid, and R. P. Singh, ‘An Era of ChatGPT as a Significant Futuristic Support Tool: A Study on Features, Abilities, and Challenges’, </w:t>
      </w:r>
      <w:proofErr w:type="spellStart"/>
      <w:r w:rsidR="005A76E4">
        <w:rPr>
          <w:i/>
        </w:rPr>
        <w:t>BenchCouncil</w:t>
      </w:r>
      <w:proofErr w:type="spellEnd"/>
      <w:r w:rsidR="005A76E4">
        <w:rPr>
          <w:i/>
        </w:rPr>
        <w:t xml:space="preserve"> Transactions on Benchmarks, Standards and Evaluations</w:t>
      </w:r>
      <w:r w:rsidR="005A76E4">
        <w:t xml:space="preserve"> 2, no. 4 (2022), DOI: https://doi.org/10.1016/j.tbench.2023.100089. </w:t>
      </w:r>
    </w:p>
    <w:p w14:paraId="5AD9A3D1" w14:textId="46840192" w:rsidR="001E1418" w:rsidRPr="005A76E4" w:rsidRDefault="001E1418" w:rsidP="003A01C4">
      <w:pPr>
        <w:pStyle w:val="EndnoteText"/>
        <w:ind w:left="0" w:firstLine="0"/>
      </w:pPr>
    </w:p>
  </w:endnote>
  <w:endnote w:id="7">
    <w:p w14:paraId="329900D2" w14:textId="77777777" w:rsidR="005A76E4" w:rsidRDefault="001E1418" w:rsidP="003A01C4">
      <w:pPr>
        <w:ind w:left="0" w:right="0" w:firstLine="0"/>
      </w:pPr>
      <w:r>
        <w:rPr>
          <w:rStyle w:val="EndnoteReference"/>
        </w:rPr>
        <w:endnoteRef/>
      </w:r>
      <w:r>
        <w:t xml:space="preserve"> </w:t>
      </w:r>
      <w:r w:rsidR="005A76E4">
        <w:t xml:space="preserve">J. </w:t>
      </w:r>
      <w:proofErr w:type="spellStart"/>
      <w:r w:rsidR="005A76E4">
        <w:t>Ausloos</w:t>
      </w:r>
      <w:proofErr w:type="spellEnd"/>
      <w:r w:rsidR="005A76E4">
        <w:t xml:space="preserve">, P. </w:t>
      </w:r>
      <w:proofErr w:type="spellStart"/>
      <w:r w:rsidR="005A76E4">
        <w:t>Leerssen</w:t>
      </w:r>
      <w:proofErr w:type="spellEnd"/>
      <w:r w:rsidR="005A76E4">
        <w:t xml:space="preserve">, and </w:t>
      </w:r>
      <w:proofErr w:type="spellStart"/>
      <w:r w:rsidR="005A76E4">
        <w:t>Pim</w:t>
      </w:r>
      <w:proofErr w:type="spellEnd"/>
      <w:r w:rsidR="005A76E4">
        <w:t xml:space="preserve"> ten </w:t>
      </w:r>
      <w:proofErr w:type="spellStart"/>
      <w:r w:rsidR="005A76E4">
        <w:t>Thije</w:t>
      </w:r>
      <w:proofErr w:type="spellEnd"/>
      <w:r w:rsidR="005A76E4">
        <w:t xml:space="preserve">, ‘Operationalizing Research Access in Platform Governance: What to Learn from Other Industries?’ Algorithm Watch, https://algorithmwatch.org/de/wp-content/uploads/2020/06/ GoverningPlatforms_IViR_study_June2020-AlgorithmWatch-2020-06-24. pdf (accessed 2 February 2023). </w:t>
      </w:r>
    </w:p>
    <w:p w14:paraId="644D26B1" w14:textId="32C152BB" w:rsidR="001E1418" w:rsidRPr="005A76E4" w:rsidRDefault="001E1418" w:rsidP="003A01C4">
      <w:pPr>
        <w:pStyle w:val="EndnoteText"/>
        <w:ind w:left="0" w:firstLine="0"/>
      </w:pPr>
    </w:p>
  </w:endnote>
  <w:endnote w:id="8">
    <w:p w14:paraId="2D55D5E0" w14:textId="77777777" w:rsidR="005A76E4" w:rsidRDefault="001E1418" w:rsidP="003A01C4">
      <w:pPr>
        <w:ind w:left="0" w:right="0" w:firstLine="0"/>
      </w:pPr>
      <w:r>
        <w:rPr>
          <w:rStyle w:val="EndnoteReference"/>
        </w:rPr>
        <w:endnoteRef/>
      </w:r>
      <w:r>
        <w:t xml:space="preserve"> </w:t>
      </w:r>
      <w:r w:rsidR="005A76E4">
        <w:t xml:space="preserve">J. Black, ‘Constructing and Contesting Legitimacy and Accountability in Polycentric Regulatory Regimes’, </w:t>
      </w:r>
      <w:r w:rsidR="005A76E4">
        <w:rPr>
          <w:i/>
        </w:rPr>
        <w:t>Regulation and Governance</w:t>
      </w:r>
      <w:r w:rsidR="005A76E4">
        <w:t xml:space="preserve"> 137, no. 2 (2008): 137–164, DOI: https://doi.org/10.1111/j.1748-5991.2008.00034.x.</w:t>
      </w:r>
    </w:p>
    <w:p w14:paraId="0502F138" w14:textId="50FABCEE" w:rsidR="001E1418" w:rsidRPr="005A76E4" w:rsidRDefault="001E1418" w:rsidP="003A01C4">
      <w:pPr>
        <w:pStyle w:val="EndnoteText"/>
        <w:ind w:left="0" w:firstLine="0"/>
        <w:rPr>
          <w:lang w:val="en-US"/>
        </w:rPr>
      </w:pPr>
    </w:p>
  </w:endnote>
  <w:endnote w:id="9">
    <w:p w14:paraId="6E8DE376" w14:textId="77777777" w:rsidR="005A76E4" w:rsidRDefault="001E1418" w:rsidP="003A01C4">
      <w:pPr>
        <w:ind w:left="0" w:right="0" w:firstLine="0"/>
      </w:pPr>
      <w:r>
        <w:rPr>
          <w:rStyle w:val="EndnoteReference"/>
        </w:rPr>
        <w:endnoteRef/>
      </w:r>
      <w:r>
        <w:t xml:space="preserve"> </w:t>
      </w:r>
      <w:r w:rsidR="005A76E4">
        <w:t xml:space="preserve">L. Taylor, ‘What Is Data Justice? The Case for Connecting Digital Rights and Freedoms Globally’, </w:t>
      </w:r>
      <w:r w:rsidR="005A76E4">
        <w:rPr>
          <w:i/>
        </w:rPr>
        <w:t>Big Data and Society</w:t>
      </w:r>
      <w:r w:rsidR="005A76E4">
        <w:t xml:space="preserve"> 4, no. 2 (2017), DOI: https:// doi.org/10.1177/2053951717736335; Joan Lopez Solano, Aaron Martin, Siddharth de Souza, and Linnet Taylor, </w:t>
      </w:r>
      <w:r w:rsidR="005A76E4">
        <w:rPr>
          <w:i/>
        </w:rPr>
        <w:t>Governing Data and Artificial Intelligence for All: Models for Sustainable and Just Data Governance</w:t>
      </w:r>
      <w:r w:rsidR="005A76E4">
        <w:t xml:space="preserve"> (European Parliament, 2022).</w:t>
      </w:r>
    </w:p>
    <w:p w14:paraId="349170A8" w14:textId="545C17AF" w:rsidR="001E1418" w:rsidRPr="005A76E4" w:rsidRDefault="001E1418" w:rsidP="003A01C4">
      <w:pPr>
        <w:pStyle w:val="EndnoteText"/>
        <w:ind w:left="0" w:firstLine="0"/>
      </w:pPr>
    </w:p>
  </w:endnote>
  <w:endnote w:id="10">
    <w:p w14:paraId="46C4BDFF" w14:textId="77777777" w:rsidR="005A76E4" w:rsidRDefault="001E1418" w:rsidP="003A01C4">
      <w:pPr>
        <w:ind w:left="0" w:right="0" w:firstLine="0"/>
      </w:pPr>
      <w:r>
        <w:rPr>
          <w:rStyle w:val="EndnoteReference"/>
        </w:rPr>
        <w:endnoteRef/>
      </w:r>
      <w:r>
        <w:t xml:space="preserve"> </w:t>
      </w:r>
      <w:r w:rsidR="005A76E4">
        <w:t xml:space="preserve">M. </w:t>
      </w:r>
      <w:proofErr w:type="spellStart"/>
      <w:r w:rsidR="005A76E4">
        <w:t>Husovec</w:t>
      </w:r>
      <w:proofErr w:type="spellEnd"/>
      <w:r w:rsidR="005A76E4">
        <w:t>, ‘How to Facilitate Data Access under the Digital Services Act’, 19 May 2023, https://papers.ssrn.com/abstract=4452940 (accessed 8 July 2023).</w:t>
      </w:r>
    </w:p>
    <w:p w14:paraId="241184DC" w14:textId="04B9B2F6" w:rsidR="001E1418" w:rsidRPr="005A76E4" w:rsidRDefault="001E1418" w:rsidP="003A01C4">
      <w:pPr>
        <w:pStyle w:val="EndnoteText"/>
        <w:ind w:left="0" w:firstLine="0"/>
      </w:pPr>
    </w:p>
  </w:endnote>
  <w:endnote w:id="11">
    <w:p w14:paraId="76F877AE" w14:textId="77777777" w:rsidR="005A76E4" w:rsidRDefault="001E1418" w:rsidP="003A01C4">
      <w:pPr>
        <w:ind w:left="0" w:right="0" w:firstLine="0"/>
      </w:pPr>
      <w:r>
        <w:rPr>
          <w:rStyle w:val="EndnoteReference"/>
        </w:rPr>
        <w:endnoteRef/>
      </w:r>
      <w:r>
        <w:t xml:space="preserve"> </w:t>
      </w:r>
      <w:r w:rsidR="005A76E4">
        <w:t xml:space="preserve">A. J. Carrillo and M. Jackson, ‘Follow the Leader? A Comparative Law Study of the EU’s General Data Protection Regulation’s Impact in Latin America’, </w:t>
      </w:r>
      <w:r w:rsidR="005A76E4">
        <w:rPr>
          <w:i/>
        </w:rPr>
        <w:t>Vienna Journal on International Constitutional Law (ICL Journal)</w:t>
      </w:r>
      <w:r w:rsidR="005A76E4">
        <w:t xml:space="preserve"> 177, no. 16 (2022): 177–262, DOI: https://doi.org/10.1515/icl-2021-0037; T. M. Bueno and R. G. Canaan, ‘The Brussels Effect in Brazil: Analysing the Impact of the EU Digital Services Act on the Discussion Surrounding the Fake News Bill’, </w:t>
      </w:r>
      <w:r w:rsidR="005A76E4">
        <w:rPr>
          <w:i/>
        </w:rPr>
        <w:t>Telecommunications Policy</w:t>
      </w:r>
      <w:r w:rsidR="005A76E4">
        <w:t xml:space="preserve"> 48, no. 5 (2024), DOI: https:// doi.org/10.1016/j.telpol.2024.102757. </w:t>
      </w:r>
    </w:p>
    <w:p w14:paraId="3319C25E" w14:textId="35144785" w:rsidR="001E1418" w:rsidRPr="005A76E4" w:rsidRDefault="001E1418" w:rsidP="003A01C4">
      <w:pPr>
        <w:pStyle w:val="EndnoteText"/>
        <w:ind w:left="0" w:firstLine="0"/>
      </w:pPr>
    </w:p>
  </w:endnote>
  <w:endnote w:id="12">
    <w:p w14:paraId="0174F45F" w14:textId="77777777" w:rsidR="005A76E4" w:rsidRDefault="001E1418" w:rsidP="003A01C4">
      <w:pPr>
        <w:ind w:left="0" w:right="0" w:firstLine="0"/>
      </w:pPr>
      <w:r>
        <w:rPr>
          <w:rStyle w:val="EndnoteReference"/>
        </w:rPr>
        <w:endnoteRef/>
      </w:r>
      <w:r>
        <w:t xml:space="preserve"> </w:t>
      </w:r>
      <w:r w:rsidR="005A76E4">
        <w:t xml:space="preserve">E. G. </w:t>
      </w:r>
      <w:proofErr w:type="spellStart"/>
      <w:r w:rsidR="005A76E4">
        <w:t>Pacchioni</w:t>
      </w:r>
      <w:proofErr w:type="spellEnd"/>
      <w:r w:rsidR="005A76E4">
        <w:t xml:space="preserve">, W. Maloney, and X. </w:t>
      </w:r>
      <w:proofErr w:type="spellStart"/>
      <w:r w:rsidR="005A76E4">
        <w:t>Cirera</w:t>
      </w:r>
      <w:proofErr w:type="spellEnd"/>
      <w:r w:rsidR="005A76E4">
        <w:t xml:space="preserve">, ‘Why Poor Countries Invest Too Little in R&amp;D’, Centre for Economic Policy Research (CEPR), 29 November 2017, https://cepr.org/voxeu/columns/why-poor-countries-invest-too-littlerd (accessed 4 June 2023). </w:t>
      </w:r>
    </w:p>
    <w:p w14:paraId="5650BA06" w14:textId="7ECF82FA" w:rsidR="001E1418" w:rsidRPr="005A76E4" w:rsidRDefault="001E1418" w:rsidP="003A01C4">
      <w:pPr>
        <w:pStyle w:val="EndnoteText"/>
        <w:ind w:left="0" w:firstLine="0"/>
      </w:pPr>
    </w:p>
  </w:endnote>
  <w:endnote w:id="13">
    <w:p w14:paraId="5B2B1FA1" w14:textId="77777777" w:rsidR="005A76E4" w:rsidRDefault="001E1418" w:rsidP="003A01C4">
      <w:pPr>
        <w:ind w:left="0" w:right="0" w:firstLine="0"/>
      </w:pPr>
      <w:r>
        <w:rPr>
          <w:rStyle w:val="EndnoteReference"/>
        </w:rPr>
        <w:endnoteRef/>
      </w:r>
      <w:r>
        <w:t xml:space="preserve"> </w:t>
      </w:r>
      <w:r w:rsidR="005A76E4">
        <w:t xml:space="preserve">Frank </w:t>
      </w:r>
      <w:proofErr w:type="spellStart"/>
      <w:r w:rsidR="005A76E4">
        <w:t>Gadinger</w:t>
      </w:r>
      <w:proofErr w:type="spellEnd"/>
      <w:r w:rsidR="005A76E4">
        <w:t xml:space="preserve"> and Jan </w:t>
      </w:r>
      <w:proofErr w:type="spellStart"/>
      <w:r w:rsidR="005A76E4">
        <w:t>Aart</w:t>
      </w:r>
      <w:proofErr w:type="spellEnd"/>
      <w:r w:rsidR="005A76E4">
        <w:t xml:space="preserve"> Scholte, </w:t>
      </w:r>
      <w:r w:rsidR="005A76E4">
        <w:rPr>
          <w:i/>
        </w:rPr>
        <w:t>Polycentrism: How Governing Works Today</w:t>
      </w:r>
      <w:r w:rsidR="005A76E4">
        <w:t xml:space="preserve"> (Oxford University Press, 2023). </w:t>
      </w:r>
    </w:p>
    <w:p w14:paraId="0B1349A6" w14:textId="206944D3" w:rsidR="001E1418" w:rsidRPr="005A76E4" w:rsidRDefault="001E1418" w:rsidP="003A01C4">
      <w:pPr>
        <w:pStyle w:val="EndnoteText"/>
        <w:ind w:left="0" w:firstLine="0"/>
      </w:pPr>
    </w:p>
  </w:endnote>
  <w:endnote w:id="14">
    <w:p w14:paraId="595EE952" w14:textId="77777777" w:rsidR="005A76E4" w:rsidRDefault="001E1418" w:rsidP="003A01C4">
      <w:pPr>
        <w:ind w:left="0" w:right="0" w:firstLine="0"/>
      </w:pPr>
      <w:r>
        <w:rPr>
          <w:rStyle w:val="EndnoteReference"/>
        </w:rPr>
        <w:endnoteRef/>
      </w:r>
      <w:r>
        <w:t xml:space="preserve"> </w:t>
      </w:r>
      <w:r w:rsidR="005A76E4">
        <w:t xml:space="preserve">Lisa </w:t>
      </w:r>
      <w:proofErr w:type="spellStart"/>
      <w:r w:rsidR="005A76E4">
        <w:t>Gitelman</w:t>
      </w:r>
      <w:proofErr w:type="spellEnd"/>
      <w:r w:rsidR="005A76E4">
        <w:t xml:space="preserve"> (ed.), </w:t>
      </w:r>
      <w:r w:rsidR="005A76E4">
        <w:rPr>
          <w:i/>
        </w:rPr>
        <w:t>‘Raw Data’ Is an Oxymoron</w:t>
      </w:r>
      <w:r w:rsidR="005A76E4">
        <w:t xml:space="preserve"> (MIT Press, 2013). </w:t>
      </w:r>
    </w:p>
    <w:p w14:paraId="1C327B46" w14:textId="2929C7BB" w:rsidR="001E1418" w:rsidRPr="005A76E4" w:rsidRDefault="001E1418" w:rsidP="003A01C4">
      <w:pPr>
        <w:pStyle w:val="EndnoteText"/>
        <w:ind w:left="0" w:firstLine="0"/>
      </w:pPr>
    </w:p>
  </w:endnote>
  <w:endnote w:id="15">
    <w:p w14:paraId="7B2B68A5" w14:textId="77777777" w:rsidR="005A76E4" w:rsidRDefault="001E1418" w:rsidP="003A01C4">
      <w:pPr>
        <w:ind w:left="0" w:right="0" w:firstLine="0"/>
      </w:pPr>
      <w:r>
        <w:rPr>
          <w:rStyle w:val="EndnoteReference"/>
        </w:rPr>
        <w:endnoteRef/>
      </w:r>
      <w:r>
        <w:t xml:space="preserve"> </w:t>
      </w:r>
      <w:r w:rsidR="005A76E4">
        <w:t xml:space="preserve">Joan López, Aaron Martin, Franklyn </w:t>
      </w:r>
      <w:proofErr w:type="spellStart"/>
      <w:r w:rsidR="005A76E4">
        <w:t>Ohai</w:t>
      </w:r>
      <w:proofErr w:type="spellEnd"/>
      <w:r w:rsidR="005A76E4">
        <w:t>, Siddharth Peter De Souza, and Linnet Taylor, ‘Digital Disruption or Crisis Capitalism? Technology, Power and the Pandemic’, Global Data Justice, 11 May 2022, https:// globaldatajustice.org/</w:t>
      </w:r>
      <w:proofErr w:type="spellStart"/>
      <w:r w:rsidR="005A76E4">
        <w:t>gdj</w:t>
      </w:r>
      <w:proofErr w:type="spellEnd"/>
      <w:r w:rsidR="005A76E4">
        <w:t xml:space="preserve">/2649 (accessed 8 June 2023). </w:t>
      </w:r>
    </w:p>
    <w:p w14:paraId="00865630" w14:textId="4B5A7C00" w:rsidR="001E1418" w:rsidRPr="005A76E4" w:rsidRDefault="001E1418" w:rsidP="003A01C4">
      <w:pPr>
        <w:pStyle w:val="EndnoteText"/>
        <w:ind w:left="0" w:firstLine="0"/>
      </w:pPr>
    </w:p>
  </w:endnote>
  <w:endnote w:id="16">
    <w:p w14:paraId="76F3F770" w14:textId="77777777" w:rsidR="005A76E4" w:rsidRDefault="001E1418" w:rsidP="003A01C4">
      <w:pPr>
        <w:ind w:left="0" w:right="0" w:firstLine="0"/>
      </w:pPr>
      <w:r>
        <w:rPr>
          <w:rStyle w:val="EndnoteReference"/>
        </w:rPr>
        <w:endnoteRef/>
      </w:r>
      <w:r>
        <w:t xml:space="preserve"> </w:t>
      </w:r>
      <w:r w:rsidR="005A76E4">
        <w:t xml:space="preserve">K. Crawford, ‘Data: From the Atlas of AI’, Missing Links in AI Governance, UNESCO, 2021, https://www.unesco.org/en/articles/missing-links-aigovernance (accessed 6 June 2023). </w:t>
      </w:r>
    </w:p>
    <w:p w14:paraId="0F2A6BE7" w14:textId="0868773B" w:rsidR="001E1418" w:rsidRPr="005A76E4" w:rsidRDefault="001E1418" w:rsidP="003A01C4">
      <w:pPr>
        <w:pStyle w:val="EndnoteText"/>
        <w:ind w:left="0" w:firstLine="0"/>
      </w:pPr>
    </w:p>
  </w:endnote>
  <w:endnote w:id="17">
    <w:p w14:paraId="697096B8" w14:textId="77777777" w:rsidR="005A76E4" w:rsidRDefault="001E1418" w:rsidP="003A01C4">
      <w:pPr>
        <w:ind w:left="0" w:right="0" w:firstLine="0"/>
      </w:pPr>
      <w:r>
        <w:rPr>
          <w:rStyle w:val="EndnoteReference"/>
        </w:rPr>
        <w:endnoteRef/>
      </w:r>
      <w:r>
        <w:t xml:space="preserve"> </w:t>
      </w:r>
      <w:r w:rsidR="005A76E4">
        <w:t xml:space="preserve">T. </w:t>
      </w:r>
      <w:proofErr w:type="spellStart"/>
      <w:r w:rsidR="005A76E4">
        <w:t>Boellstorff</w:t>
      </w:r>
      <w:proofErr w:type="spellEnd"/>
      <w:r w:rsidR="005A76E4">
        <w:t xml:space="preserve">, ‘Making Big Data, in Theory’, </w:t>
      </w:r>
      <w:r w:rsidR="005A76E4">
        <w:rPr>
          <w:i/>
        </w:rPr>
        <w:t>First Monday</w:t>
      </w:r>
      <w:r w:rsidR="005A76E4">
        <w:t xml:space="preserve"> 18, no. 10 (2013), DOI: https://doi.org/10.5210/fm.v18i10.4869; J. van Dijck, D. </w:t>
      </w:r>
      <w:proofErr w:type="spellStart"/>
      <w:r w:rsidR="005A76E4">
        <w:t>Nieborg</w:t>
      </w:r>
      <w:proofErr w:type="spellEnd"/>
      <w:r w:rsidR="005A76E4">
        <w:t xml:space="preserve">, and T. </w:t>
      </w:r>
      <w:proofErr w:type="spellStart"/>
      <w:r w:rsidR="005A76E4">
        <w:t>Poell</w:t>
      </w:r>
      <w:proofErr w:type="spellEnd"/>
      <w:r w:rsidR="005A76E4">
        <w:t xml:space="preserve">, ‘Reframing Platform Power’, </w:t>
      </w:r>
      <w:r w:rsidR="005A76E4">
        <w:rPr>
          <w:i/>
        </w:rPr>
        <w:t xml:space="preserve">Internet Policy Review </w:t>
      </w:r>
      <w:r w:rsidR="005A76E4">
        <w:t xml:space="preserve">8 (2019), https://policyreview.info/node/1414 (accessed 13 November 2022); Zuboff, </w:t>
      </w:r>
      <w:r w:rsidR="005A76E4">
        <w:rPr>
          <w:i/>
        </w:rPr>
        <w:t>The Age of Surveillance Capitalism</w:t>
      </w:r>
      <w:r w:rsidR="005A76E4">
        <w:t xml:space="preserve">; S. Baack, ‘Datafication </w:t>
      </w:r>
    </w:p>
    <w:p w14:paraId="1F52FE04" w14:textId="77777777" w:rsidR="005A76E4" w:rsidRDefault="005A76E4" w:rsidP="003A01C4">
      <w:pPr>
        <w:ind w:left="0" w:right="0" w:firstLine="0"/>
      </w:pPr>
      <w:r>
        <w:t xml:space="preserve">and Empowerment: How the Open Data Movement Re-Articulates Notions of Democracy, Participation, and Journalism’, </w:t>
      </w:r>
      <w:r w:rsidRPr="003A01C4">
        <w:rPr>
          <w:i/>
        </w:rPr>
        <w:t>Big Data and Society</w:t>
      </w:r>
      <w:r>
        <w:t xml:space="preserve"> 2, no. 2 (2015), DOI: https://doi.org/10.1177/2053951715594634. </w:t>
      </w:r>
    </w:p>
    <w:p w14:paraId="535B0824" w14:textId="4DE7ABE1" w:rsidR="001E1418" w:rsidRPr="005A76E4" w:rsidRDefault="001E1418" w:rsidP="003A01C4">
      <w:pPr>
        <w:pStyle w:val="EndnoteText"/>
        <w:ind w:left="0" w:firstLine="0"/>
        <w:rPr>
          <w:lang w:val="en-US"/>
        </w:rPr>
      </w:pPr>
    </w:p>
  </w:endnote>
  <w:endnote w:id="18">
    <w:p w14:paraId="57BC4EB0" w14:textId="77777777" w:rsidR="005A76E4" w:rsidRDefault="001E1418" w:rsidP="003A01C4">
      <w:pPr>
        <w:ind w:left="0" w:right="0" w:firstLine="0"/>
      </w:pPr>
      <w:r>
        <w:rPr>
          <w:rStyle w:val="EndnoteReference"/>
        </w:rPr>
        <w:endnoteRef/>
      </w:r>
      <w:r>
        <w:t xml:space="preserve"> </w:t>
      </w:r>
      <w:r w:rsidR="005A76E4">
        <w:t xml:space="preserve">UNESCO, ‘Recommendation on the Ethics of Artificial Intelligence: UNESCO </w:t>
      </w:r>
      <w:proofErr w:type="spellStart"/>
      <w:r w:rsidR="005A76E4">
        <w:t>Biblioteca</w:t>
      </w:r>
      <w:proofErr w:type="spellEnd"/>
      <w:r w:rsidR="005A76E4">
        <w:t xml:space="preserve"> Digital’, 2021, https://unesdoc.unesco.org/ark:/48223/ pf0000380455 (accessed 10 April 2023).</w:t>
      </w:r>
    </w:p>
    <w:p w14:paraId="707DC487" w14:textId="6E238BA7" w:rsidR="001E1418" w:rsidRPr="005A76E4" w:rsidRDefault="001E1418" w:rsidP="003A01C4">
      <w:pPr>
        <w:pStyle w:val="EndnoteText"/>
        <w:ind w:left="0" w:firstLine="0"/>
      </w:pPr>
    </w:p>
  </w:endnote>
  <w:endnote w:id="19">
    <w:p w14:paraId="2186100A" w14:textId="77777777" w:rsidR="005A76E4" w:rsidRDefault="001E1418" w:rsidP="003A01C4">
      <w:pPr>
        <w:ind w:left="0" w:right="0" w:firstLine="0"/>
      </w:pPr>
      <w:r>
        <w:rPr>
          <w:rStyle w:val="EndnoteReference"/>
        </w:rPr>
        <w:endnoteRef/>
      </w:r>
      <w:r>
        <w:t xml:space="preserve"> </w:t>
      </w:r>
      <w:proofErr w:type="spellStart"/>
      <w:r w:rsidR="005A76E4">
        <w:t>Índice</w:t>
      </w:r>
      <w:proofErr w:type="spellEnd"/>
      <w:r w:rsidR="005A76E4">
        <w:t xml:space="preserve"> </w:t>
      </w:r>
      <w:proofErr w:type="spellStart"/>
      <w:r w:rsidR="005A76E4">
        <w:t>Latinoamericano</w:t>
      </w:r>
      <w:proofErr w:type="spellEnd"/>
      <w:r w:rsidR="005A76E4">
        <w:t xml:space="preserve"> de </w:t>
      </w:r>
      <w:proofErr w:type="spellStart"/>
      <w:r w:rsidR="005A76E4">
        <w:t>Inteligencia</w:t>
      </w:r>
      <w:proofErr w:type="spellEnd"/>
      <w:r w:rsidR="005A76E4">
        <w:t xml:space="preserve"> Artificial (ILIA), ‘</w:t>
      </w:r>
      <w:proofErr w:type="spellStart"/>
      <w:r w:rsidR="005A76E4">
        <w:t>Índice</w:t>
      </w:r>
      <w:proofErr w:type="spellEnd"/>
      <w:r w:rsidR="005A76E4">
        <w:t xml:space="preserve"> </w:t>
      </w:r>
      <w:proofErr w:type="spellStart"/>
      <w:r w:rsidR="005A76E4">
        <w:t>Latinoamericano</w:t>
      </w:r>
      <w:proofErr w:type="spellEnd"/>
      <w:r w:rsidR="005A76E4">
        <w:t xml:space="preserve"> de </w:t>
      </w:r>
      <w:proofErr w:type="spellStart"/>
      <w:r w:rsidR="005A76E4">
        <w:t>Inteligencia</w:t>
      </w:r>
      <w:proofErr w:type="spellEnd"/>
      <w:r w:rsidR="005A76E4">
        <w:t xml:space="preserve"> Artificial’ (ILIA, 2023). </w:t>
      </w:r>
    </w:p>
    <w:p w14:paraId="67F33146" w14:textId="2F220AFA" w:rsidR="001E1418" w:rsidRPr="001E1418" w:rsidRDefault="001E1418" w:rsidP="003A01C4">
      <w:pPr>
        <w:pStyle w:val="EndnoteText"/>
        <w:ind w:left="0" w:firstLine="0"/>
        <w:rPr>
          <w:lang w:val="pl-PL"/>
        </w:rPr>
      </w:pPr>
    </w:p>
  </w:endnote>
  <w:endnote w:id="20">
    <w:p w14:paraId="02F9AE2F" w14:textId="77777777" w:rsidR="005A76E4" w:rsidRPr="005A76E4" w:rsidRDefault="001E1418" w:rsidP="003A01C4">
      <w:pPr>
        <w:ind w:left="0" w:right="0" w:firstLine="0"/>
        <w:rPr>
          <w:lang w:val="pl-PL"/>
        </w:rPr>
      </w:pPr>
      <w:r>
        <w:rPr>
          <w:rStyle w:val="EndnoteReference"/>
        </w:rPr>
        <w:endnoteRef/>
      </w:r>
      <w:r w:rsidRPr="005A76E4">
        <w:rPr>
          <w:lang w:val="pl-PL"/>
        </w:rPr>
        <w:t xml:space="preserve"> </w:t>
      </w:r>
      <w:r w:rsidR="005A76E4" w:rsidRPr="005A76E4">
        <w:rPr>
          <w:lang w:val="pl-PL"/>
        </w:rPr>
        <w:t xml:space="preserve">Maria </w:t>
      </w:r>
      <w:proofErr w:type="spellStart"/>
      <w:r w:rsidR="005A76E4" w:rsidRPr="005A76E4">
        <w:rPr>
          <w:lang w:val="pl-PL"/>
        </w:rPr>
        <w:t>Koinova</w:t>
      </w:r>
      <w:proofErr w:type="spellEnd"/>
      <w:r w:rsidR="005A76E4" w:rsidRPr="005A76E4">
        <w:rPr>
          <w:lang w:val="pl-PL"/>
        </w:rPr>
        <w:t xml:space="preserve">, </w:t>
      </w:r>
      <w:proofErr w:type="spellStart"/>
      <w:r w:rsidR="005A76E4" w:rsidRPr="005A76E4">
        <w:rPr>
          <w:lang w:val="pl-PL"/>
        </w:rPr>
        <w:t>Maryam</w:t>
      </w:r>
      <w:proofErr w:type="spellEnd"/>
      <w:r w:rsidR="005A76E4" w:rsidRPr="005A76E4">
        <w:rPr>
          <w:lang w:val="pl-PL"/>
        </w:rPr>
        <w:t xml:space="preserve"> </w:t>
      </w:r>
      <w:proofErr w:type="spellStart"/>
      <w:r w:rsidR="005A76E4" w:rsidRPr="005A76E4">
        <w:rPr>
          <w:lang w:val="pl-PL"/>
        </w:rPr>
        <w:t>Zarnegar</w:t>
      </w:r>
      <w:proofErr w:type="spellEnd"/>
      <w:r w:rsidR="005A76E4" w:rsidRPr="005A76E4">
        <w:rPr>
          <w:lang w:val="pl-PL"/>
        </w:rPr>
        <w:t xml:space="preserve"> </w:t>
      </w:r>
      <w:proofErr w:type="spellStart"/>
      <w:r w:rsidR="005A76E4" w:rsidRPr="005A76E4">
        <w:rPr>
          <w:lang w:val="pl-PL"/>
        </w:rPr>
        <w:t>Deloffre</w:t>
      </w:r>
      <w:proofErr w:type="spellEnd"/>
      <w:r w:rsidR="005A76E4" w:rsidRPr="005A76E4">
        <w:rPr>
          <w:lang w:val="pl-PL"/>
        </w:rPr>
        <w:t xml:space="preserve">, Frank </w:t>
      </w:r>
      <w:proofErr w:type="spellStart"/>
      <w:r w:rsidR="005A76E4" w:rsidRPr="005A76E4">
        <w:rPr>
          <w:lang w:val="pl-PL"/>
        </w:rPr>
        <w:t>Gadinger</w:t>
      </w:r>
      <w:proofErr w:type="spellEnd"/>
      <w:r w:rsidR="005A76E4" w:rsidRPr="005A76E4">
        <w:rPr>
          <w:lang w:val="pl-PL"/>
        </w:rPr>
        <w:t xml:space="preserve">, </w:t>
      </w:r>
      <w:proofErr w:type="spellStart"/>
      <w:r w:rsidR="005A76E4" w:rsidRPr="005A76E4">
        <w:rPr>
          <w:lang w:val="pl-PL"/>
        </w:rPr>
        <w:t>Zeynep</w:t>
      </w:r>
      <w:proofErr w:type="spellEnd"/>
      <w:r w:rsidR="005A76E4" w:rsidRPr="005A76E4">
        <w:rPr>
          <w:lang w:val="pl-PL"/>
        </w:rPr>
        <w:t xml:space="preserve"> </w:t>
      </w:r>
      <w:proofErr w:type="spellStart"/>
      <w:r w:rsidR="005A76E4" w:rsidRPr="005A76E4">
        <w:rPr>
          <w:lang w:val="pl-PL"/>
        </w:rPr>
        <w:t>Sahin</w:t>
      </w:r>
      <w:proofErr w:type="spellEnd"/>
      <w:r w:rsidR="005A76E4" w:rsidRPr="005A76E4">
        <w:rPr>
          <w:lang w:val="pl-PL"/>
        </w:rPr>
        <w:t xml:space="preserve"> </w:t>
      </w:r>
      <w:proofErr w:type="spellStart"/>
      <w:r w:rsidR="005A76E4" w:rsidRPr="005A76E4">
        <w:rPr>
          <w:lang w:val="pl-PL"/>
        </w:rPr>
        <w:t>Mencutek</w:t>
      </w:r>
      <w:proofErr w:type="spellEnd"/>
      <w:r w:rsidR="005A76E4" w:rsidRPr="005A76E4">
        <w:rPr>
          <w:lang w:val="pl-PL"/>
        </w:rPr>
        <w:t xml:space="preserve">, Jan </w:t>
      </w:r>
      <w:proofErr w:type="spellStart"/>
      <w:r w:rsidR="005A76E4" w:rsidRPr="005A76E4">
        <w:rPr>
          <w:lang w:val="pl-PL"/>
        </w:rPr>
        <w:t>Aart</w:t>
      </w:r>
      <w:proofErr w:type="spellEnd"/>
      <w:r w:rsidR="005A76E4" w:rsidRPr="005A76E4">
        <w:rPr>
          <w:lang w:val="pl-PL"/>
        </w:rPr>
        <w:t xml:space="preserve"> </w:t>
      </w:r>
      <w:proofErr w:type="spellStart"/>
      <w:r w:rsidR="005A76E4" w:rsidRPr="005A76E4">
        <w:rPr>
          <w:lang w:val="pl-PL"/>
        </w:rPr>
        <w:t>Scholte</w:t>
      </w:r>
      <w:proofErr w:type="spellEnd"/>
      <w:r w:rsidR="005A76E4" w:rsidRPr="005A76E4">
        <w:rPr>
          <w:lang w:val="pl-PL"/>
        </w:rPr>
        <w:t xml:space="preserve">, and </w:t>
      </w:r>
      <w:proofErr w:type="spellStart"/>
      <w:r w:rsidR="005A76E4" w:rsidRPr="005A76E4">
        <w:rPr>
          <w:lang w:val="pl-PL"/>
        </w:rPr>
        <w:t>Jens</w:t>
      </w:r>
      <w:proofErr w:type="spellEnd"/>
      <w:r w:rsidR="005A76E4" w:rsidRPr="005A76E4">
        <w:rPr>
          <w:lang w:val="pl-PL"/>
        </w:rPr>
        <w:t xml:space="preserve"> </w:t>
      </w:r>
      <w:proofErr w:type="spellStart"/>
      <w:r w:rsidR="005A76E4" w:rsidRPr="005A76E4">
        <w:rPr>
          <w:lang w:val="pl-PL"/>
        </w:rPr>
        <w:t>Steffek</w:t>
      </w:r>
      <w:proofErr w:type="spellEnd"/>
      <w:r w:rsidR="005A76E4" w:rsidRPr="005A76E4">
        <w:rPr>
          <w:lang w:val="pl-PL"/>
        </w:rPr>
        <w:t>, ‘</w:t>
      </w:r>
      <w:proofErr w:type="spellStart"/>
      <w:r w:rsidR="005A76E4" w:rsidRPr="005A76E4">
        <w:rPr>
          <w:lang w:val="pl-PL"/>
        </w:rPr>
        <w:t>It’s</w:t>
      </w:r>
      <w:proofErr w:type="spellEnd"/>
      <w:r w:rsidR="005A76E4" w:rsidRPr="005A76E4">
        <w:rPr>
          <w:lang w:val="pl-PL"/>
        </w:rPr>
        <w:t xml:space="preserve"> </w:t>
      </w:r>
      <w:proofErr w:type="spellStart"/>
      <w:r w:rsidR="005A76E4" w:rsidRPr="005A76E4">
        <w:rPr>
          <w:lang w:val="pl-PL"/>
        </w:rPr>
        <w:t>Ordered</w:t>
      </w:r>
      <w:proofErr w:type="spellEnd"/>
      <w:r w:rsidR="005A76E4" w:rsidRPr="005A76E4">
        <w:rPr>
          <w:lang w:val="pl-PL"/>
        </w:rPr>
        <w:t xml:space="preserve"> Chaos: </w:t>
      </w:r>
      <w:proofErr w:type="spellStart"/>
      <w:r w:rsidR="005A76E4" w:rsidRPr="005A76E4">
        <w:rPr>
          <w:lang w:val="pl-PL"/>
        </w:rPr>
        <w:t>What</w:t>
      </w:r>
      <w:proofErr w:type="spellEnd"/>
      <w:r w:rsidR="005A76E4" w:rsidRPr="005A76E4">
        <w:rPr>
          <w:lang w:val="pl-PL"/>
        </w:rPr>
        <w:t xml:space="preserve"> </w:t>
      </w:r>
      <w:proofErr w:type="spellStart"/>
      <w:r w:rsidR="005A76E4" w:rsidRPr="005A76E4">
        <w:rPr>
          <w:lang w:val="pl-PL"/>
        </w:rPr>
        <w:t>Really</w:t>
      </w:r>
      <w:proofErr w:type="spellEnd"/>
      <w:r w:rsidR="005A76E4" w:rsidRPr="005A76E4">
        <w:rPr>
          <w:lang w:val="pl-PL"/>
        </w:rPr>
        <w:t xml:space="preserve"> </w:t>
      </w:r>
      <w:proofErr w:type="spellStart"/>
      <w:r w:rsidR="005A76E4" w:rsidRPr="005A76E4">
        <w:rPr>
          <w:lang w:val="pl-PL"/>
        </w:rPr>
        <w:t>Makes</w:t>
      </w:r>
      <w:proofErr w:type="spellEnd"/>
      <w:r w:rsidR="005A76E4" w:rsidRPr="005A76E4">
        <w:rPr>
          <w:lang w:val="pl-PL"/>
        </w:rPr>
        <w:t xml:space="preserve"> </w:t>
      </w:r>
      <w:proofErr w:type="spellStart"/>
      <w:r w:rsidR="005A76E4" w:rsidRPr="005A76E4">
        <w:rPr>
          <w:lang w:val="pl-PL"/>
        </w:rPr>
        <w:t>Polycentrism</w:t>
      </w:r>
      <w:proofErr w:type="spellEnd"/>
      <w:r w:rsidR="005A76E4" w:rsidRPr="005A76E4">
        <w:rPr>
          <w:lang w:val="pl-PL"/>
        </w:rPr>
        <w:t xml:space="preserve"> </w:t>
      </w:r>
      <w:proofErr w:type="spellStart"/>
      <w:r w:rsidR="005A76E4" w:rsidRPr="005A76E4">
        <w:rPr>
          <w:lang w:val="pl-PL"/>
        </w:rPr>
        <w:t>Work</w:t>
      </w:r>
      <w:proofErr w:type="spellEnd"/>
      <w:r w:rsidR="005A76E4" w:rsidRPr="005A76E4">
        <w:rPr>
          <w:lang w:val="pl-PL"/>
        </w:rPr>
        <w:t xml:space="preserve">’, </w:t>
      </w:r>
      <w:r w:rsidR="005A76E4" w:rsidRPr="005A76E4">
        <w:rPr>
          <w:i/>
          <w:lang w:val="pl-PL"/>
        </w:rPr>
        <w:t xml:space="preserve">International </w:t>
      </w:r>
      <w:proofErr w:type="spellStart"/>
      <w:r w:rsidR="005A76E4" w:rsidRPr="005A76E4">
        <w:rPr>
          <w:i/>
          <w:lang w:val="pl-PL"/>
        </w:rPr>
        <w:t>Studies</w:t>
      </w:r>
      <w:proofErr w:type="spellEnd"/>
      <w:r w:rsidR="005A76E4" w:rsidRPr="005A76E4">
        <w:rPr>
          <w:i/>
          <w:lang w:val="pl-PL"/>
        </w:rPr>
        <w:t xml:space="preserve"> </w:t>
      </w:r>
      <w:proofErr w:type="spellStart"/>
      <w:r w:rsidR="005A76E4" w:rsidRPr="005A76E4">
        <w:rPr>
          <w:i/>
          <w:lang w:val="pl-PL"/>
        </w:rPr>
        <w:t>Review</w:t>
      </w:r>
      <w:proofErr w:type="spellEnd"/>
      <w:r w:rsidR="005A76E4" w:rsidRPr="005A76E4">
        <w:rPr>
          <w:lang w:val="pl-PL"/>
        </w:rPr>
        <w:t xml:space="preserve"> 1988, no. 23 (2021): 1988–2018, DOI: https://doi.org/10.1093/isr/viab030; Carolina </w:t>
      </w:r>
      <w:proofErr w:type="spellStart"/>
      <w:r w:rsidR="005A76E4" w:rsidRPr="005A76E4">
        <w:rPr>
          <w:lang w:val="pl-PL"/>
        </w:rPr>
        <w:t>Aguerre</w:t>
      </w:r>
      <w:proofErr w:type="spellEnd"/>
      <w:r w:rsidR="005A76E4" w:rsidRPr="005A76E4">
        <w:rPr>
          <w:lang w:val="pl-PL"/>
        </w:rPr>
        <w:t>, Malcolm Campbell-</w:t>
      </w:r>
      <w:proofErr w:type="spellStart"/>
      <w:r w:rsidR="005A76E4" w:rsidRPr="005A76E4">
        <w:rPr>
          <w:lang w:val="pl-PL"/>
        </w:rPr>
        <w:t>Verduyn</w:t>
      </w:r>
      <w:proofErr w:type="spellEnd"/>
      <w:r w:rsidR="005A76E4" w:rsidRPr="005A76E4">
        <w:rPr>
          <w:lang w:val="pl-PL"/>
        </w:rPr>
        <w:t xml:space="preserve">, and Jan </w:t>
      </w:r>
      <w:proofErr w:type="spellStart"/>
      <w:r w:rsidR="005A76E4" w:rsidRPr="005A76E4">
        <w:rPr>
          <w:lang w:val="pl-PL"/>
        </w:rPr>
        <w:t>Aart</w:t>
      </w:r>
      <w:proofErr w:type="spellEnd"/>
      <w:r w:rsidR="005A76E4" w:rsidRPr="005A76E4">
        <w:rPr>
          <w:lang w:val="pl-PL"/>
        </w:rPr>
        <w:t xml:space="preserve"> </w:t>
      </w:r>
      <w:proofErr w:type="spellStart"/>
      <w:r w:rsidR="005A76E4" w:rsidRPr="005A76E4">
        <w:rPr>
          <w:lang w:val="pl-PL"/>
        </w:rPr>
        <w:t>Scholte</w:t>
      </w:r>
      <w:proofErr w:type="spellEnd"/>
      <w:r w:rsidR="005A76E4" w:rsidRPr="005A76E4">
        <w:rPr>
          <w:lang w:val="pl-PL"/>
        </w:rPr>
        <w:t xml:space="preserve">, </w:t>
      </w:r>
      <w:r w:rsidR="005A76E4" w:rsidRPr="005A76E4">
        <w:rPr>
          <w:i/>
          <w:lang w:val="pl-PL"/>
        </w:rPr>
        <w:t xml:space="preserve">Digital Data </w:t>
      </w:r>
      <w:proofErr w:type="spellStart"/>
      <w:r w:rsidR="005A76E4" w:rsidRPr="005A76E4">
        <w:rPr>
          <w:i/>
          <w:lang w:val="pl-PL"/>
        </w:rPr>
        <w:t>Governance</w:t>
      </w:r>
      <w:proofErr w:type="spellEnd"/>
      <w:r w:rsidR="005A76E4" w:rsidRPr="005A76E4">
        <w:rPr>
          <w:i/>
          <w:lang w:val="pl-PL"/>
        </w:rPr>
        <w:t xml:space="preserve">: </w:t>
      </w:r>
      <w:proofErr w:type="spellStart"/>
      <w:r w:rsidR="005A76E4" w:rsidRPr="005A76E4">
        <w:rPr>
          <w:i/>
          <w:lang w:val="pl-PL"/>
        </w:rPr>
        <w:t>Polycentric</w:t>
      </w:r>
      <w:proofErr w:type="spellEnd"/>
      <w:r w:rsidR="005A76E4" w:rsidRPr="005A76E4">
        <w:rPr>
          <w:i/>
          <w:lang w:val="pl-PL"/>
        </w:rPr>
        <w:t xml:space="preserve"> </w:t>
      </w:r>
      <w:proofErr w:type="spellStart"/>
      <w:r w:rsidR="005A76E4" w:rsidRPr="005A76E4">
        <w:rPr>
          <w:i/>
          <w:lang w:val="pl-PL"/>
        </w:rPr>
        <w:t>Perspectives</w:t>
      </w:r>
      <w:proofErr w:type="spellEnd"/>
      <w:r w:rsidR="005A76E4" w:rsidRPr="005A76E4">
        <w:rPr>
          <w:lang w:val="pl-PL"/>
        </w:rPr>
        <w:t xml:space="preserve"> (</w:t>
      </w:r>
      <w:proofErr w:type="spellStart"/>
      <w:r w:rsidR="005A76E4" w:rsidRPr="005A76E4">
        <w:rPr>
          <w:lang w:val="pl-PL"/>
        </w:rPr>
        <w:t>Routledge</w:t>
      </w:r>
      <w:proofErr w:type="spellEnd"/>
      <w:r w:rsidR="005A76E4" w:rsidRPr="005A76E4">
        <w:rPr>
          <w:lang w:val="pl-PL"/>
        </w:rPr>
        <w:t>, 2024).</w:t>
      </w:r>
    </w:p>
    <w:p w14:paraId="20B841B7" w14:textId="3F9BF2FA" w:rsidR="001E1418" w:rsidRPr="001E1418" w:rsidRDefault="001E1418" w:rsidP="003A01C4">
      <w:pPr>
        <w:pStyle w:val="EndnoteText"/>
        <w:ind w:left="0" w:firstLine="0"/>
        <w:rPr>
          <w:lang w:val="pl-PL"/>
        </w:rPr>
      </w:pPr>
    </w:p>
  </w:endnote>
  <w:endnote w:id="21">
    <w:p w14:paraId="1E6A7854" w14:textId="77777777" w:rsidR="005A76E4" w:rsidRDefault="001E1418" w:rsidP="003A01C4">
      <w:pPr>
        <w:ind w:left="0" w:right="0" w:firstLine="0"/>
      </w:pPr>
      <w:r>
        <w:rPr>
          <w:rStyle w:val="EndnoteReference"/>
        </w:rPr>
        <w:endnoteRef/>
      </w:r>
      <w:r>
        <w:t xml:space="preserve"> </w:t>
      </w:r>
      <w:r w:rsidR="005A76E4">
        <w:t xml:space="preserve">Leslie Chan, Angela </w:t>
      </w:r>
      <w:proofErr w:type="spellStart"/>
      <w:r w:rsidR="005A76E4">
        <w:t>Okune</w:t>
      </w:r>
      <w:proofErr w:type="spellEnd"/>
      <w:r w:rsidR="005A76E4">
        <w:t xml:space="preserve">, Rebecca Hillyer, Denisse </w:t>
      </w:r>
      <w:proofErr w:type="spellStart"/>
      <w:r w:rsidR="005A76E4">
        <w:t>Albornoz</w:t>
      </w:r>
      <w:proofErr w:type="spellEnd"/>
      <w:r w:rsidR="005A76E4">
        <w:t xml:space="preserve">, Alejandro Posada, ‘Contextualizing Openness: Situating Open Science’ (University of Ottawa Press, 2019), DOI: https://doi.org/10.20381/ruor-24088. </w:t>
      </w:r>
    </w:p>
    <w:p w14:paraId="44870352" w14:textId="7596EE0D" w:rsidR="001E1418" w:rsidRPr="005A76E4" w:rsidRDefault="001E1418" w:rsidP="003A01C4">
      <w:pPr>
        <w:pStyle w:val="EndnoteText"/>
        <w:ind w:left="0" w:firstLine="0"/>
        <w:rPr>
          <w:lang w:val="en-US"/>
        </w:rPr>
      </w:pPr>
    </w:p>
  </w:endnote>
  <w:endnote w:id="22">
    <w:p w14:paraId="5306B8EF" w14:textId="77777777" w:rsidR="005A76E4" w:rsidRDefault="001E1418" w:rsidP="003A01C4">
      <w:pPr>
        <w:ind w:left="0" w:right="0" w:firstLine="0"/>
      </w:pPr>
      <w:r>
        <w:rPr>
          <w:rStyle w:val="EndnoteReference"/>
        </w:rPr>
        <w:endnoteRef/>
      </w:r>
      <w:r>
        <w:t xml:space="preserve"> </w:t>
      </w:r>
      <w:r w:rsidR="005A76E4">
        <w:tab/>
      </w:r>
      <w:r w:rsidR="005A76E4">
        <w:tab/>
      </w:r>
      <w:r w:rsidR="005A76E4">
        <w:t xml:space="preserve">‘UNESCO Recommendation on Open Science’, UNESCO, 2021, https:// unesdoc.unesco.org/ark:/48223/pf0000379949 (accessed 15 February 2023), 7. </w:t>
      </w:r>
    </w:p>
    <w:p w14:paraId="299F0F31" w14:textId="43F18848" w:rsidR="001E1418" w:rsidRPr="005A76E4" w:rsidRDefault="001E1418" w:rsidP="003A01C4">
      <w:pPr>
        <w:pStyle w:val="EndnoteText"/>
        <w:tabs>
          <w:tab w:val="left" w:pos="834"/>
        </w:tabs>
        <w:ind w:left="0" w:firstLine="0"/>
      </w:pPr>
    </w:p>
  </w:endnote>
  <w:endnote w:id="23">
    <w:p w14:paraId="6A7DE5AF" w14:textId="77777777" w:rsidR="005A76E4" w:rsidRDefault="001E1418" w:rsidP="003A01C4">
      <w:pPr>
        <w:ind w:left="0" w:right="0" w:firstLine="0"/>
      </w:pPr>
      <w:r>
        <w:rPr>
          <w:rStyle w:val="EndnoteReference"/>
        </w:rPr>
        <w:endnoteRef/>
      </w:r>
      <w:r>
        <w:t xml:space="preserve"> </w:t>
      </w:r>
      <w:r w:rsidR="005A76E4">
        <w:t>‘UNESCO Recommendation on Open Science’, 8.</w:t>
      </w:r>
    </w:p>
    <w:p w14:paraId="13F9B41F" w14:textId="7AE152B9" w:rsidR="001E1418" w:rsidRPr="001E1418" w:rsidRDefault="001E1418" w:rsidP="003A01C4">
      <w:pPr>
        <w:pStyle w:val="EndnoteText"/>
        <w:ind w:left="0" w:firstLine="0"/>
        <w:rPr>
          <w:lang w:val="pl-PL"/>
        </w:rPr>
      </w:pPr>
    </w:p>
  </w:endnote>
  <w:endnote w:id="24">
    <w:p w14:paraId="50806FD3" w14:textId="77777777" w:rsidR="005A76E4" w:rsidRDefault="001E1418" w:rsidP="003A01C4">
      <w:pPr>
        <w:ind w:left="0" w:right="0" w:firstLine="0"/>
      </w:pPr>
      <w:r>
        <w:rPr>
          <w:rStyle w:val="EndnoteReference"/>
        </w:rPr>
        <w:endnoteRef/>
      </w:r>
      <w:r>
        <w:t xml:space="preserve"> </w:t>
      </w:r>
      <w:r w:rsidR="005A76E4">
        <w:t>R. Vicente-</w:t>
      </w:r>
      <w:proofErr w:type="spellStart"/>
      <w:r w:rsidR="005A76E4">
        <w:t>Saez</w:t>
      </w:r>
      <w:proofErr w:type="spellEnd"/>
      <w:r w:rsidR="005A76E4">
        <w:t xml:space="preserve"> and C. Martinez-Fuentes, ‘Open Science Now: A Systematic Literature Review for an Integrated Definition’, </w:t>
      </w:r>
      <w:r w:rsidR="005A76E4">
        <w:rPr>
          <w:i/>
        </w:rPr>
        <w:t>Journal of Business Research</w:t>
      </w:r>
      <w:r w:rsidR="005A76E4">
        <w:t xml:space="preserve"> 428, no. 88 (2018): 428–436. </w:t>
      </w:r>
    </w:p>
    <w:p w14:paraId="03CFF001" w14:textId="6A4ED202" w:rsidR="001E1418" w:rsidRPr="005A76E4" w:rsidRDefault="001E1418" w:rsidP="003A01C4">
      <w:pPr>
        <w:pStyle w:val="EndnoteText"/>
        <w:ind w:left="0" w:firstLine="0"/>
      </w:pPr>
    </w:p>
  </w:endnote>
  <w:endnote w:id="25">
    <w:p w14:paraId="6297F7E3" w14:textId="77777777" w:rsidR="005A76E4" w:rsidRDefault="001E1418" w:rsidP="003A01C4">
      <w:pPr>
        <w:ind w:left="0" w:right="0" w:firstLine="0"/>
      </w:pPr>
      <w:r>
        <w:rPr>
          <w:rStyle w:val="EndnoteReference"/>
        </w:rPr>
        <w:endnoteRef/>
      </w:r>
      <w:r>
        <w:t xml:space="preserve"> </w:t>
      </w:r>
      <w:r w:rsidR="005A76E4">
        <w:t xml:space="preserve">Alejandra Manco, ‘A Landscape of Open Science Policies Research’, </w:t>
      </w:r>
      <w:r w:rsidR="005A76E4">
        <w:rPr>
          <w:i/>
        </w:rPr>
        <w:t>SAGE Open</w:t>
      </w:r>
      <w:r w:rsidR="005A76E4">
        <w:t xml:space="preserve"> 12, no. 4, DOI: https://doi.org/10.1177/21582440221140358.</w:t>
      </w:r>
    </w:p>
    <w:p w14:paraId="38A0642B" w14:textId="7B0D9E19" w:rsidR="001E1418" w:rsidRPr="005A76E4" w:rsidRDefault="001E1418" w:rsidP="003A01C4">
      <w:pPr>
        <w:pStyle w:val="EndnoteText"/>
        <w:ind w:left="0" w:firstLine="0"/>
      </w:pPr>
    </w:p>
  </w:endnote>
  <w:endnote w:id="26">
    <w:p w14:paraId="77DAA7FD" w14:textId="77777777" w:rsidR="005A76E4" w:rsidRDefault="001E1418" w:rsidP="003A01C4">
      <w:pPr>
        <w:ind w:left="0" w:right="0" w:firstLine="0"/>
      </w:pPr>
      <w:r>
        <w:rPr>
          <w:rStyle w:val="EndnoteReference"/>
        </w:rPr>
        <w:endnoteRef/>
      </w:r>
      <w:r>
        <w:t xml:space="preserve"> </w:t>
      </w:r>
      <w:r w:rsidR="005A76E4">
        <w:t xml:space="preserve">Sh. Moradi and S. Abdi, ‘Open Science–Related Policies in Europe’, </w:t>
      </w:r>
      <w:r w:rsidR="005A76E4">
        <w:rPr>
          <w:i/>
        </w:rPr>
        <w:t>Science and Public Policy</w:t>
      </w:r>
      <w:r w:rsidR="005A76E4">
        <w:t xml:space="preserve"> 50 (2023): 521–530, DOI: https://doi.org/10.1093/scipol/ scac082.</w:t>
      </w:r>
    </w:p>
    <w:p w14:paraId="115914C4" w14:textId="1A6B9C9C" w:rsidR="001E1418" w:rsidRPr="005A76E4" w:rsidRDefault="001E1418" w:rsidP="003A01C4">
      <w:pPr>
        <w:pStyle w:val="EndnoteText"/>
        <w:ind w:left="0" w:firstLine="0"/>
      </w:pPr>
    </w:p>
  </w:endnote>
  <w:endnote w:id="27">
    <w:p w14:paraId="11C3EBC5" w14:textId="77777777" w:rsidR="005A76E4" w:rsidRDefault="001E1418" w:rsidP="003A01C4">
      <w:pPr>
        <w:spacing w:after="0" w:line="273" w:lineRule="auto"/>
        <w:ind w:left="0" w:right="0" w:firstLine="0"/>
      </w:pPr>
      <w:r>
        <w:rPr>
          <w:rStyle w:val="EndnoteReference"/>
        </w:rPr>
        <w:endnoteRef/>
      </w:r>
      <w:r>
        <w:t xml:space="preserve"> </w:t>
      </w:r>
      <w:r w:rsidR="005A76E4">
        <w:t>‘Open Science’, European Commission, 10 February 2023, https://researchand-innovation.ec.europa.eu/strategy/strategy-2020-2024/our-digitalfuture/open-science_en (accessed 1 March 2023).</w:t>
      </w:r>
    </w:p>
    <w:p w14:paraId="0A4C0705" w14:textId="2438999E" w:rsidR="001E1418" w:rsidRPr="005A76E4" w:rsidRDefault="001E1418" w:rsidP="003A01C4">
      <w:pPr>
        <w:pStyle w:val="EndnoteText"/>
        <w:ind w:left="0" w:firstLine="0"/>
      </w:pPr>
    </w:p>
  </w:endnote>
  <w:endnote w:id="28">
    <w:p w14:paraId="5D827AE7" w14:textId="77777777" w:rsidR="005A76E4" w:rsidRDefault="001E1418" w:rsidP="003A01C4">
      <w:pPr>
        <w:ind w:left="0" w:right="0" w:firstLine="0"/>
      </w:pPr>
      <w:r>
        <w:rPr>
          <w:rStyle w:val="EndnoteReference"/>
        </w:rPr>
        <w:endnoteRef/>
      </w:r>
      <w:r>
        <w:t xml:space="preserve"> </w:t>
      </w:r>
      <w:r w:rsidR="005A76E4">
        <w:t xml:space="preserve">D. </w:t>
      </w:r>
      <w:proofErr w:type="spellStart"/>
      <w:r w:rsidR="005A76E4">
        <w:t>Babini</w:t>
      </w:r>
      <w:proofErr w:type="spellEnd"/>
      <w:r w:rsidR="005A76E4">
        <w:t xml:space="preserve"> and L. </w:t>
      </w:r>
      <w:proofErr w:type="spellStart"/>
      <w:r w:rsidR="005A76E4">
        <w:t>Rovelli</w:t>
      </w:r>
      <w:proofErr w:type="spellEnd"/>
      <w:r w:rsidR="005A76E4">
        <w:t>, ‘</w:t>
      </w:r>
      <w:proofErr w:type="spellStart"/>
      <w:r w:rsidR="005A76E4">
        <w:t>Tendencias</w:t>
      </w:r>
      <w:proofErr w:type="spellEnd"/>
      <w:r w:rsidR="005A76E4">
        <w:t xml:space="preserve"> </w:t>
      </w:r>
      <w:proofErr w:type="spellStart"/>
      <w:r w:rsidR="005A76E4">
        <w:t>Recientes</w:t>
      </w:r>
      <w:proofErr w:type="spellEnd"/>
      <w:r w:rsidR="005A76E4">
        <w:t xml:space="preserve"> En Las </w:t>
      </w:r>
      <w:proofErr w:type="spellStart"/>
      <w:r w:rsidR="005A76E4">
        <w:t>Políticas</w:t>
      </w:r>
      <w:proofErr w:type="spellEnd"/>
      <w:r w:rsidR="005A76E4">
        <w:t xml:space="preserve"> </w:t>
      </w:r>
      <w:proofErr w:type="spellStart"/>
      <w:r w:rsidR="005A76E4">
        <w:t>Científicas</w:t>
      </w:r>
      <w:proofErr w:type="spellEnd"/>
      <w:r w:rsidR="005A76E4">
        <w:t xml:space="preserve"> de </w:t>
      </w:r>
      <w:proofErr w:type="spellStart"/>
      <w:r w:rsidR="005A76E4">
        <w:t>Ciencia</w:t>
      </w:r>
      <w:proofErr w:type="spellEnd"/>
      <w:r w:rsidR="005A76E4">
        <w:t xml:space="preserve"> </w:t>
      </w:r>
      <w:proofErr w:type="spellStart"/>
      <w:r w:rsidR="005A76E4">
        <w:t>Abierta</w:t>
      </w:r>
      <w:proofErr w:type="spellEnd"/>
      <w:r w:rsidR="005A76E4">
        <w:t xml:space="preserve"> y </w:t>
      </w:r>
      <w:proofErr w:type="spellStart"/>
      <w:r w:rsidR="005A76E4">
        <w:t>Acceso</w:t>
      </w:r>
      <w:proofErr w:type="spellEnd"/>
      <w:r w:rsidR="005A76E4">
        <w:t xml:space="preserve"> Abierto En </w:t>
      </w:r>
      <w:proofErr w:type="spellStart"/>
      <w:r w:rsidR="005A76E4">
        <w:t>Iberoamérica</w:t>
      </w:r>
      <w:proofErr w:type="spellEnd"/>
      <w:r w:rsidR="005A76E4">
        <w:t xml:space="preserve"> on JSTOR’, Latin American Council of Social Sciences (CLACSO), 2020, https://www-jstororg.eza.udesa.edu.ar/stable/j.ctv1gm02tq (accessed 31 May 2023). </w:t>
      </w:r>
    </w:p>
    <w:p w14:paraId="22B18587" w14:textId="71B1C778" w:rsidR="001E1418" w:rsidRPr="005A76E4" w:rsidRDefault="001E1418" w:rsidP="003A01C4">
      <w:pPr>
        <w:pStyle w:val="EndnoteText"/>
        <w:ind w:left="0" w:firstLine="0"/>
      </w:pPr>
    </w:p>
  </w:endnote>
  <w:endnote w:id="29">
    <w:p w14:paraId="1580262F" w14:textId="77777777" w:rsidR="005A76E4" w:rsidRDefault="001E1418" w:rsidP="003A01C4">
      <w:pPr>
        <w:ind w:left="0" w:right="0" w:firstLine="0"/>
      </w:pPr>
      <w:r>
        <w:rPr>
          <w:rStyle w:val="EndnoteReference"/>
        </w:rPr>
        <w:endnoteRef/>
      </w:r>
      <w:r>
        <w:t xml:space="preserve"> </w:t>
      </w:r>
      <w:proofErr w:type="spellStart"/>
      <w:r w:rsidR="005A76E4">
        <w:t>Babini</w:t>
      </w:r>
      <w:proofErr w:type="spellEnd"/>
      <w:r w:rsidR="005A76E4">
        <w:t xml:space="preserve"> and </w:t>
      </w:r>
      <w:proofErr w:type="spellStart"/>
      <w:r w:rsidR="005A76E4">
        <w:t>Rovelli</w:t>
      </w:r>
      <w:proofErr w:type="spellEnd"/>
      <w:r w:rsidR="005A76E4">
        <w:t>, ‘</w:t>
      </w:r>
      <w:proofErr w:type="spellStart"/>
      <w:r w:rsidR="005A76E4">
        <w:t>Tendencias</w:t>
      </w:r>
      <w:proofErr w:type="spellEnd"/>
      <w:r w:rsidR="005A76E4">
        <w:t xml:space="preserve"> </w:t>
      </w:r>
      <w:proofErr w:type="spellStart"/>
      <w:r w:rsidR="005A76E4">
        <w:t>Recientes</w:t>
      </w:r>
      <w:proofErr w:type="spellEnd"/>
      <w:r w:rsidR="005A76E4">
        <w:t xml:space="preserve">’. </w:t>
      </w:r>
    </w:p>
    <w:p w14:paraId="4259CAF9" w14:textId="7045A3DA" w:rsidR="001E1418" w:rsidRPr="005A76E4" w:rsidRDefault="001E1418" w:rsidP="003A01C4">
      <w:pPr>
        <w:pStyle w:val="EndnoteText"/>
        <w:ind w:left="0" w:firstLine="0"/>
        <w:rPr>
          <w:lang w:val="en-US"/>
        </w:rPr>
      </w:pPr>
    </w:p>
  </w:endnote>
  <w:endnote w:id="30">
    <w:p w14:paraId="23A008CE" w14:textId="77777777" w:rsidR="005A76E4" w:rsidRDefault="001E1418" w:rsidP="003A01C4">
      <w:pPr>
        <w:ind w:left="0" w:right="0" w:firstLine="0"/>
      </w:pPr>
      <w:r>
        <w:rPr>
          <w:rStyle w:val="EndnoteReference"/>
        </w:rPr>
        <w:endnoteRef/>
      </w:r>
      <w:r>
        <w:t xml:space="preserve"> </w:t>
      </w:r>
      <w:r w:rsidR="005A76E4">
        <w:t xml:space="preserve">E. R. T. </w:t>
      </w:r>
      <w:proofErr w:type="spellStart"/>
      <w:r w:rsidR="005A76E4">
        <w:t>Chiware</w:t>
      </w:r>
      <w:proofErr w:type="spellEnd"/>
      <w:r w:rsidR="005A76E4">
        <w:t xml:space="preserve"> and L. Skelly, ‘Open Science in Africa: What Policymakers Should Consider’, </w:t>
      </w:r>
      <w:r w:rsidR="005A76E4">
        <w:rPr>
          <w:i/>
        </w:rPr>
        <w:t>Frontiers in Research Metrics and Analytics</w:t>
      </w:r>
      <w:r w:rsidR="005A76E4">
        <w:t xml:space="preserve"> 7, https://www. frontiersin.org/articles/10.3389/frma.2022.950139 (accessed 21 October 2023). </w:t>
      </w:r>
    </w:p>
    <w:p w14:paraId="2D8C7E53" w14:textId="4D7E7FA2" w:rsidR="001E1418" w:rsidRPr="005A76E4" w:rsidRDefault="001E1418" w:rsidP="003A01C4">
      <w:pPr>
        <w:pStyle w:val="EndnoteText"/>
        <w:ind w:left="0" w:firstLine="0"/>
        <w:rPr>
          <w:lang w:val="en-US"/>
        </w:rPr>
      </w:pPr>
    </w:p>
  </w:endnote>
  <w:endnote w:id="31">
    <w:p w14:paraId="3480E319" w14:textId="77777777" w:rsidR="005A76E4" w:rsidRDefault="001E1418" w:rsidP="003A01C4">
      <w:pPr>
        <w:ind w:left="0" w:right="0" w:firstLine="0"/>
      </w:pPr>
      <w:r>
        <w:rPr>
          <w:rStyle w:val="EndnoteReference"/>
        </w:rPr>
        <w:endnoteRef/>
      </w:r>
      <w:r>
        <w:t xml:space="preserve"> </w:t>
      </w:r>
      <w:r w:rsidR="005A76E4">
        <w:t xml:space="preserve">Mark D. Wilkinson, Michel Dumontier, </w:t>
      </w:r>
      <w:proofErr w:type="spellStart"/>
      <w:r w:rsidR="005A76E4">
        <w:t>IJsbrand</w:t>
      </w:r>
      <w:proofErr w:type="spellEnd"/>
      <w:r w:rsidR="005A76E4">
        <w:t xml:space="preserve"> Jan </w:t>
      </w:r>
      <w:proofErr w:type="spellStart"/>
      <w:r w:rsidR="005A76E4">
        <w:t>Aalbersberg</w:t>
      </w:r>
      <w:proofErr w:type="spellEnd"/>
      <w:r w:rsidR="005A76E4">
        <w:t xml:space="preserve">, Gabrielle Appleton, Myles Axton, Arie </w:t>
      </w:r>
      <w:proofErr w:type="spellStart"/>
      <w:r w:rsidR="005A76E4">
        <w:t>Baak</w:t>
      </w:r>
      <w:proofErr w:type="spellEnd"/>
      <w:r w:rsidR="005A76E4">
        <w:t xml:space="preserve">, Niklas Blomberg, Jan-Willem </w:t>
      </w:r>
      <w:proofErr w:type="spellStart"/>
      <w:r w:rsidR="005A76E4">
        <w:t>Boiten</w:t>
      </w:r>
      <w:proofErr w:type="spellEnd"/>
      <w:r w:rsidR="005A76E4">
        <w:t xml:space="preserve">, Luiz Bonino da Silva Santos, Philip E. </w:t>
      </w:r>
      <w:proofErr w:type="spellStart"/>
      <w:r w:rsidR="005A76E4">
        <w:t>Bourne</w:t>
      </w:r>
      <w:proofErr w:type="spellEnd"/>
      <w:r w:rsidR="005A76E4">
        <w:t xml:space="preserve">, </w:t>
      </w:r>
      <w:proofErr w:type="spellStart"/>
      <w:r w:rsidR="005A76E4">
        <w:t>Jildau</w:t>
      </w:r>
      <w:proofErr w:type="spellEnd"/>
      <w:r w:rsidR="005A76E4">
        <w:t xml:space="preserve"> </w:t>
      </w:r>
      <w:proofErr w:type="spellStart"/>
      <w:r w:rsidR="005A76E4">
        <w:t>Bouwman</w:t>
      </w:r>
      <w:proofErr w:type="spellEnd"/>
      <w:r w:rsidR="005A76E4">
        <w:t xml:space="preserve">, Anthony J. Brookes, Tim Clark, </w:t>
      </w:r>
      <w:proofErr w:type="spellStart"/>
      <w:r w:rsidR="005A76E4">
        <w:t>Mercè</w:t>
      </w:r>
      <w:proofErr w:type="spellEnd"/>
      <w:r w:rsidR="005A76E4">
        <w:t xml:space="preserve"> </w:t>
      </w:r>
      <w:proofErr w:type="spellStart"/>
      <w:r w:rsidR="005A76E4">
        <w:t>Crosas</w:t>
      </w:r>
      <w:proofErr w:type="spellEnd"/>
      <w:r w:rsidR="005A76E4">
        <w:t xml:space="preserve">, Ingrid </w:t>
      </w:r>
      <w:proofErr w:type="spellStart"/>
      <w:r w:rsidR="005A76E4">
        <w:t>Dillo</w:t>
      </w:r>
      <w:proofErr w:type="spellEnd"/>
      <w:r w:rsidR="005A76E4">
        <w:t xml:space="preserve">, Olivier </w:t>
      </w:r>
      <w:proofErr w:type="spellStart"/>
      <w:r w:rsidR="005A76E4">
        <w:t>Dumon</w:t>
      </w:r>
      <w:proofErr w:type="spellEnd"/>
      <w:r w:rsidR="005A76E4">
        <w:t xml:space="preserve">, Scott </w:t>
      </w:r>
    </w:p>
    <w:p w14:paraId="4F950F19" w14:textId="77777777" w:rsidR="005A76E4" w:rsidRDefault="005A76E4" w:rsidP="003A01C4">
      <w:pPr>
        <w:ind w:left="0" w:right="0" w:firstLine="0"/>
      </w:pPr>
      <w:r>
        <w:t xml:space="preserve">Edmunds, Chris T. </w:t>
      </w:r>
      <w:proofErr w:type="spellStart"/>
      <w:r>
        <w:t>Evelo</w:t>
      </w:r>
      <w:proofErr w:type="spellEnd"/>
      <w:r>
        <w:t xml:space="preserve">, Richard </w:t>
      </w:r>
      <w:proofErr w:type="spellStart"/>
      <w:r>
        <w:t>Finkers</w:t>
      </w:r>
      <w:proofErr w:type="spellEnd"/>
      <w:r>
        <w:t>, Alejandra Gonzalez-</w:t>
      </w:r>
    </w:p>
    <w:p w14:paraId="247103D5" w14:textId="77777777" w:rsidR="005A76E4" w:rsidRDefault="005A76E4" w:rsidP="003A01C4">
      <w:pPr>
        <w:ind w:left="0" w:right="0" w:firstLine="0"/>
      </w:pPr>
      <w:r>
        <w:t xml:space="preserve">Beltran, Alasdair J.G. Gray, Paul </w:t>
      </w:r>
      <w:proofErr w:type="spellStart"/>
      <w:r>
        <w:t>Groth</w:t>
      </w:r>
      <w:proofErr w:type="spellEnd"/>
      <w:r>
        <w:t xml:space="preserve">, Carole Goble, Jeffrey S. </w:t>
      </w:r>
      <w:proofErr w:type="spellStart"/>
      <w:r>
        <w:t>Grethe</w:t>
      </w:r>
      <w:proofErr w:type="spellEnd"/>
      <w:r>
        <w:t xml:space="preserve">, and Barend Mons, ‘The FAIR Guiding Principles for Scientific Data Management and Stewardship’, </w:t>
      </w:r>
      <w:r w:rsidRPr="003A01C4">
        <w:rPr>
          <w:i/>
        </w:rPr>
        <w:t>Scientific Data</w:t>
      </w:r>
      <w:r>
        <w:t xml:space="preserve"> 7, no. 3 (2016), DOI: https://doi. org/10.1038/sdata.2016.18. </w:t>
      </w:r>
    </w:p>
    <w:p w14:paraId="3119F635" w14:textId="1EACBC60" w:rsidR="001E1418" w:rsidRPr="005A76E4" w:rsidRDefault="001E1418" w:rsidP="003A01C4">
      <w:pPr>
        <w:pStyle w:val="EndnoteText"/>
        <w:ind w:left="0" w:firstLine="0"/>
      </w:pPr>
    </w:p>
  </w:endnote>
  <w:endnote w:id="32">
    <w:p w14:paraId="2F7291E2" w14:textId="77777777" w:rsidR="005A76E4" w:rsidRDefault="001E1418" w:rsidP="003A01C4">
      <w:pPr>
        <w:ind w:left="0" w:right="0" w:firstLine="0"/>
      </w:pPr>
      <w:r>
        <w:rPr>
          <w:rStyle w:val="EndnoteReference"/>
        </w:rPr>
        <w:endnoteRef/>
      </w:r>
      <w:r>
        <w:t xml:space="preserve"> </w:t>
      </w:r>
      <w:r w:rsidR="005A76E4">
        <w:t xml:space="preserve">Stephanie Russo Carroll, Ibrahim Garba, Oscar L. Figueroa-Rodríguez, </w:t>
      </w:r>
      <w:proofErr w:type="spellStart"/>
      <w:r w:rsidR="005A76E4">
        <w:t>Jarita</w:t>
      </w:r>
      <w:proofErr w:type="spellEnd"/>
      <w:r w:rsidR="005A76E4">
        <w:t xml:space="preserve"> Holbrook, Raymond Lovett, Simeon </w:t>
      </w:r>
      <w:proofErr w:type="spellStart"/>
      <w:r w:rsidR="005A76E4">
        <w:t>Materechera</w:t>
      </w:r>
      <w:proofErr w:type="spellEnd"/>
      <w:r w:rsidR="005A76E4">
        <w:t xml:space="preserve">, Mark Parsons Kay </w:t>
      </w:r>
      <w:proofErr w:type="spellStart"/>
      <w:r w:rsidR="005A76E4">
        <w:t>Raseroka</w:t>
      </w:r>
      <w:proofErr w:type="spellEnd"/>
      <w:r w:rsidR="005A76E4">
        <w:t>, Desi Rodriguez-</w:t>
      </w:r>
      <w:proofErr w:type="spellStart"/>
      <w:r w:rsidR="005A76E4">
        <w:t>Lonebear</w:t>
      </w:r>
      <w:proofErr w:type="spellEnd"/>
      <w:r w:rsidR="005A76E4">
        <w:t xml:space="preserve">, Robyn Rowe, Rodrigo Sara, Jennifer D. Walker, Jane Anderson, and Maui Hudson, ‘The CARE Principles for Indigenous Data Governance’, </w:t>
      </w:r>
      <w:r w:rsidR="005A76E4">
        <w:rPr>
          <w:i/>
        </w:rPr>
        <w:t>Data Science Journal</w:t>
      </w:r>
      <w:r w:rsidR="005A76E4">
        <w:t xml:space="preserve"> 19, DOI: https://doi.</w:t>
      </w:r>
    </w:p>
    <w:p w14:paraId="59535D99" w14:textId="77777777" w:rsidR="005A76E4" w:rsidRDefault="005A76E4" w:rsidP="003A01C4">
      <w:pPr>
        <w:ind w:left="0" w:right="0" w:firstLine="0"/>
      </w:pPr>
      <w:r>
        <w:t>org/10.5334/dsj-2020-043.</w:t>
      </w:r>
    </w:p>
    <w:p w14:paraId="2A87CC1D" w14:textId="6E3A8FE5" w:rsidR="001E1418" w:rsidRPr="005A76E4" w:rsidRDefault="001E1418" w:rsidP="003A01C4">
      <w:pPr>
        <w:pStyle w:val="EndnoteText"/>
        <w:ind w:left="0" w:firstLine="0"/>
        <w:rPr>
          <w:lang w:val="en-US"/>
        </w:rPr>
      </w:pPr>
    </w:p>
  </w:endnote>
  <w:endnote w:id="33">
    <w:p w14:paraId="32FC11DA" w14:textId="77777777" w:rsidR="005A76E4" w:rsidRDefault="001E1418" w:rsidP="003A01C4">
      <w:pPr>
        <w:ind w:left="0" w:right="0" w:firstLine="0"/>
      </w:pPr>
      <w:r>
        <w:rPr>
          <w:rStyle w:val="EndnoteReference"/>
        </w:rPr>
        <w:endnoteRef/>
      </w:r>
      <w:r>
        <w:t xml:space="preserve"> </w:t>
      </w:r>
      <w:r w:rsidR="005A76E4">
        <w:t xml:space="preserve">S. Rainie, T. </w:t>
      </w:r>
      <w:proofErr w:type="spellStart"/>
      <w:r w:rsidR="005A76E4">
        <w:t>Kukutai</w:t>
      </w:r>
      <w:proofErr w:type="spellEnd"/>
      <w:r w:rsidR="005A76E4">
        <w:t xml:space="preserve">, M. Walter, O. Figueroa-Rodriguez, J. Walker, and P. </w:t>
      </w:r>
      <w:proofErr w:type="spellStart"/>
      <w:r w:rsidR="005A76E4">
        <w:t>Axelsson</w:t>
      </w:r>
      <w:proofErr w:type="spellEnd"/>
      <w:r w:rsidR="005A76E4">
        <w:t xml:space="preserve">, ‘Issues in Open Data: Indigenous Data Sovereignty’, in </w:t>
      </w:r>
      <w:r w:rsidR="005A76E4">
        <w:rPr>
          <w:i/>
        </w:rPr>
        <w:t>State of Open Data: Histories and Horizons</w:t>
      </w:r>
      <w:r w:rsidR="005A76E4">
        <w:t xml:space="preserve">, ed. Tim Davies, Stephen B. Walker, Mor Rubinstein, and Fernando Perini, 300–319 (African Minds and International Development Research </w:t>
      </w:r>
      <w:proofErr w:type="spellStart"/>
      <w:r w:rsidR="005A76E4">
        <w:t>Center</w:t>
      </w:r>
      <w:proofErr w:type="spellEnd"/>
      <w:r w:rsidR="005A76E4">
        <w:t xml:space="preserve">, 2019), 301. </w:t>
      </w:r>
    </w:p>
    <w:p w14:paraId="3E78FE8D" w14:textId="0B45A380" w:rsidR="001E1418" w:rsidRPr="005A76E4" w:rsidRDefault="001E1418" w:rsidP="003A01C4">
      <w:pPr>
        <w:pStyle w:val="EndnoteText"/>
        <w:ind w:left="0" w:firstLine="0"/>
      </w:pPr>
    </w:p>
  </w:endnote>
  <w:endnote w:id="34">
    <w:p w14:paraId="2CE10DD0" w14:textId="77777777" w:rsidR="005A76E4" w:rsidRDefault="001E1418" w:rsidP="003A01C4">
      <w:pPr>
        <w:ind w:left="0" w:right="0" w:firstLine="0"/>
      </w:pPr>
      <w:r>
        <w:rPr>
          <w:rStyle w:val="EndnoteReference"/>
        </w:rPr>
        <w:endnoteRef/>
      </w:r>
      <w:r>
        <w:t xml:space="preserve"> </w:t>
      </w:r>
      <w:r w:rsidR="005A76E4">
        <w:t xml:space="preserve">Janne </w:t>
      </w:r>
      <w:proofErr w:type="spellStart"/>
      <w:r w:rsidR="005A76E4">
        <w:t>Pölönen</w:t>
      </w:r>
      <w:proofErr w:type="spellEnd"/>
      <w:r w:rsidR="005A76E4">
        <w:t xml:space="preserve">, Mikael </w:t>
      </w:r>
      <w:proofErr w:type="spellStart"/>
      <w:r w:rsidR="005A76E4">
        <w:t>Laakso</w:t>
      </w:r>
      <w:proofErr w:type="spellEnd"/>
      <w:r w:rsidR="005A76E4">
        <w:t xml:space="preserve">, Raf Guns, Emanuel </w:t>
      </w:r>
      <w:proofErr w:type="spellStart"/>
      <w:r w:rsidR="005A76E4">
        <w:t>Kulczycki</w:t>
      </w:r>
      <w:proofErr w:type="spellEnd"/>
      <w:r w:rsidR="005A76E4">
        <w:t xml:space="preserve">, and Gunnar Sivertsen, ‘Open Access at the National Level: A Comprehensive Analysis of Publications by Finnish Researchers’, </w:t>
      </w:r>
      <w:r w:rsidR="005A76E4">
        <w:rPr>
          <w:i/>
        </w:rPr>
        <w:t>Quantitative Science Studies</w:t>
      </w:r>
      <w:r w:rsidR="005A76E4">
        <w:t xml:space="preserve"> 1 (2020): 1396–1428, DOI: https://doi.org/10.1162/qss_a_00084. </w:t>
      </w:r>
    </w:p>
    <w:p w14:paraId="75BDB139" w14:textId="50DBC12C" w:rsidR="001E1418" w:rsidRPr="005A76E4" w:rsidRDefault="001E1418" w:rsidP="003A01C4">
      <w:pPr>
        <w:pStyle w:val="EndnoteText"/>
        <w:ind w:left="0" w:firstLine="0"/>
        <w:rPr>
          <w:lang w:val="en-US"/>
        </w:rPr>
      </w:pPr>
    </w:p>
  </w:endnote>
  <w:endnote w:id="35">
    <w:p w14:paraId="414CF15C" w14:textId="77777777" w:rsidR="005A76E4" w:rsidRDefault="001E1418" w:rsidP="003A01C4">
      <w:pPr>
        <w:ind w:left="0" w:right="0" w:firstLine="0"/>
      </w:pPr>
      <w:r>
        <w:rPr>
          <w:rStyle w:val="EndnoteReference"/>
        </w:rPr>
        <w:endnoteRef/>
      </w:r>
      <w:r>
        <w:t xml:space="preserve"> </w:t>
      </w:r>
      <w:r w:rsidR="005A76E4">
        <w:t xml:space="preserve">A. </w:t>
      </w:r>
      <w:proofErr w:type="spellStart"/>
      <w:r w:rsidR="005A76E4">
        <w:t>Paic</w:t>
      </w:r>
      <w:proofErr w:type="spellEnd"/>
      <w:r w:rsidR="005A76E4">
        <w:t xml:space="preserve">, ‘Open Science: Enabling Discovery in the Digital Age’, OECD, 20 July 2021, https://www.oecd-ilibrary.org/science-and-technology/openscience-enabling-discovery-in-the-digital-age_81a9dcf0-en (accessed 11 June 2023). </w:t>
      </w:r>
    </w:p>
    <w:p w14:paraId="4BF3B70B" w14:textId="3FD43761" w:rsidR="001E1418" w:rsidRPr="005A76E4" w:rsidRDefault="001E1418" w:rsidP="003A01C4">
      <w:pPr>
        <w:pStyle w:val="EndnoteText"/>
        <w:ind w:left="0" w:firstLine="0"/>
      </w:pPr>
    </w:p>
  </w:endnote>
  <w:endnote w:id="36">
    <w:p w14:paraId="7CBF52A6" w14:textId="77777777" w:rsidR="00FA208E" w:rsidRDefault="001E1418" w:rsidP="003A01C4">
      <w:pPr>
        <w:ind w:left="0" w:right="0" w:firstLine="0"/>
      </w:pPr>
      <w:r>
        <w:rPr>
          <w:rStyle w:val="EndnoteReference"/>
        </w:rPr>
        <w:endnoteRef/>
      </w:r>
      <w:r>
        <w:t xml:space="preserve"> </w:t>
      </w:r>
      <w:r w:rsidR="00FA208E">
        <w:t>Manco, ‘A Landscape of Open Science Policies Research’.</w:t>
      </w:r>
    </w:p>
    <w:p w14:paraId="285D2676" w14:textId="52D29E85" w:rsidR="001E1418" w:rsidRPr="00FA208E" w:rsidRDefault="001E1418" w:rsidP="003A01C4">
      <w:pPr>
        <w:pStyle w:val="EndnoteText"/>
        <w:ind w:left="0" w:firstLine="0"/>
      </w:pPr>
    </w:p>
  </w:endnote>
  <w:endnote w:id="37">
    <w:p w14:paraId="24BB746A" w14:textId="77777777" w:rsidR="00FA208E" w:rsidRDefault="001E1418" w:rsidP="003A01C4">
      <w:pPr>
        <w:ind w:left="0" w:right="0" w:firstLine="0"/>
      </w:pPr>
      <w:r>
        <w:rPr>
          <w:rStyle w:val="EndnoteReference"/>
        </w:rPr>
        <w:endnoteRef/>
      </w:r>
      <w:r>
        <w:t xml:space="preserve"> </w:t>
      </w:r>
      <w:proofErr w:type="spellStart"/>
      <w:r w:rsidR="00FA208E">
        <w:t>Paic</w:t>
      </w:r>
      <w:proofErr w:type="spellEnd"/>
      <w:r w:rsidR="00FA208E">
        <w:t>, ‘Open Science’.</w:t>
      </w:r>
    </w:p>
    <w:p w14:paraId="62A63547" w14:textId="466DBE2E" w:rsidR="001E1418" w:rsidRPr="005A76E4" w:rsidRDefault="001E1418" w:rsidP="003A01C4">
      <w:pPr>
        <w:pStyle w:val="EndnoteText"/>
        <w:ind w:left="0" w:firstLine="0"/>
        <w:rPr>
          <w:lang w:val="en-US"/>
        </w:rPr>
      </w:pPr>
    </w:p>
  </w:endnote>
  <w:endnote w:id="38">
    <w:p w14:paraId="64B543AF" w14:textId="77777777" w:rsidR="00FA208E" w:rsidRDefault="001E1418" w:rsidP="003A01C4">
      <w:pPr>
        <w:ind w:left="0" w:right="0" w:firstLine="0"/>
      </w:pPr>
      <w:r>
        <w:rPr>
          <w:rStyle w:val="EndnoteReference"/>
        </w:rPr>
        <w:endnoteRef/>
      </w:r>
      <w:r>
        <w:t xml:space="preserve"> </w:t>
      </w:r>
      <w:r w:rsidR="00FA208E">
        <w:t xml:space="preserve">Moradi and Abdi, ‘Open Science–Related Policies in Europe’; Manco, ‘A Landscape of Open Science Policies Research’; M.D. de </w:t>
      </w:r>
      <w:proofErr w:type="spellStart"/>
      <w:r w:rsidR="00FA208E">
        <w:t>Rosnay</w:t>
      </w:r>
      <w:proofErr w:type="spellEnd"/>
      <w:r w:rsidR="00FA208E">
        <w:t xml:space="preserve"> and </w:t>
      </w:r>
    </w:p>
    <w:p w14:paraId="18F27521" w14:textId="77777777" w:rsidR="00FA208E" w:rsidRDefault="00FA208E" w:rsidP="003A01C4">
      <w:pPr>
        <w:ind w:left="0" w:right="0" w:firstLine="0"/>
      </w:pPr>
      <w:r>
        <w:t xml:space="preserve">F. </w:t>
      </w:r>
      <w:proofErr w:type="spellStart"/>
      <w:r>
        <w:t>Stalder</w:t>
      </w:r>
      <w:proofErr w:type="spellEnd"/>
      <w:r>
        <w:t xml:space="preserve">, ‘Digital Commons’, </w:t>
      </w:r>
      <w:r w:rsidRPr="003A01C4">
        <w:rPr>
          <w:i/>
        </w:rPr>
        <w:t>Internet Policy Review</w:t>
      </w:r>
      <w:r>
        <w:t xml:space="preserve"> 9, no. 4, DOI: </w:t>
      </w:r>
    </w:p>
    <w:p w14:paraId="288443B0" w14:textId="77777777" w:rsidR="00FA208E" w:rsidRDefault="00FA208E" w:rsidP="003A01C4">
      <w:pPr>
        <w:ind w:left="0" w:right="0" w:firstLine="0"/>
      </w:pPr>
      <w:r>
        <w:t xml:space="preserve">10.14763/2020.4.1530. </w:t>
      </w:r>
    </w:p>
    <w:p w14:paraId="691D1D10" w14:textId="75258276" w:rsidR="001E1418" w:rsidRPr="005A76E4" w:rsidRDefault="001E1418" w:rsidP="003A01C4">
      <w:pPr>
        <w:pStyle w:val="EndnoteText"/>
        <w:ind w:left="0" w:firstLine="0"/>
        <w:rPr>
          <w:lang w:val="en-US"/>
        </w:rPr>
      </w:pPr>
    </w:p>
  </w:endnote>
  <w:endnote w:id="39">
    <w:p w14:paraId="0A01C8A1" w14:textId="77777777" w:rsidR="00FA208E" w:rsidRDefault="001E1418" w:rsidP="003A01C4">
      <w:pPr>
        <w:ind w:left="0" w:right="0" w:firstLine="0"/>
      </w:pPr>
      <w:r>
        <w:rPr>
          <w:rStyle w:val="EndnoteReference"/>
        </w:rPr>
        <w:endnoteRef/>
      </w:r>
      <w:r>
        <w:t xml:space="preserve"> </w:t>
      </w:r>
      <w:r w:rsidR="00FA208E">
        <w:t xml:space="preserve">‘G7 Science and Technology Ministers Commit to Open Science’, </w:t>
      </w:r>
      <w:proofErr w:type="spellStart"/>
      <w:r w:rsidR="00FA208E">
        <w:t>Ouvrir</w:t>
      </w:r>
      <w:proofErr w:type="spellEnd"/>
      <w:r w:rsidR="00FA208E">
        <w:t xml:space="preserve"> la Science, 15 May 2023, https://www.ouvrirlascience.fr/g7-science-andtechnology-ministers-commit-to-open-science (ACCESSED 12 June 2023). </w:t>
      </w:r>
    </w:p>
    <w:p w14:paraId="4DA27265" w14:textId="017A7EAA" w:rsidR="001E1418" w:rsidRPr="00FA208E" w:rsidRDefault="001E1418" w:rsidP="003A01C4">
      <w:pPr>
        <w:pStyle w:val="EndnoteText"/>
        <w:ind w:left="0" w:firstLine="0"/>
      </w:pPr>
    </w:p>
  </w:endnote>
  <w:endnote w:id="40">
    <w:p w14:paraId="742784EC" w14:textId="77777777" w:rsidR="00FA208E" w:rsidRDefault="001E1418" w:rsidP="003A01C4">
      <w:pPr>
        <w:ind w:left="0" w:right="0" w:firstLine="0"/>
      </w:pPr>
      <w:r>
        <w:rPr>
          <w:rStyle w:val="EndnoteReference"/>
        </w:rPr>
        <w:endnoteRef/>
      </w:r>
      <w:r>
        <w:t xml:space="preserve"> </w:t>
      </w:r>
      <w:r w:rsidR="00FA208E">
        <w:t xml:space="preserve">Denisse </w:t>
      </w:r>
      <w:proofErr w:type="spellStart"/>
      <w:r w:rsidR="00FA208E">
        <w:t>Albornoz</w:t>
      </w:r>
      <w:proofErr w:type="spellEnd"/>
      <w:r w:rsidR="00FA208E">
        <w:t xml:space="preserve">, Maggie Huang, </w:t>
      </w:r>
      <w:proofErr w:type="spellStart"/>
      <w:r w:rsidR="00FA208E">
        <w:t>Issra</w:t>
      </w:r>
      <w:proofErr w:type="spellEnd"/>
      <w:r w:rsidR="00FA208E">
        <w:t xml:space="preserve"> Marie Martin, Maria Mateus, Aicha Yasmine Touré, and Leslie Chan, ‘Framing Power: Tracing Key Discourses in Open Science Policies’, in </w:t>
      </w:r>
      <w:r w:rsidR="00FA208E">
        <w:rPr>
          <w:i/>
        </w:rPr>
        <w:t>22nd International Conference on Electronic Publishing</w:t>
      </w:r>
      <w:r w:rsidR="00FA208E">
        <w:t>, 1–21 (</w:t>
      </w:r>
      <w:proofErr w:type="spellStart"/>
      <w:r w:rsidR="00FA208E">
        <w:t>OpenEdition</w:t>
      </w:r>
      <w:proofErr w:type="spellEnd"/>
      <w:r w:rsidR="00FA208E">
        <w:t xml:space="preserve"> Press, 2018). </w:t>
      </w:r>
    </w:p>
    <w:p w14:paraId="4E003ADD" w14:textId="2B2355D6" w:rsidR="001E1418" w:rsidRPr="00FA208E" w:rsidRDefault="001E1418" w:rsidP="003A01C4">
      <w:pPr>
        <w:pStyle w:val="EndnoteText"/>
        <w:ind w:left="0" w:firstLine="0"/>
      </w:pPr>
    </w:p>
  </w:endnote>
  <w:endnote w:id="41">
    <w:p w14:paraId="726E4FC5" w14:textId="77777777" w:rsidR="00FA208E" w:rsidRDefault="001E1418" w:rsidP="003A01C4">
      <w:pPr>
        <w:ind w:left="0" w:right="0" w:firstLine="0"/>
      </w:pPr>
      <w:r>
        <w:rPr>
          <w:rStyle w:val="EndnoteReference"/>
        </w:rPr>
        <w:endnoteRef/>
      </w:r>
      <w:r>
        <w:t xml:space="preserve"> </w:t>
      </w:r>
      <w:r w:rsidR="00FA208E">
        <w:t xml:space="preserve">J. </w:t>
      </w:r>
      <w:proofErr w:type="spellStart"/>
      <w:r w:rsidR="00FA208E">
        <w:t>Bareis</w:t>
      </w:r>
      <w:proofErr w:type="spellEnd"/>
      <w:r w:rsidR="00FA208E">
        <w:t xml:space="preserve"> and C. Katzenbach, ‘Talking AI into Being: The Narratives and Imaginaries of National AI Strategies and Their Performative Politics’, </w:t>
      </w:r>
      <w:r w:rsidR="00FA208E">
        <w:rPr>
          <w:i/>
        </w:rPr>
        <w:t>Science, Technology, and Human Values</w:t>
      </w:r>
      <w:r w:rsidR="00FA208E">
        <w:t xml:space="preserve"> 855, no. 47 (2022), DOI: https://doi. org/10.1177/01622439211030007.</w:t>
      </w:r>
    </w:p>
    <w:p w14:paraId="5A99782E" w14:textId="0CF72C56" w:rsidR="001E1418" w:rsidRPr="005A76E4" w:rsidRDefault="001E1418" w:rsidP="003A01C4">
      <w:pPr>
        <w:pStyle w:val="EndnoteText"/>
        <w:ind w:left="0" w:firstLine="0"/>
        <w:rPr>
          <w:lang w:val="en-US"/>
        </w:rPr>
      </w:pPr>
    </w:p>
  </w:endnote>
  <w:endnote w:id="42">
    <w:p w14:paraId="2736404C" w14:textId="77777777" w:rsidR="00FA208E" w:rsidRDefault="001E1418" w:rsidP="003A01C4">
      <w:pPr>
        <w:ind w:left="0" w:right="0" w:firstLine="0"/>
      </w:pPr>
      <w:r>
        <w:rPr>
          <w:rStyle w:val="EndnoteReference"/>
        </w:rPr>
        <w:endnoteRef/>
      </w:r>
      <w:r>
        <w:t xml:space="preserve"> </w:t>
      </w:r>
      <w:r w:rsidR="00FA208E">
        <w:t>‘IDRC Global Symposium on AI &amp; Inclusion Outputs’, International Development Research Centre, January 2018, https://idl-bnc-idrc. dspacedirect.org/handle/10625/56851?locale-attribute=</w:t>
      </w:r>
      <w:proofErr w:type="spellStart"/>
      <w:r w:rsidR="00FA208E">
        <w:t>en</w:t>
      </w:r>
      <w:proofErr w:type="spellEnd"/>
      <w:r w:rsidR="00FA208E">
        <w:t xml:space="preserve"> (accessed 9 February 2023). </w:t>
      </w:r>
    </w:p>
    <w:p w14:paraId="3615D1F6" w14:textId="674D7A26" w:rsidR="001E1418" w:rsidRPr="00FA208E" w:rsidRDefault="001E1418" w:rsidP="003A01C4">
      <w:pPr>
        <w:pStyle w:val="EndnoteText"/>
        <w:ind w:left="0" w:firstLine="0"/>
      </w:pPr>
    </w:p>
  </w:endnote>
  <w:endnote w:id="43">
    <w:p w14:paraId="2CE7DF88" w14:textId="77777777" w:rsidR="00FA208E" w:rsidRDefault="001E1418" w:rsidP="003A01C4">
      <w:pPr>
        <w:spacing w:after="10" w:line="268" w:lineRule="auto"/>
        <w:ind w:left="0" w:right="0" w:firstLine="0"/>
      </w:pPr>
      <w:r>
        <w:rPr>
          <w:rStyle w:val="EndnoteReference"/>
        </w:rPr>
        <w:endnoteRef/>
      </w:r>
      <w:r>
        <w:t xml:space="preserve"> </w:t>
      </w:r>
      <w:r w:rsidR="00FA208E">
        <w:t xml:space="preserve">Lee, </w:t>
      </w:r>
      <w:r w:rsidR="00FA208E">
        <w:rPr>
          <w:i/>
        </w:rPr>
        <w:t>AI Superpowers</w:t>
      </w:r>
      <w:r w:rsidR="00FA208E">
        <w:t>.</w:t>
      </w:r>
    </w:p>
    <w:p w14:paraId="35FE400F" w14:textId="56772179" w:rsidR="001E1418" w:rsidRPr="005A76E4" w:rsidRDefault="001E1418" w:rsidP="003A01C4">
      <w:pPr>
        <w:pStyle w:val="EndnoteText"/>
        <w:ind w:left="0" w:firstLine="0"/>
        <w:rPr>
          <w:lang w:val="en-US"/>
        </w:rPr>
      </w:pPr>
    </w:p>
  </w:endnote>
  <w:endnote w:id="44">
    <w:p w14:paraId="45AAA2FE" w14:textId="77777777" w:rsidR="00FA208E" w:rsidRDefault="001E1418" w:rsidP="003A01C4">
      <w:pPr>
        <w:ind w:left="0" w:right="0" w:firstLine="0"/>
      </w:pPr>
      <w:r>
        <w:rPr>
          <w:rStyle w:val="EndnoteReference"/>
        </w:rPr>
        <w:endnoteRef/>
      </w:r>
      <w:r>
        <w:t xml:space="preserve"> </w:t>
      </w:r>
      <w:r w:rsidR="00FA208E">
        <w:t xml:space="preserve">‘OECD’s Live Repository of AI Strategies &amp; Policies: OECD.AI’, OECD, https://oecd.ai/en/dashboards/overview (accessed 23 February 2023). </w:t>
      </w:r>
    </w:p>
    <w:p w14:paraId="00B07224" w14:textId="3E3BCA8F" w:rsidR="001E1418" w:rsidRPr="00FA208E" w:rsidRDefault="001E1418" w:rsidP="003A01C4">
      <w:pPr>
        <w:pStyle w:val="EndnoteText"/>
        <w:ind w:left="0" w:firstLine="0"/>
      </w:pPr>
    </w:p>
  </w:endnote>
  <w:endnote w:id="45">
    <w:p w14:paraId="659CF28A" w14:textId="77777777" w:rsidR="00FA208E" w:rsidRDefault="001E1418" w:rsidP="003A01C4">
      <w:pPr>
        <w:ind w:left="0" w:right="0" w:firstLine="0"/>
      </w:pPr>
      <w:r>
        <w:rPr>
          <w:rStyle w:val="EndnoteReference"/>
        </w:rPr>
        <w:endnoteRef/>
      </w:r>
      <w:r>
        <w:t xml:space="preserve"> </w:t>
      </w:r>
      <w:r w:rsidR="00FA208E">
        <w:t xml:space="preserve">R. Jorge </w:t>
      </w:r>
      <w:proofErr w:type="spellStart"/>
      <w:r w:rsidR="00FA208E">
        <w:t>Ricart</w:t>
      </w:r>
      <w:proofErr w:type="spellEnd"/>
      <w:r w:rsidR="00FA208E">
        <w:t xml:space="preserve">, V. Van Roy, F. Rossetti, and L. Tangi, ‘AI Watch: National Strategies on Artificial Intelligence – A European Perspective: 2022 Edition’, JRC Publications Repository, 31 May 2022, https://publications.jrc.ec.europa.eu/repository/handle/JRC129123 (accessed 6 June 2023). </w:t>
      </w:r>
    </w:p>
    <w:p w14:paraId="6A394266" w14:textId="511191F7" w:rsidR="001E1418" w:rsidRPr="00FA208E" w:rsidRDefault="001E1418" w:rsidP="003A01C4">
      <w:pPr>
        <w:pStyle w:val="EndnoteText"/>
        <w:ind w:left="0" w:firstLine="0"/>
      </w:pPr>
    </w:p>
  </w:endnote>
  <w:endnote w:id="46">
    <w:p w14:paraId="7E753F9C" w14:textId="77777777" w:rsidR="00FA208E" w:rsidRDefault="001E1418" w:rsidP="003A01C4">
      <w:pPr>
        <w:ind w:left="0" w:right="0" w:firstLine="0"/>
      </w:pPr>
      <w:r>
        <w:rPr>
          <w:rStyle w:val="EndnoteReference"/>
        </w:rPr>
        <w:endnoteRef/>
      </w:r>
      <w:r>
        <w:t xml:space="preserve"> </w:t>
      </w:r>
      <w:r w:rsidR="00FA208E">
        <w:t xml:space="preserve">Intergovernmental representative, personal communication, May 2023. </w:t>
      </w:r>
    </w:p>
    <w:p w14:paraId="4906A391" w14:textId="731650C3" w:rsidR="001E1418" w:rsidRPr="00FA208E" w:rsidRDefault="001E1418" w:rsidP="003A01C4">
      <w:pPr>
        <w:pStyle w:val="EndnoteText"/>
        <w:ind w:left="0" w:firstLine="0"/>
      </w:pPr>
    </w:p>
  </w:endnote>
  <w:endnote w:id="47">
    <w:p w14:paraId="1BC49933" w14:textId="77777777" w:rsidR="00FA208E" w:rsidRDefault="00EB420D" w:rsidP="003A01C4">
      <w:pPr>
        <w:ind w:left="0" w:right="0" w:firstLine="0"/>
      </w:pPr>
      <w:r>
        <w:rPr>
          <w:rStyle w:val="EndnoteReference"/>
        </w:rPr>
        <w:endnoteRef/>
      </w:r>
      <w:r>
        <w:t xml:space="preserve"> </w:t>
      </w:r>
      <w:r w:rsidR="00FA208E">
        <w:t xml:space="preserve">V. Aula and J. Bowles, ‘Stepping Back from Data and AI for Good: Current Trends and Ways Forward’, </w:t>
      </w:r>
      <w:r w:rsidR="00FA208E">
        <w:rPr>
          <w:i/>
        </w:rPr>
        <w:t>Big Data and Society</w:t>
      </w:r>
      <w:r w:rsidR="00FA208E">
        <w:t xml:space="preserve"> 10, no. 1 (2023), DOI: https://doi.org/10.1177/20539517231173901. </w:t>
      </w:r>
    </w:p>
    <w:p w14:paraId="5F7E5A28" w14:textId="6035EFC6" w:rsidR="00EB420D" w:rsidRPr="00FA208E" w:rsidRDefault="00EB420D" w:rsidP="003A01C4">
      <w:pPr>
        <w:pStyle w:val="EndnoteText"/>
        <w:ind w:left="0" w:firstLine="0"/>
      </w:pPr>
    </w:p>
  </w:endnote>
  <w:endnote w:id="48">
    <w:p w14:paraId="519EEE41" w14:textId="77777777" w:rsidR="00FA208E" w:rsidRDefault="00EB420D" w:rsidP="003A01C4">
      <w:pPr>
        <w:ind w:left="0" w:right="0" w:firstLine="0"/>
      </w:pPr>
      <w:r>
        <w:rPr>
          <w:rStyle w:val="EndnoteReference"/>
        </w:rPr>
        <w:endnoteRef/>
      </w:r>
      <w:r>
        <w:t xml:space="preserve"> </w:t>
      </w:r>
      <w:r w:rsidR="00FA208E">
        <w:t>Y. Bengio and A. Oh, ‘AI for Public Domain Drug Discovery’, Global Partnership on Artificial Intelligence, November 2021, https://gpai.ai/ projects/ai-and-pandemic-response/public-domain-drug-discovery/ai-forpublic-domain-drug-discovery.pdf (accessed 4 June 2023).</w:t>
      </w:r>
    </w:p>
    <w:p w14:paraId="204C2A08" w14:textId="592722E1" w:rsidR="00EB420D" w:rsidRPr="00FA208E" w:rsidRDefault="00EB420D" w:rsidP="003A01C4">
      <w:pPr>
        <w:pStyle w:val="EndnoteText"/>
        <w:ind w:left="0" w:firstLine="0"/>
      </w:pPr>
    </w:p>
  </w:endnote>
  <w:endnote w:id="49">
    <w:p w14:paraId="52AF8B2C" w14:textId="77777777" w:rsidR="00FA208E" w:rsidRDefault="00EB420D" w:rsidP="003A01C4">
      <w:pPr>
        <w:ind w:left="0" w:right="0" w:firstLine="0"/>
      </w:pPr>
      <w:r>
        <w:rPr>
          <w:rStyle w:val="EndnoteReference"/>
        </w:rPr>
        <w:endnoteRef/>
      </w:r>
      <w:r>
        <w:t xml:space="preserve"> </w:t>
      </w:r>
      <w:r w:rsidR="00FA208E">
        <w:t xml:space="preserve">S. </w:t>
      </w:r>
      <w:proofErr w:type="spellStart"/>
      <w:r w:rsidR="00FA208E">
        <w:t>Ziesche</w:t>
      </w:r>
      <w:proofErr w:type="spellEnd"/>
      <w:r w:rsidR="00FA208E">
        <w:t xml:space="preserve">, ‘Open Data for AI: What Now?’, UNESCO, 2023, https:// unesdoc.unesco.org/ark:/48223/pf0000385841 (accessed 4 June 2023). </w:t>
      </w:r>
    </w:p>
    <w:p w14:paraId="43D75B73" w14:textId="337B025C" w:rsidR="00EB420D" w:rsidRPr="00FA208E" w:rsidRDefault="00EB420D" w:rsidP="003A01C4">
      <w:pPr>
        <w:pStyle w:val="EndnoteText"/>
        <w:ind w:left="0" w:firstLine="0"/>
      </w:pPr>
    </w:p>
  </w:endnote>
  <w:endnote w:id="50">
    <w:p w14:paraId="4DBE7AC9" w14:textId="77777777" w:rsidR="00FA208E" w:rsidRDefault="00EB420D" w:rsidP="003A01C4">
      <w:pPr>
        <w:ind w:left="0" w:right="0" w:firstLine="0"/>
      </w:pPr>
      <w:r>
        <w:rPr>
          <w:rStyle w:val="EndnoteReference"/>
        </w:rPr>
        <w:endnoteRef/>
      </w:r>
      <w:r>
        <w:t xml:space="preserve"> </w:t>
      </w:r>
      <w:proofErr w:type="spellStart"/>
      <w:r w:rsidR="00FA208E">
        <w:t>Ziesche</w:t>
      </w:r>
      <w:proofErr w:type="spellEnd"/>
      <w:r w:rsidR="00FA208E">
        <w:t>, ‘Open Data for AI.</w:t>
      </w:r>
    </w:p>
    <w:p w14:paraId="386991AA" w14:textId="1F793D73" w:rsidR="00EB420D" w:rsidRPr="00FA208E" w:rsidRDefault="00EB420D" w:rsidP="003A01C4">
      <w:pPr>
        <w:pStyle w:val="EndnoteText"/>
        <w:ind w:left="0" w:firstLine="0"/>
      </w:pPr>
    </w:p>
  </w:endnote>
  <w:endnote w:id="51">
    <w:p w14:paraId="09C7A031" w14:textId="77777777" w:rsidR="00FA208E" w:rsidRDefault="00EB420D" w:rsidP="003A01C4">
      <w:pPr>
        <w:ind w:left="0" w:right="0" w:firstLine="0"/>
      </w:pPr>
      <w:r>
        <w:rPr>
          <w:rStyle w:val="EndnoteReference"/>
        </w:rPr>
        <w:endnoteRef/>
      </w:r>
      <w:r>
        <w:t xml:space="preserve"> </w:t>
      </w:r>
      <w:proofErr w:type="spellStart"/>
      <w:r w:rsidR="00FA208E">
        <w:t>Aguerre</w:t>
      </w:r>
      <w:proofErr w:type="spellEnd"/>
      <w:r w:rsidR="00FA208E">
        <w:t xml:space="preserve">, Campbell-Verduyn, and Scholte, </w:t>
      </w:r>
      <w:r w:rsidR="00FA208E">
        <w:rPr>
          <w:i/>
        </w:rPr>
        <w:t>Digital Data Governance</w:t>
      </w:r>
      <w:r w:rsidR="00FA208E">
        <w:t>.</w:t>
      </w:r>
    </w:p>
    <w:p w14:paraId="54840739" w14:textId="4A592AAD" w:rsidR="00EB420D" w:rsidRPr="00FA208E" w:rsidRDefault="00EB420D" w:rsidP="003A01C4">
      <w:pPr>
        <w:pStyle w:val="EndnoteText"/>
        <w:ind w:left="0" w:firstLine="0"/>
      </w:pPr>
    </w:p>
  </w:endnote>
  <w:endnote w:id="52">
    <w:p w14:paraId="03DDCD52" w14:textId="77777777" w:rsidR="00FA208E" w:rsidRDefault="00EB420D" w:rsidP="003A01C4">
      <w:pPr>
        <w:ind w:left="0" w:right="0" w:firstLine="0"/>
      </w:pPr>
      <w:r>
        <w:rPr>
          <w:rStyle w:val="EndnoteReference"/>
        </w:rPr>
        <w:endnoteRef/>
      </w:r>
      <w:r>
        <w:t xml:space="preserve"> </w:t>
      </w:r>
      <w:proofErr w:type="spellStart"/>
      <w:r w:rsidR="00FA208E">
        <w:t>Koinova</w:t>
      </w:r>
      <w:proofErr w:type="spellEnd"/>
      <w:r w:rsidR="00FA208E">
        <w:t xml:space="preserve">, </w:t>
      </w:r>
      <w:proofErr w:type="spellStart"/>
      <w:r w:rsidR="00FA208E">
        <w:t>Deloffre</w:t>
      </w:r>
      <w:proofErr w:type="spellEnd"/>
      <w:r w:rsidR="00FA208E">
        <w:t xml:space="preserve">, </w:t>
      </w:r>
      <w:proofErr w:type="spellStart"/>
      <w:r w:rsidR="00FA208E">
        <w:t>Gadinger</w:t>
      </w:r>
      <w:proofErr w:type="spellEnd"/>
      <w:r w:rsidR="00FA208E">
        <w:t xml:space="preserve">, </w:t>
      </w:r>
      <w:proofErr w:type="spellStart"/>
      <w:r w:rsidR="00FA208E">
        <w:t>Mencutek</w:t>
      </w:r>
      <w:proofErr w:type="spellEnd"/>
      <w:r w:rsidR="00FA208E">
        <w:t xml:space="preserve">, Scholte, and </w:t>
      </w:r>
      <w:proofErr w:type="spellStart"/>
      <w:r w:rsidR="00FA208E">
        <w:t>Steffek</w:t>
      </w:r>
      <w:proofErr w:type="spellEnd"/>
      <w:r w:rsidR="00FA208E">
        <w:t xml:space="preserve"> ‘It’s Ordered Chaos’.</w:t>
      </w:r>
    </w:p>
    <w:p w14:paraId="75EFA0DD" w14:textId="6F1A627B" w:rsidR="00EB420D" w:rsidRPr="00FA208E" w:rsidRDefault="00EB420D" w:rsidP="003A01C4">
      <w:pPr>
        <w:pStyle w:val="EndnoteText"/>
        <w:ind w:left="0" w:firstLine="0"/>
      </w:pPr>
    </w:p>
  </w:endnote>
  <w:endnote w:id="53">
    <w:p w14:paraId="5FA9229D" w14:textId="77777777" w:rsidR="00FA208E" w:rsidRDefault="00EB420D" w:rsidP="003A01C4">
      <w:pPr>
        <w:ind w:left="0" w:right="0" w:firstLine="0"/>
      </w:pPr>
      <w:r>
        <w:rPr>
          <w:rStyle w:val="EndnoteReference"/>
        </w:rPr>
        <w:endnoteRef/>
      </w:r>
      <w:r>
        <w:t xml:space="preserve"> </w:t>
      </w:r>
      <w:proofErr w:type="spellStart"/>
      <w:r w:rsidR="00FA208E">
        <w:t>Gadinger</w:t>
      </w:r>
      <w:proofErr w:type="spellEnd"/>
      <w:r w:rsidR="00FA208E">
        <w:t xml:space="preserve"> and Scholte, </w:t>
      </w:r>
      <w:r w:rsidR="00FA208E">
        <w:rPr>
          <w:i/>
        </w:rPr>
        <w:t>Polycentrism</w:t>
      </w:r>
      <w:r w:rsidR="00FA208E">
        <w:t>.</w:t>
      </w:r>
    </w:p>
    <w:p w14:paraId="115A787F" w14:textId="76A1BD58" w:rsidR="00EB420D" w:rsidRPr="005A76E4" w:rsidRDefault="00EB420D" w:rsidP="003A01C4">
      <w:pPr>
        <w:pStyle w:val="EndnoteText"/>
        <w:ind w:left="0" w:firstLine="0"/>
        <w:rPr>
          <w:lang w:val="en-US"/>
        </w:rPr>
      </w:pPr>
    </w:p>
  </w:endnote>
  <w:endnote w:id="54">
    <w:p w14:paraId="41FFF4CE" w14:textId="77777777" w:rsidR="00FA208E" w:rsidRDefault="00EB420D" w:rsidP="003A01C4">
      <w:pPr>
        <w:ind w:left="0" w:right="0" w:firstLine="0"/>
      </w:pPr>
      <w:r>
        <w:rPr>
          <w:rStyle w:val="EndnoteReference"/>
        </w:rPr>
        <w:endnoteRef/>
      </w:r>
      <w:r>
        <w:t xml:space="preserve"> </w:t>
      </w:r>
      <w:r w:rsidR="00FA208E">
        <w:t xml:space="preserve">S. A. Aaronson, ‘Data Is Different: Why the World Needs a New Approach to Governing Cross-Border Data Flows’, CIGI Paper No. 197, Centre for International Governance Innovation (CIGI), 2018; M. </w:t>
      </w:r>
      <w:proofErr w:type="spellStart"/>
      <w:r w:rsidR="00FA208E">
        <w:t>Flyverbom</w:t>
      </w:r>
      <w:proofErr w:type="spellEnd"/>
      <w:r w:rsidR="00FA208E">
        <w:t xml:space="preserve">, R. </w:t>
      </w:r>
      <w:proofErr w:type="spellStart"/>
      <w:r w:rsidR="00FA208E">
        <w:t>Deibert</w:t>
      </w:r>
      <w:proofErr w:type="spellEnd"/>
      <w:r w:rsidR="00FA208E">
        <w:t xml:space="preserve">, and D. Matten, ‘The Governance of Digital Technology, Big Data, and the Internet: New Roles and Responsibilities for Business’, </w:t>
      </w:r>
      <w:r w:rsidR="00FA208E">
        <w:rPr>
          <w:i/>
        </w:rPr>
        <w:t>Business and Society</w:t>
      </w:r>
      <w:r w:rsidR="00FA208E">
        <w:t xml:space="preserve"> 3, no. 58 (2019): 3–19, DOI: https://doi. org/10.1177/0007650317727540.</w:t>
      </w:r>
    </w:p>
    <w:p w14:paraId="455C2F2A" w14:textId="135F6D76" w:rsidR="00EB420D" w:rsidRPr="00FA208E" w:rsidRDefault="00EB420D" w:rsidP="003A01C4">
      <w:pPr>
        <w:pStyle w:val="EndnoteText"/>
        <w:ind w:left="0" w:firstLine="0"/>
      </w:pPr>
    </w:p>
  </w:endnote>
  <w:endnote w:id="55">
    <w:p w14:paraId="44AEBB7B" w14:textId="77777777" w:rsidR="00FA208E" w:rsidRDefault="00EB420D" w:rsidP="003A01C4">
      <w:pPr>
        <w:spacing w:after="10" w:line="268" w:lineRule="auto"/>
        <w:ind w:left="0" w:right="0" w:firstLine="0"/>
      </w:pPr>
      <w:r>
        <w:rPr>
          <w:rStyle w:val="EndnoteReference"/>
        </w:rPr>
        <w:endnoteRef/>
      </w:r>
      <w:r>
        <w:t xml:space="preserve"> </w:t>
      </w:r>
      <w:r w:rsidR="00FA208E">
        <w:t xml:space="preserve">V. </w:t>
      </w:r>
      <w:proofErr w:type="spellStart"/>
      <w:r w:rsidR="00FA208E">
        <w:t>Lehdonvirta</w:t>
      </w:r>
      <w:proofErr w:type="spellEnd"/>
      <w:r w:rsidR="00FA208E">
        <w:t xml:space="preserve">, </w:t>
      </w:r>
      <w:r w:rsidR="00FA208E">
        <w:rPr>
          <w:i/>
        </w:rPr>
        <w:t>Cloud Empires: How Digital Platforms Are Overtaking the State and How We Can Regain Control</w:t>
      </w:r>
      <w:r w:rsidR="00FA208E">
        <w:t xml:space="preserve"> (MIT Press, 2022).</w:t>
      </w:r>
    </w:p>
    <w:p w14:paraId="5E07E2AD" w14:textId="7E5B399E" w:rsidR="00EB420D" w:rsidRPr="00FA208E" w:rsidRDefault="00EB420D" w:rsidP="003A01C4">
      <w:pPr>
        <w:pStyle w:val="EndnoteText"/>
        <w:ind w:left="0" w:firstLine="0"/>
      </w:pPr>
    </w:p>
  </w:endnote>
  <w:endnote w:id="56">
    <w:p w14:paraId="34845A78" w14:textId="77777777" w:rsidR="000816BB" w:rsidRDefault="00EB420D" w:rsidP="003A01C4">
      <w:pPr>
        <w:ind w:left="0" w:right="0" w:firstLine="0"/>
      </w:pPr>
      <w:r>
        <w:rPr>
          <w:rStyle w:val="EndnoteReference"/>
        </w:rPr>
        <w:endnoteRef/>
      </w:r>
      <w:r>
        <w:t xml:space="preserve"> </w:t>
      </w:r>
      <w:r w:rsidR="000816BB">
        <w:t xml:space="preserve">S. Delacroix and N. D. Lawrence, ‘Bottom-up Data Trusts: Disturbing the “One Size Fits All” Approach to Data Governance’, </w:t>
      </w:r>
      <w:r w:rsidR="000816BB">
        <w:rPr>
          <w:i/>
        </w:rPr>
        <w:t>International Data Privacy Law</w:t>
      </w:r>
      <w:r w:rsidR="000816BB">
        <w:t xml:space="preserve"> 236, no. 9 (2019): 236–252, DOI:  https://doi.org/10.1093/ </w:t>
      </w:r>
      <w:proofErr w:type="spellStart"/>
      <w:r w:rsidR="000816BB">
        <w:t>idpl</w:t>
      </w:r>
      <w:proofErr w:type="spellEnd"/>
      <w:r w:rsidR="000816BB">
        <w:t xml:space="preserve">/ipz014; ‘Participatory Data Governance’, Ada Lovelace Institute, https://www.adalovelaceinstitute.org/project/participatory-data-governance (accessed 6 June 2023); Anouk </w:t>
      </w:r>
      <w:proofErr w:type="spellStart"/>
      <w:r w:rsidR="000816BB">
        <w:t>Ruhaak</w:t>
      </w:r>
      <w:proofErr w:type="spellEnd"/>
      <w:r w:rsidR="000816BB">
        <w:t xml:space="preserve">, Greg Bloom, Angie Raymond, Willa Tavernier, Divya </w:t>
      </w:r>
      <w:proofErr w:type="spellStart"/>
      <w:r w:rsidR="000816BB">
        <w:t>Siddarth</w:t>
      </w:r>
      <w:proofErr w:type="spellEnd"/>
      <w:r w:rsidR="000816BB">
        <w:t xml:space="preserve">, Gary </w:t>
      </w:r>
      <w:proofErr w:type="spellStart"/>
      <w:r w:rsidR="000816BB">
        <w:t>Motz</w:t>
      </w:r>
      <w:proofErr w:type="spellEnd"/>
      <w:r w:rsidR="000816BB">
        <w:t xml:space="preserve">, and Melanie Dulong de </w:t>
      </w:r>
      <w:proofErr w:type="spellStart"/>
      <w:r w:rsidR="000816BB">
        <w:t>Rosnay</w:t>
      </w:r>
      <w:proofErr w:type="spellEnd"/>
      <w:r w:rsidR="000816BB">
        <w:t xml:space="preserve">, ‘A Practical Framework for Applying Ostrom’s Principles to Data Commons Governance’, Mozilla, 6 December 2021, https://foundation.mozilla.org/ en/blog/a-practical-framework-for-applying-ostroms-principles-to-datacommons-governance (accessed 6 June 2023); A. Powell, R. Johnson, and R, Herbert, ‘Achieving an Equitable Transition to Open Access for Researchers in Lower and Middle-Income Countries [ICSR Perspectives]’, 11 June 2020, https://papers.ssrn.com/abstract=3624782 (accessed 6 June 2023). </w:t>
      </w:r>
    </w:p>
    <w:p w14:paraId="4067618B" w14:textId="548F852F" w:rsidR="00EB420D" w:rsidRPr="000816BB" w:rsidRDefault="00EB420D" w:rsidP="003A01C4">
      <w:pPr>
        <w:pStyle w:val="EndnoteText"/>
        <w:ind w:left="0" w:firstLine="0"/>
      </w:pPr>
    </w:p>
  </w:endnote>
  <w:endnote w:id="57">
    <w:p w14:paraId="0925D42C" w14:textId="77777777" w:rsidR="000816BB" w:rsidRDefault="00EB420D" w:rsidP="003A01C4">
      <w:pPr>
        <w:ind w:left="0" w:right="0" w:firstLine="0"/>
      </w:pPr>
      <w:r>
        <w:rPr>
          <w:rStyle w:val="EndnoteReference"/>
        </w:rPr>
        <w:endnoteRef/>
      </w:r>
      <w:r>
        <w:t xml:space="preserve"> </w:t>
      </w:r>
      <w:r w:rsidR="000816BB">
        <w:t>Black, ‘Constructing and Contesting Legitimacy and Accountability’, 138.</w:t>
      </w:r>
    </w:p>
    <w:p w14:paraId="28D9B37D" w14:textId="0B493FE1" w:rsidR="00EB420D" w:rsidRPr="000816BB" w:rsidRDefault="00EB420D" w:rsidP="003A01C4">
      <w:pPr>
        <w:pStyle w:val="EndnoteText"/>
        <w:ind w:left="0" w:firstLine="0"/>
      </w:pPr>
    </w:p>
  </w:endnote>
  <w:endnote w:id="58">
    <w:p w14:paraId="3F4DB998" w14:textId="77777777" w:rsidR="000816BB" w:rsidRDefault="00EB420D" w:rsidP="003A01C4">
      <w:pPr>
        <w:ind w:left="0" w:right="0" w:firstLine="0"/>
      </w:pPr>
      <w:r>
        <w:rPr>
          <w:rStyle w:val="EndnoteReference"/>
        </w:rPr>
        <w:endnoteRef/>
      </w:r>
      <w:r>
        <w:t xml:space="preserve"> </w:t>
      </w:r>
      <w:proofErr w:type="spellStart"/>
      <w:r w:rsidR="000816BB">
        <w:t>Gadinger</w:t>
      </w:r>
      <w:proofErr w:type="spellEnd"/>
      <w:r w:rsidR="000816BB">
        <w:t xml:space="preserve"> and Scholte, </w:t>
      </w:r>
      <w:r w:rsidR="000816BB">
        <w:rPr>
          <w:i/>
        </w:rPr>
        <w:t>Polycentrism</w:t>
      </w:r>
      <w:r w:rsidR="000816BB">
        <w:t xml:space="preserve">; </w:t>
      </w:r>
      <w:proofErr w:type="spellStart"/>
      <w:r w:rsidR="000816BB">
        <w:t>Koinova</w:t>
      </w:r>
      <w:proofErr w:type="spellEnd"/>
      <w:r w:rsidR="000816BB">
        <w:t xml:space="preserve">, </w:t>
      </w:r>
      <w:proofErr w:type="spellStart"/>
      <w:r w:rsidR="000816BB">
        <w:t>Deloffre</w:t>
      </w:r>
      <w:proofErr w:type="spellEnd"/>
      <w:r w:rsidR="000816BB">
        <w:t xml:space="preserve">, </w:t>
      </w:r>
      <w:proofErr w:type="spellStart"/>
      <w:r w:rsidR="000816BB">
        <w:t>Gadinger</w:t>
      </w:r>
      <w:proofErr w:type="spellEnd"/>
      <w:r w:rsidR="000816BB">
        <w:t xml:space="preserve">, </w:t>
      </w:r>
      <w:proofErr w:type="spellStart"/>
      <w:r w:rsidR="000816BB">
        <w:t>Mencutek</w:t>
      </w:r>
      <w:proofErr w:type="spellEnd"/>
      <w:r w:rsidR="000816BB">
        <w:t xml:space="preserve">, Scholte, and </w:t>
      </w:r>
      <w:proofErr w:type="spellStart"/>
      <w:r w:rsidR="000816BB">
        <w:t>Steffek</w:t>
      </w:r>
      <w:proofErr w:type="spellEnd"/>
      <w:r w:rsidR="000816BB">
        <w:t>, ‘It’s Ordered Chaos’.</w:t>
      </w:r>
    </w:p>
    <w:p w14:paraId="223522E7" w14:textId="23D5DD1A" w:rsidR="00EB420D" w:rsidRPr="005A76E4" w:rsidRDefault="00EB420D" w:rsidP="003A01C4">
      <w:pPr>
        <w:pStyle w:val="EndnoteText"/>
        <w:ind w:left="0" w:firstLine="0"/>
        <w:rPr>
          <w:lang w:val="en-US"/>
        </w:rPr>
      </w:pPr>
    </w:p>
  </w:endnote>
  <w:endnote w:id="59">
    <w:p w14:paraId="7406501C" w14:textId="77777777" w:rsidR="000816BB" w:rsidRDefault="00EB420D" w:rsidP="003A01C4">
      <w:pPr>
        <w:ind w:left="0" w:right="0" w:firstLine="0"/>
      </w:pPr>
      <w:r>
        <w:rPr>
          <w:rStyle w:val="EndnoteReference"/>
        </w:rPr>
        <w:endnoteRef/>
      </w:r>
      <w:r>
        <w:t xml:space="preserve"> </w:t>
      </w:r>
      <w:r w:rsidR="000816BB">
        <w:t>Black, ‘Constructing and Contesting Legitimacy and Accountability’, 39.</w:t>
      </w:r>
    </w:p>
    <w:p w14:paraId="668D53E1" w14:textId="313C48E5" w:rsidR="00EB420D" w:rsidRPr="000816BB" w:rsidRDefault="00EB420D" w:rsidP="003A01C4">
      <w:pPr>
        <w:pStyle w:val="EndnoteText"/>
        <w:ind w:left="0" w:firstLine="0"/>
      </w:pPr>
    </w:p>
  </w:endnote>
  <w:endnote w:id="60">
    <w:p w14:paraId="4B01612E" w14:textId="77777777" w:rsidR="000816BB" w:rsidRDefault="00EB420D" w:rsidP="003A01C4">
      <w:pPr>
        <w:ind w:left="0" w:right="0" w:firstLine="0"/>
      </w:pPr>
      <w:r>
        <w:rPr>
          <w:rStyle w:val="EndnoteReference"/>
        </w:rPr>
        <w:endnoteRef/>
      </w:r>
      <w:r>
        <w:t xml:space="preserve"> </w:t>
      </w:r>
      <w:proofErr w:type="spellStart"/>
      <w:r w:rsidR="000816BB">
        <w:t>Aguerre</w:t>
      </w:r>
      <w:proofErr w:type="spellEnd"/>
      <w:r w:rsidR="000816BB">
        <w:t xml:space="preserve">, Campbell-Verduyn, and Scholte, </w:t>
      </w:r>
      <w:r w:rsidR="000816BB">
        <w:rPr>
          <w:i/>
        </w:rPr>
        <w:t>Digital Data Governance</w:t>
      </w:r>
      <w:r w:rsidR="000816BB">
        <w:t>.</w:t>
      </w:r>
    </w:p>
    <w:p w14:paraId="5E4B7FB3" w14:textId="0EFA00CC" w:rsidR="00EB420D" w:rsidRPr="000816BB" w:rsidRDefault="00EB420D" w:rsidP="003A01C4">
      <w:pPr>
        <w:pStyle w:val="EndnoteText"/>
        <w:ind w:left="0" w:firstLine="0"/>
      </w:pPr>
    </w:p>
  </w:endnote>
  <w:endnote w:id="61">
    <w:p w14:paraId="75176809" w14:textId="77777777" w:rsidR="000816BB" w:rsidRDefault="00EB420D" w:rsidP="003A01C4">
      <w:pPr>
        <w:ind w:left="0" w:right="0" w:firstLine="0"/>
      </w:pPr>
      <w:r>
        <w:rPr>
          <w:rStyle w:val="EndnoteReference"/>
        </w:rPr>
        <w:endnoteRef/>
      </w:r>
      <w:r>
        <w:t xml:space="preserve"> </w:t>
      </w:r>
      <w:proofErr w:type="spellStart"/>
      <w:r w:rsidR="000816BB">
        <w:t>Gadinger</w:t>
      </w:r>
      <w:proofErr w:type="spellEnd"/>
      <w:r w:rsidR="000816BB">
        <w:t xml:space="preserve"> and Scholte, </w:t>
      </w:r>
      <w:r w:rsidR="000816BB">
        <w:rPr>
          <w:i/>
        </w:rPr>
        <w:t>Polycentrism</w:t>
      </w:r>
      <w:r w:rsidR="000816BB">
        <w:t>.</w:t>
      </w:r>
    </w:p>
    <w:p w14:paraId="727CBC0F" w14:textId="1DFF127D" w:rsidR="00EB420D" w:rsidRPr="005A76E4" w:rsidRDefault="00EB420D" w:rsidP="003A01C4">
      <w:pPr>
        <w:pStyle w:val="EndnoteText"/>
        <w:ind w:left="0" w:firstLine="0"/>
        <w:rPr>
          <w:lang w:val="en-US"/>
        </w:rPr>
      </w:pPr>
    </w:p>
  </w:endnote>
  <w:endnote w:id="62">
    <w:p w14:paraId="5C4332A2" w14:textId="77777777" w:rsidR="000816BB" w:rsidRDefault="00EB420D" w:rsidP="003A01C4">
      <w:pPr>
        <w:ind w:left="0" w:right="0" w:firstLine="0"/>
      </w:pPr>
      <w:r>
        <w:rPr>
          <w:rStyle w:val="EndnoteReference"/>
        </w:rPr>
        <w:endnoteRef/>
      </w:r>
      <w:r>
        <w:t xml:space="preserve"> </w:t>
      </w:r>
      <w:r w:rsidR="000816BB">
        <w:t xml:space="preserve">J. A. Scholte, ‘Polycentrism and Democracy in Internet Governance’, in </w:t>
      </w:r>
      <w:r w:rsidR="000816BB">
        <w:rPr>
          <w:i/>
        </w:rPr>
        <w:t>The Net and the Nation State: Multidisciplinary Perspectives on Internet Governance</w:t>
      </w:r>
      <w:r w:rsidR="000816BB">
        <w:t xml:space="preserve">, ed. Uta Kohl, 165–184 (Cambridge University Press, 2017). </w:t>
      </w:r>
    </w:p>
    <w:p w14:paraId="1D9E4F07" w14:textId="18FA47FF" w:rsidR="00EB420D" w:rsidRPr="005A76E4" w:rsidRDefault="00EB420D" w:rsidP="003A01C4">
      <w:pPr>
        <w:pStyle w:val="EndnoteText"/>
        <w:ind w:left="0" w:firstLine="0"/>
        <w:rPr>
          <w:lang w:val="en-US"/>
        </w:rPr>
      </w:pPr>
    </w:p>
  </w:endnote>
  <w:endnote w:id="63">
    <w:p w14:paraId="55652217" w14:textId="77777777" w:rsidR="000816BB" w:rsidRDefault="00EB420D" w:rsidP="003A01C4">
      <w:pPr>
        <w:ind w:left="0" w:right="0" w:firstLine="0"/>
      </w:pPr>
      <w:r>
        <w:rPr>
          <w:rStyle w:val="EndnoteReference"/>
        </w:rPr>
        <w:endnoteRef/>
      </w:r>
      <w:r>
        <w:t xml:space="preserve"> </w:t>
      </w:r>
      <w:proofErr w:type="spellStart"/>
      <w:r w:rsidR="000816BB">
        <w:t>Koinova</w:t>
      </w:r>
      <w:proofErr w:type="spellEnd"/>
      <w:r w:rsidR="000816BB">
        <w:t xml:space="preserve">, </w:t>
      </w:r>
      <w:proofErr w:type="spellStart"/>
      <w:r w:rsidR="000816BB">
        <w:t>Deloffre</w:t>
      </w:r>
      <w:proofErr w:type="spellEnd"/>
      <w:r w:rsidR="000816BB">
        <w:t xml:space="preserve">, </w:t>
      </w:r>
      <w:proofErr w:type="spellStart"/>
      <w:r w:rsidR="000816BB">
        <w:t>Gadinger</w:t>
      </w:r>
      <w:proofErr w:type="spellEnd"/>
      <w:r w:rsidR="000816BB">
        <w:t xml:space="preserve">, </w:t>
      </w:r>
      <w:proofErr w:type="spellStart"/>
      <w:r w:rsidR="000816BB">
        <w:t>Mencutek</w:t>
      </w:r>
      <w:proofErr w:type="spellEnd"/>
      <w:r w:rsidR="000816BB">
        <w:t xml:space="preserve">, Scholte, and </w:t>
      </w:r>
      <w:proofErr w:type="spellStart"/>
      <w:r w:rsidR="000816BB">
        <w:t>Steffek</w:t>
      </w:r>
      <w:proofErr w:type="spellEnd"/>
      <w:r w:rsidR="000816BB">
        <w:t xml:space="preserve"> ‘It’s Ordered Chaos’. </w:t>
      </w:r>
    </w:p>
    <w:p w14:paraId="08FBA588" w14:textId="23D9A49F" w:rsidR="00EB420D" w:rsidRPr="005A76E4" w:rsidRDefault="00EB420D" w:rsidP="003A01C4">
      <w:pPr>
        <w:pStyle w:val="EndnoteText"/>
        <w:ind w:left="0" w:firstLine="0"/>
        <w:rPr>
          <w:lang w:val="en-US"/>
        </w:rPr>
      </w:pPr>
    </w:p>
  </w:endnote>
  <w:endnote w:id="64">
    <w:p w14:paraId="5C65B9AA" w14:textId="77777777" w:rsidR="000816BB" w:rsidRDefault="00EB420D" w:rsidP="003A01C4">
      <w:pPr>
        <w:ind w:left="0" w:right="0" w:firstLine="0"/>
      </w:pPr>
      <w:r>
        <w:rPr>
          <w:rStyle w:val="EndnoteReference"/>
        </w:rPr>
        <w:endnoteRef/>
      </w:r>
      <w:r>
        <w:t xml:space="preserve"> </w:t>
      </w:r>
      <w:proofErr w:type="spellStart"/>
      <w:r w:rsidR="000816BB">
        <w:t>Koinova</w:t>
      </w:r>
      <w:proofErr w:type="spellEnd"/>
      <w:r w:rsidR="000816BB">
        <w:t xml:space="preserve">, </w:t>
      </w:r>
      <w:proofErr w:type="spellStart"/>
      <w:r w:rsidR="000816BB">
        <w:t>Deloffre</w:t>
      </w:r>
      <w:proofErr w:type="spellEnd"/>
      <w:r w:rsidR="000816BB">
        <w:t xml:space="preserve">, </w:t>
      </w:r>
      <w:proofErr w:type="spellStart"/>
      <w:r w:rsidR="000816BB">
        <w:t>Gadinger</w:t>
      </w:r>
      <w:proofErr w:type="spellEnd"/>
      <w:r w:rsidR="000816BB">
        <w:t xml:space="preserve">, </w:t>
      </w:r>
      <w:proofErr w:type="spellStart"/>
      <w:r w:rsidR="000816BB">
        <w:t>Mencutek</w:t>
      </w:r>
      <w:proofErr w:type="spellEnd"/>
      <w:r w:rsidR="000816BB">
        <w:t xml:space="preserve">, Scholte, and </w:t>
      </w:r>
      <w:proofErr w:type="spellStart"/>
      <w:r w:rsidR="000816BB">
        <w:t>Steffek</w:t>
      </w:r>
      <w:proofErr w:type="spellEnd"/>
      <w:r w:rsidR="000816BB">
        <w:t xml:space="preserve"> ‘It’s Ordered Chaos’.</w:t>
      </w:r>
    </w:p>
    <w:p w14:paraId="3FF00211" w14:textId="45908DC4" w:rsidR="00EB420D" w:rsidRPr="000816BB" w:rsidRDefault="00EB420D" w:rsidP="003A01C4">
      <w:pPr>
        <w:pStyle w:val="EndnoteText"/>
        <w:ind w:left="0" w:firstLine="0"/>
      </w:pPr>
    </w:p>
  </w:endnote>
  <w:endnote w:id="65">
    <w:p w14:paraId="04BAE733" w14:textId="77777777" w:rsidR="000816BB" w:rsidRDefault="00EB420D" w:rsidP="003A01C4">
      <w:pPr>
        <w:ind w:left="0" w:right="0" w:firstLine="0"/>
      </w:pPr>
      <w:r>
        <w:rPr>
          <w:rStyle w:val="EndnoteReference"/>
        </w:rPr>
        <w:endnoteRef/>
      </w:r>
      <w:r>
        <w:t xml:space="preserve"> </w:t>
      </w:r>
      <w:proofErr w:type="spellStart"/>
      <w:r w:rsidR="000816BB">
        <w:t>Gadinger</w:t>
      </w:r>
      <w:proofErr w:type="spellEnd"/>
      <w:r w:rsidR="000816BB">
        <w:t xml:space="preserve"> and Scholte, </w:t>
      </w:r>
      <w:r w:rsidR="000816BB">
        <w:rPr>
          <w:i/>
        </w:rPr>
        <w:t>Polycentrism</w:t>
      </w:r>
      <w:r w:rsidR="000816BB">
        <w:t>.</w:t>
      </w:r>
    </w:p>
    <w:p w14:paraId="4DFC2D23" w14:textId="114436B8" w:rsidR="00EB420D" w:rsidRPr="005A76E4" w:rsidRDefault="00EB420D" w:rsidP="003A01C4">
      <w:pPr>
        <w:pStyle w:val="EndnoteText"/>
        <w:tabs>
          <w:tab w:val="left" w:pos="794"/>
        </w:tabs>
        <w:ind w:left="0" w:firstLine="0"/>
        <w:rPr>
          <w:lang w:val="en-US"/>
        </w:rPr>
      </w:pPr>
    </w:p>
  </w:endnote>
  <w:endnote w:id="66">
    <w:p w14:paraId="0F25A601" w14:textId="77777777" w:rsidR="000816BB" w:rsidRDefault="00EB420D" w:rsidP="003A01C4">
      <w:pPr>
        <w:ind w:left="0" w:right="0" w:firstLine="0"/>
      </w:pPr>
      <w:r>
        <w:rPr>
          <w:rStyle w:val="EndnoteReference"/>
        </w:rPr>
        <w:endnoteRef/>
      </w:r>
      <w:r>
        <w:t xml:space="preserve"> </w:t>
      </w:r>
      <w:r w:rsidR="000816BB">
        <w:t>Former government advisor, personal communication, May 2023.</w:t>
      </w:r>
    </w:p>
    <w:p w14:paraId="1FE33FAA" w14:textId="325E20CC" w:rsidR="00EB420D" w:rsidRPr="000816BB" w:rsidRDefault="00EB420D" w:rsidP="003A01C4">
      <w:pPr>
        <w:pStyle w:val="EndnoteText"/>
        <w:ind w:left="0" w:firstLine="0"/>
      </w:pPr>
    </w:p>
  </w:endnote>
  <w:endnote w:id="67">
    <w:p w14:paraId="16E10661" w14:textId="77777777" w:rsidR="000816BB" w:rsidRDefault="00EB420D" w:rsidP="003A01C4">
      <w:pPr>
        <w:ind w:left="0" w:right="0" w:firstLine="0"/>
      </w:pPr>
      <w:r>
        <w:rPr>
          <w:rStyle w:val="EndnoteReference"/>
        </w:rPr>
        <w:endnoteRef/>
      </w:r>
      <w:r>
        <w:t xml:space="preserve"> </w:t>
      </w:r>
      <w:r w:rsidR="000816BB">
        <w:t xml:space="preserve">Wilkinson, Dumontier, </w:t>
      </w:r>
      <w:proofErr w:type="spellStart"/>
      <w:r w:rsidR="000816BB">
        <w:t>Aalbersberg</w:t>
      </w:r>
      <w:proofErr w:type="spellEnd"/>
      <w:r w:rsidR="000816BB">
        <w:t xml:space="preserve">, Appleton, Axton, </w:t>
      </w:r>
      <w:proofErr w:type="spellStart"/>
      <w:r w:rsidR="000816BB">
        <w:t>Baak</w:t>
      </w:r>
      <w:proofErr w:type="spellEnd"/>
      <w:r w:rsidR="000816BB">
        <w:t xml:space="preserve">, Blomberg, </w:t>
      </w:r>
      <w:proofErr w:type="spellStart"/>
      <w:r w:rsidR="000816BB">
        <w:t>Boiten</w:t>
      </w:r>
      <w:proofErr w:type="spellEnd"/>
      <w:r w:rsidR="000816BB">
        <w:t xml:space="preserve">, Santos, </w:t>
      </w:r>
      <w:proofErr w:type="spellStart"/>
      <w:r w:rsidR="000816BB">
        <w:t>Bourne</w:t>
      </w:r>
      <w:proofErr w:type="spellEnd"/>
      <w:r w:rsidR="000816BB">
        <w:t xml:space="preserve">, </w:t>
      </w:r>
      <w:proofErr w:type="spellStart"/>
      <w:r w:rsidR="000816BB">
        <w:t>Bouwman</w:t>
      </w:r>
      <w:proofErr w:type="spellEnd"/>
      <w:r w:rsidR="000816BB">
        <w:t xml:space="preserve">, Brookes, Clark, </w:t>
      </w:r>
      <w:proofErr w:type="spellStart"/>
      <w:r w:rsidR="000816BB">
        <w:t>Crosas</w:t>
      </w:r>
      <w:proofErr w:type="spellEnd"/>
      <w:r w:rsidR="000816BB">
        <w:t xml:space="preserve">, </w:t>
      </w:r>
      <w:proofErr w:type="spellStart"/>
      <w:r w:rsidR="000816BB">
        <w:t>Dillo</w:t>
      </w:r>
      <w:proofErr w:type="spellEnd"/>
      <w:r w:rsidR="000816BB">
        <w:t xml:space="preserve">, </w:t>
      </w:r>
      <w:proofErr w:type="spellStart"/>
      <w:r w:rsidR="000816BB">
        <w:t>Dumon</w:t>
      </w:r>
      <w:proofErr w:type="spellEnd"/>
      <w:r w:rsidR="000816BB">
        <w:t xml:space="preserve">, Edmunds, </w:t>
      </w:r>
      <w:proofErr w:type="spellStart"/>
      <w:r w:rsidR="000816BB">
        <w:t>Evelo</w:t>
      </w:r>
      <w:proofErr w:type="spellEnd"/>
      <w:r w:rsidR="000816BB">
        <w:t xml:space="preserve">, </w:t>
      </w:r>
      <w:proofErr w:type="spellStart"/>
      <w:r w:rsidR="000816BB">
        <w:t>Finkers</w:t>
      </w:r>
      <w:proofErr w:type="spellEnd"/>
      <w:r w:rsidR="000816BB">
        <w:t xml:space="preserve">, Gonzalez-Beltran, Gray, </w:t>
      </w:r>
      <w:proofErr w:type="spellStart"/>
      <w:r w:rsidR="000816BB">
        <w:t>Groth</w:t>
      </w:r>
      <w:proofErr w:type="spellEnd"/>
      <w:r w:rsidR="000816BB">
        <w:t xml:space="preserve">, Goble, </w:t>
      </w:r>
      <w:proofErr w:type="spellStart"/>
      <w:r w:rsidR="000816BB">
        <w:t>Grethe</w:t>
      </w:r>
      <w:proofErr w:type="spellEnd"/>
      <w:r w:rsidR="000816BB">
        <w:t xml:space="preserve">, and Mons, ‘The FAIR Guiding Principles for Scientific Data Management and Stewardship’. </w:t>
      </w:r>
    </w:p>
    <w:p w14:paraId="477A89AB" w14:textId="51BE83BD" w:rsidR="00EB420D" w:rsidRPr="000816BB" w:rsidRDefault="00EB420D" w:rsidP="003A01C4">
      <w:pPr>
        <w:pStyle w:val="EndnoteText"/>
        <w:ind w:left="0" w:firstLine="0"/>
      </w:pPr>
    </w:p>
  </w:endnote>
  <w:endnote w:id="68">
    <w:p w14:paraId="019CCF45" w14:textId="77777777" w:rsidR="000816BB" w:rsidRDefault="00EB420D" w:rsidP="003A01C4">
      <w:pPr>
        <w:ind w:left="0" w:right="0" w:firstLine="0"/>
      </w:pPr>
      <w:r>
        <w:rPr>
          <w:rStyle w:val="EndnoteReference"/>
        </w:rPr>
        <w:endnoteRef/>
      </w:r>
      <w:r>
        <w:t xml:space="preserve"> </w:t>
      </w:r>
      <w:r w:rsidR="000816BB">
        <w:t>Moradi and Abdi, ‘Open Science–Related Policies in Europe’, 529.</w:t>
      </w:r>
    </w:p>
    <w:p w14:paraId="1C6D29A8" w14:textId="77C84B40" w:rsidR="00EB420D" w:rsidRPr="000816BB" w:rsidRDefault="00EB420D" w:rsidP="003A01C4">
      <w:pPr>
        <w:pStyle w:val="EndnoteText"/>
        <w:ind w:left="0" w:firstLine="0"/>
      </w:pPr>
    </w:p>
  </w:endnote>
  <w:endnote w:id="69">
    <w:p w14:paraId="6C5C72CF" w14:textId="77777777" w:rsidR="000816BB" w:rsidRPr="00026151" w:rsidRDefault="00EB420D" w:rsidP="003A01C4">
      <w:pPr>
        <w:ind w:left="0" w:right="0" w:firstLine="0"/>
        <w:rPr>
          <w:lang w:val="fr-FR"/>
        </w:rPr>
      </w:pPr>
      <w:r>
        <w:rPr>
          <w:rStyle w:val="EndnoteReference"/>
        </w:rPr>
        <w:endnoteRef/>
      </w:r>
      <w:r w:rsidRPr="000816BB">
        <w:rPr>
          <w:lang w:val="fr-FR"/>
        </w:rPr>
        <w:t xml:space="preserve"> </w:t>
      </w:r>
      <w:r w:rsidR="000816BB" w:rsidRPr="00026151">
        <w:rPr>
          <w:lang w:val="fr-FR"/>
        </w:rPr>
        <w:t>G. C</w:t>
      </w:r>
      <w:proofErr w:type="spellStart"/>
      <w:r w:rsidR="000816BB" w:rsidRPr="00026151">
        <w:rPr>
          <w:lang w:val="fr-FR"/>
        </w:rPr>
        <w:t>hartron</w:t>
      </w:r>
      <w:proofErr w:type="spellEnd"/>
      <w:r w:rsidR="000816BB" w:rsidRPr="00026151">
        <w:rPr>
          <w:lang w:val="fr-FR"/>
        </w:rPr>
        <w:t xml:space="preserve">, ‘L’Open science au prisme de la Commission européenne’, </w:t>
      </w:r>
      <w:r w:rsidR="000816BB" w:rsidRPr="00026151">
        <w:rPr>
          <w:i/>
          <w:lang w:val="fr-FR"/>
        </w:rPr>
        <w:t>Éducation et sociétés</w:t>
      </w:r>
      <w:r w:rsidR="000816BB" w:rsidRPr="00026151">
        <w:rPr>
          <w:lang w:val="fr-FR"/>
        </w:rPr>
        <w:t xml:space="preserve"> 177, no. 41 (2018</w:t>
      </w:r>
      <w:proofErr w:type="gramStart"/>
      <w:r w:rsidR="000816BB" w:rsidRPr="00026151">
        <w:rPr>
          <w:lang w:val="fr-FR"/>
        </w:rPr>
        <w:t>):</w:t>
      </w:r>
      <w:proofErr w:type="gramEnd"/>
      <w:r w:rsidR="000816BB" w:rsidRPr="00026151">
        <w:rPr>
          <w:lang w:val="fr-FR"/>
        </w:rPr>
        <w:t xml:space="preserve"> 177–193 (</w:t>
      </w:r>
      <w:proofErr w:type="spellStart"/>
      <w:r w:rsidR="000816BB" w:rsidRPr="00026151">
        <w:rPr>
          <w:lang w:val="fr-FR"/>
        </w:rPr>
        <w:t>emphasis</w:t>
      </w:r>
      <w:proofErr w:type="spellEnd"/>
      <w:r w:rsidR="000816BB" w:rsidRPr="00026151">
        <w:rPr>
          <w:lang w:val="fr-FR"/>
        </w:rPr>
        <w:t xml:space="preserve"> </w:t>
      </w:r>
      <w:proofErr w:type="spellStart"/>
      <w:r w:rsidR="000816BB" w:rsidRPr="00026151">
        <w:rPr>
          <w:lang w:val="fr-FR"/>
        </w:rPr>
        <w:t>added</w:t>
      </w:r>
      <w:proofErr w:type="spellEnd"/>
      <w:r w:rsidR="000816BB" w:rsidRPr="00026151">
        <w:rPr>
          <w:lang w:val="fr-FR"/>
        </w:rPr>
        <w:t>).</w:t>
      </w:r>
    </w:p>
    <w:p w14:paraId="572A6039" w14:textId="31AD56AD" w:rsidR="00EB420D" w:rsidRPr="000816BB" w:rsidRDefault="00EB420D" w:rsidP="003A01C4">
      <w:pPr>
        <w:pStyle w:val="EndnoteText"/>
        <w:ind w:left="0" w:firstLine="0"/>
        <w:rPr>
          <w:lang w:val="fr-FR"/>
        </w:rPr>
      </w:pPr>
    </w:p>
  </w:endnote>
  <w:endnote w:id="70">
    <w:p w14:paraId="22A781C4" w14:textId="77777777" w:rsidR="000816BB" w:rsidRPr="00026151" w:rsidRDefault="00EB420D" w:rsidP="003A01C4">
      <w:pPr>
        <w:ind w:left="0" w:right="0" w:firstLine="0"/>
        <w:rPr>
          <w:lang w:val="fr-FR"/>
        </w:rPr>
      </w:pPr>
      <w:r>
        <w:rPr>
          <w:rStyle w:val="EndnoteReference"/>
        </w:rPr>
        <w:endnoteRef/>
      </w:r>
      <w:r w:rsidRPr="000816BB">
        <w:rPr>
          <w:lang w:val="fr-FR"/>
        </w:rPr>
        <w:t xml:space="preserve"> </w:t>
      </w:r>
      <w:proofErr w:type="spellStart"/>
      <w:r w:rsidR="000816BB" w:rsidRPr="00026151">
        <w:rPr>
          <w:lang w:val="fr-FR"/>
        </w:rPr>
        <w:t>Chartron</w:t>
      </w:r>
      <w:proofErr w:type="spellEnd"/>
      <w:r w:rsidR="000816BB" w:rsidRPr="00026151">
        <w:rPr>
          <w:lang w:val="fr-FR"/>
        </w:rPr>
        <w:t xml:space="preserve">, ‘L’Open science au prisme de la Commission européenne’. </w:t>
      </w:r>
    </w:p>
    <w:p w14:paraId="37C61EB1" w14:textId="0F29F694" w:rsidR="00EB420D" w:rsidRPr="000816BB" w:rsidRDefault="00EB420D" w:rsidP="003A01C4">
      <w:pPr>
        <w:pStyle w:val="EndnoteText"/>
        <w:ind w:left="0" w:firstLine="0"/>
        <w:rPr>
          <w:lang w:val="fr-FR"/>
        </w:rPr>
      </w:pPr>
    </w:p>
  </w:endnote>
  <w:endnote w:id="71">
    <w:p w14:paraId="405D0C13" w14:textId="77777777" w:rsidR="00C542CB" w:rsidRPr="00026151" w:rsidRDefault="00EB420D" w:rsidP="003A01C4">
      <w:pPr>
        <w:ind w:left="0" w:right="0" w:firstLine="0"/>
        <w:rPr>
          <w:lang w:val="fr-FR"/>
        </w:rPr>
      </w:pPr>
      <w:r>
        <w:rPr>
          <w:rStyle w:val="EndnoteReference"/>
        </w:rPr>
        <w:endnoteRef/>
      </w:r>
      <w:r w:rsidRPr="00C542CB">
        <w:rPr>
          <w:lang w:val="fr-FR"/>
        </w:rPr>
        <w:t xml:space="preserve"> </w:t>
      </w:r>
      <w:proofErr w:type="spellStart"/>
      <w:r w:rsidR="00C542CB" w:rsidRPr="00026151">
        <w:rPr>
          <w:lang w:val="fr-FR"/>
        </w:rPr>
        <w:t>Chartron</w:t>
      </w:r>
      <w:proofErr w:type="spellEnd"/>
      <w:r w:rsidR="00C542CB" w:rsidRPr="00026151">
        <w:rPr>
          <w:lang w:val="fr-FR"/>
        </w:rPr>
        <w:t xml:space="preserve">, ‘L’Open science au prisme de la Commission européenne’. </w:t>
      </w:r>
    </w:p>
    <w:p w14:paraId="442E22C0" w14:textId="4CA515EF" w:rsidR="00EB420D" w:rsidRPr="00C542CB" w:rsidRDefault="00EB420D" w:rsidP="003A01C4">
      <w:pPr>
        <w:pStyle w:val="EndnoteText"/>
        <w:ind w:left="0" w:firstLine="0"/>
        <w:rPr>
          <w:lang w:val="fr-FR"/>
        </w:rPr>
      </w:pPr>
    </w:p>
  </w:endnote>
  <w:endnote w:id="72">
    <w:p w14:paraId="01D8AF95" w14:textId="77777777" w:rsidR="00C542CB" w:rsidRDefault="00EB420D" w:rsidP="003A01C4">
      <w:pPr>
        <w:ind w:left="0" w:right="0" w:firstLine="0"/>
      </w:pPr>
      <w:r>
        <w:rPr>
          <w:rStyle w:val="EndnoteReference"/>
        </w:rPr>
        <w:endnoteRef/>
      </w:r>
      <w:r>
        <w:t xml:space="preserve"> </w:t>
      </w:r>
      <w:r w:rsidR="00C542CB">
        <w:t>Moradi and Abdi, ‘Open Science–Related Policies in Europe’.</w:t>
      </w:r>
    </w:p>
    <w:p w14:paraId="532C3319" w14:textId="70D49A61" w:rsidR="00EB420D" w:rsidRPr="00C542CB" w:rsidRDefault="00EB420D" w:rsidP="003A01C4">
      <w:pPr>
        <w:pStyle w:val="EndnoteText"/>
        <w:ind w:left="0" w:firstLine="0"/>
      </w:pPr>
    </w:p>
  </w:endnote>
  <w:endnote w:id="73">
    <w:p w14:paraId="6E69205D" w14:textId="77777777" w:rsidR="00C542CB" w:rsidRDefault="00EB420D" w:rsidP="003A01C4">
      <w:pPr>
        <w:ind w:left="0" w:right="0" w:firstLine="0"/>
      </w:pPr>
      <w:r>
        <w:rPr>
          <w:rStyle w:val="EndnoteReference"/>
        </w:rPr>
        <w:endnoteRef/>
      </w:r>
      <w:r>
        <w:t xml:space="preserve"> </w:t>
      </w:r>
      <w:r w:rsidR="00C542CB">
        <w:t>Government agency representative, personal communication, March 2023.</w:t>
      </w:r>
    </w:p>
    <w:p w14:paraId="782594EF" w14:textId="520B8426" w:rsidR="00EB420D" w:rsidRPr="00C542CB" w:rsidRDefault="00EB420D" w:rsidP="003A01C4">
      <w:pPr>
        <w:pStyle w:val="EndnoteText"/>
        <w:ind w:left="0" w:firstLine="0"/>
      </w:pPr>
    </w:p>
  </w:endnote>
  <w:endnote w:id="74">
    <w:p w14:paraId="265525AB" w14:textId="77777777" w:rsidR="00C542CB" w:rsidRDefault="00EB420D" w:rsidP="003A01C4">
      <w:pPr>
        <w:ind w:left="0" w:right="0" w:firstLine="0"/>
      </w:pPr>
      <w:r>
        <w:rPr>
          <w:rStyle w:val="EndnoteReference"/>
        </w:rPr>
        <w:endnoteRef/>
      </w:r>
      <w:r>
        <w:t xml:space="preserve"> </w:t>
      </w:r>
      <w:r w:rsidR="00C542CB">
        <w:t xml:space="preserve">C. </w:t>
      </w:r>
      <w:proofErr w:type="spellStart"/>
      <w:r w:rsidR="00C542CB">
        <w:t>Aguerre</w:t>
      </w:r>
      <w:proofErr w:type="spellEnd"/>
      <w:r w:rsidR="00C542CB">
        <w:t xml:space="preserve">, ‘National AI Strategies and Data Governance’, in </w:t>
      </w:r>
      <w:r w:rsidR="00C542CB">
        <w:rPr>
          <w:i/>
        </w:rPr>
        <w:t>Artificial Intelligence in Latin America: Ethics, Governance and Policies</w:t>
      </w:r>
      <w:r w:rsidR="00C542CB">
        <w:t xml:space="preserve">, vol. 1, ed. C. </w:t>
      </w:r>
      <w:proofErr w:type="spellStart"/>
      <w:r w:rsidR="00C542CB">
        <w:t>Aguerre</w:t>
      </w:r>
      <w:proofErr w:type="spellEnd"/>
      <w:r w:rsidR="00C542CB">
        <w:t xml:space="preserve"> (CETYS, Universidad de San Andres, 2020).</w:t>
      </w:r>
    </w:p>
    <w:p w14:paraId="4F77419A" w14:textId="2B92DDED" w:rsidR="00EB420D" w:rsidRPr="005A76E4" w:rsidRDefault="00EB420D" w:rsidP="003A01C4">
      <w:pPr>
        <w:pStyle w:val="EndnoteText"/>
        <w:ind w:left="0" w:firstLine="0"/>
        <w:rPr>
          <w:lang w:val="en-US"/>
        </w:rPr>
      </w:pPr>
    </w:p>
  </w:endnote>
  <w:endnote w:id="75">
    <w:p w14:paraId="223572E0" w14:textId="77777777" w:rsidR="00C542CB" w:rsidRDefault="00EB420D" w:rsidP="003A01C4">
      <w:pPr>
        <w:spacing w:after="10" w:line="268" w:lineRule="auto"/>
        <w:ind w:left="0" w:right="0" w:firstLine="0"/>
      </w:pPr>
      <w:r>
        <w:rPr>
          <w:rStyle w:val="EndnoteReference"/>
        </w:rPr>
        <w:endnoteRef/>
      </w:r>
      <w:r>
        <w:t xml:space="preserve"> </w:t>
      </w:r>
      <w:r w:rsidR="00C542CB">
        <w:t xml:space="preserve">Lee, </w:t>
      </w:r>
      <w:r w:rsidR="00C542CB">
        <w:rPr>
          <w:i/>
        </w:rPr>
        <w:t>AI Superpowers</w:t>
      </w:r>
      <w:r w:rsidR="00C542CB">
        <w:t>.</w:t>
      </w:r>
    </w:p>
    <w:p w14:paraId="7369CC8F" w14:textId="7784B9DD" w:rsidR="00EB420D" w:rsidRPr="005A76E4" w:rsidRDefault="00EB420D" w:rsidP="003A01C4">
      <w:pPr>
        <w:pStyle w:val="EndnoteText"/>
        <w:ind w:left="-275" w:firstLine="0"/>
        <w:rPr>
          <w:lang w:val="en-US"/>
        </w:rPr>
      </w:pPr>
    </w:p>
  </w:endnote>
  <w:endnote w:id="76">
    <w:p w14:paraId="6126C69B" w14:textId="77777777" w:rsidR="00C542CB" w:rsidRDefault="00EB420D" w:rsidP="003A01C4">
      <w:pPr>
        <w:ind w:left="0" w:right="0" w:firstLine="0"/>
      </w:pPr>
      <w:r>
        <w:rPr>
          <w:rStyle w:val="EndnoteReference"/>
        </w:rPr>
        <w:endnoteRef/>
      </w:r>
      <w:r>
        <w:t xml:space="preserve"> </w:t>
      </w:r>
      <w:r w:rsidR="00C542CB">
        <w:t>Intergovernmental representative, personal communication, 4 May 2023.</w:t>
      </w:r>
    </w:p>
    <w:p w14:paraId="49FC7997" w14:textId="279E18A1" w:rsidR="00EB420D" w:rsidRPr="00C542CB" w:rsidRDefault="00EB420D" w:rsidP="003A01C4">
      <w:pPr>
        <w:pStyle w:val="EndnoteText"/>
        <w:ind w:left="0" w:firstLine="0"/>
      </w:pPr>
    </w:p>
  </w:endnote>
  <w:endnote w:id="77">
    <w:p w14:paraId="40C886F9" w14:textId="77777777" w:rsidR="00C542CB" w:rsidRDefault="00D42ABE" w:rsidP="003A01C4">
      <w:pPr>
        <w:ind w:left="0" w:right="0" w:firstLine="0"/>
      </w:pPr>
      <w:r>
        <w:rPr>
          <w:rStyle w:val="EndnoteReference"/>
        </w:rPr>
        <w:endnoteRef/>
      </w:r>
      <w:r>
        <w:t xml:space="preserve"> </w:t>
      </w:r>
      <w:r w:rsidR="00C542CB">
        <w:t>ILIA, ‘</w:t>
      </w:r>
      <w:proofErr w:type="spellStart"/>
      <w:r w:rsidR="00C542CB">
        <w:t>Índice</w:t>
      </w:r>
      <w:proofErr w:type="spellEnd"/>
      <w:r w:rsidR="00C542CB">
        <w:t xml:space="preserve"> </w:t>
      </w:r>
      <w:proofErr w:type="spellStart"/>
      <w:r w:rsidR="00C542CB">
        <w:t>Latinoamericano</w:t>
      </w:r>
      <w:proofErr w:type="spellEnd"/>
      <w:r w:rsidR="00C542CB">
        <w:t xml:space="preserve"> de </w:t>
      </w:r>
      <w:proofErr w:type="spellStart"/>
      <w:r w:rsidR="00C542CB">
        <w:t>Inteligencia</w:t>
      </w:r>
      <w:proofErr w:type="spellEnd"/>
      <w:r w:rsidR="00C542CB">
        <w:t xml:space="preserve"> Artificial’.</w:t>
      </w:r>
    </w:p>
    <w:p w14:paraId="44F69066" w14:textId="67EEDF6A" w:rsidR="00D42ABE" w:rsidRPr="005A76E4" w:rsidRDefault="00D42ABE" w:rsidP="003A01C4">
      <w:pPr>
        <w:pStyle w:val="EndnoteText"/>
        <w:ind w:left="0" w:firstLine="0"/>
        <w:rPr>
          <w:lang w:val="en-US"/>
        </w:rPr>
      </w:pPr>
    </w:p>
  </w:endnote>
  <w:endnote w:id="78">
    <w:p w14:paraId="080D5D06" w14:textId="13C88BD4" w:rsidR="00C542CB" w:rsidRDefault="00D42ABE" w:rsidP="003A01C4">
      <w:pPr>
        <w:ind w:left="0" w:right="0" w:firstLine="0"/>
      </w:pPr>
      <w:r>
        <w:rPr>
          <w:rStyle w:val="EndnoteReference"/>
        </w:rPr>
        <w:endnoteRef/>
      </w:r>
      <w:r>
        <w:t xml:space="preserve"> </w:t>
      </w:r>
      <w:r w:rsidR="00C542CB">
        <w:t>‘OECD Recommendation on Competition Assessment: OECD’, OECD, 2019,</w:t>
      </w:r>
      <w:r w:rsidR="00C542CB">
        <w:t xml:space="preserve"> </w:t>
      </w:r>
      <w:r w:rsidR="00C542CB">
        <w:t xml:space="preserve">https://www.oecd.org/daf/competition/oecdrecommendation oncompetitionassessment.htm (5 June 2023). </w:t>
      </w:r>
    </w:p>
    <w:p w14:paraId="50FA2214" w14:textId="03B66CB3" w:rsidR="00D42ABE" w:rsidRPr="005A76E4" w:rsidRDefault="00D42ABE" w:rsidP="003A01C4">
      <w:pPr>
        <w:pStyle w:val="EndnoteText"/>
        <w:ind w:left="0" w:firstLine="0"/>
        <w:rPr>
          <w:lang w:val="en-US"/>
        </w:rPr>
      </w:pPr>
    </w:p>
  </w:endnote>
  <w:endnote w:id="79">
    <w:p w14:paraId="6C0A51DC" w14:textId="77777777" w:rsidR="00C542CB" w:rsidRDefault="00D42ABE" w:rsidP="003A01C4">
      <w:pPr>
        <w:ind w:left="0" w:right="0" w:firstLine="0"/>
      </w:pPr>
      <w:r>
        <w:rPr>
          <w:rStyle w:val="EndnoteReference"/>
        </w:rPr>
        <w:endnoteRef/>
      </w:r>
      <w:r>
        <w:t xml:space="preserve"> </w:t>
      </w:r>
      <w:r w:rsidR="00C542CB">
        <w:t xml:space="preserve">K. Yeung, ‘Algorithmic Regulation: A Critical Interrogation’, </w:t>
      </w:r>
      <w:r w:rsidR="00C542CB">
        <w:rPr>
          <w:i/>
        </w:rPr>
        <w:t>Regulation and Governance</w:t>
      </w:r>
      <w:r w:rsidR="00C542CB">
        <w:t xml:space="preserve"> 12, no. 4 (2017): 17. </w:t>
      </w:r>
    </w:p>
    <w:p w14:paraId="3786B373" w14:textId="62F36041" w:rsidR="00D42ABE" w:rsidRPr="00C542CB" w:rsidRDefault="00D42ABE" w:rsidP="003A01C4">
      <w:pPr>
        <w:pStyle w:val="EndnoteText"/>
        <w:ind w:left="0" w:firstLine="0"/>
      </w:pPr>
    </w:p>
  </w:endnote>
  <w:endnote w:id="80">
    <w:p w14:paraId="7AEB6B61" w14:textId="77777777" w:rsidR="00C542CB" w:rsidRDefault="00D42ABE" w:rsidP="003A01C4">
      <w:pPr>
        <w:ind w:left="0" w:right="0" w:firstLine="0"/>
      </w:pPr>
      <w:r>
        <w:rPr>
          <w:rStyle w:val="EndnoteReference"/>
        </w:rPr>
        <w:endnoteRef/>
      </w:r>
      <w:r>
        <w:t xml:space="preserve"> </w:t>
      </w:r>
      <w:r w:rsidR="00C542CB">
        <w:t xml:space="preserve">S. </w:t>
      </w:r>
      <w:proofErr w:type="spellStart"/>
      <w:r w:rsidR="00C542CB">
        <w:t>Jasanoff</w:t>
      </w:r>
      <w:proofErr w:type="spellEnd"/>
      <w:r w:rsidR="00C542CB">
        <w:t xml:space="preserve"> and S. H. Kim, ‘Sociotechnical Imaginaries and National Energy Policies’, </w:t>
      </w:r>
      <w:r w:rsidR="00C542CB">
        <w:rPr>
          <w:i/>
        </w:rPr>
        <w:t>Science as Culture</w:t>
      </w:r>
      <w:r w:rsidR="00C542CB">
        <w:t xml:space="preserve"> 189, no. 22 (2013): 189–196.</w:t>
      </w:r>
    </w:p>
    <w:p w14:paraId="7FFF751D" w14:textId="348357BC" w:rsidR="00D42ABE" w:rsidRPr="00C542CB" w:rsidRDefault="00D42ABE" w:rsidP="003A01C4">
      <w:pPr>
        <w:pStyle w:val="EndnoteText"/>
        <w:ind w:left="0" w:firstLine="0"/>
      </w:pPr>
    </w:p>
  </w:endnote>
  <w:endnote w:id="81">
    <w:p w14:paraId="119E6A28" w14:textId="77777777" w:rsidR="00C542CB" w:rsidRDefault="00D42ABE" w:rsidP="003A01C4">
      <w:pPr>
        <w:ind w:left="0" w:right="0" w:firstLine="0"/>
      </w:pPr>
      <w:r>
        <w:rPr>
          <w:rStyle w:val="EndnoteReference"/>
        </w:rPr>
        <w:endnoteRef/>
      </w:r>
      <w:r>
        <w:t xml:space="preserve"> </w:t>
      </w:r>
      <w:proofErr w:type="spellStart"/>
      <w:r w:rsidR="00C542CB">
        <w:t>Bareis</w:t>
      </w:r>
      <w:proofErr w:type="spellEnd"/>
      <w:r w:rsidR="00C542CB">
        <w:t xml:space="preserve"> and Katzenbach, ‘Talking AI into Being’.</w:t>
      </w:r>
    </w:p>
    <w:p w14:paraId="75D352AB" w14:textId="055B3D60" w:rsidR="00D42ABE" w:rsidRPr="00C542CB" w:rsidRDefault="00D42ABE" w:rsidP="003A01C4">
      <w:pPr>
        <w:pStyle w:val="EndnoteText"/>
        <w:ind w:left="0" w:firstLine="0"/>
      </w:pPr>
    </w:p>
  </w:endnote>
  <w:endnote w:id="82">
    <w:p w14:paraId="5336C2B0" w14:textId="77777777" w:rsidR="00C542CB" w:rsidRDefault="00D42ABE" w:rsidP="003A01C4">
      <w:pPr>
        <w:ind w:left="0" w:right="0" w:firstLine="0"/>
      </w:pPr>
      <w:r>
        <w:rPr>
          <w:rStyle w:val="EndnoteReference"/>
        </w:rPr>
        <w:endnoteRef/>
      </w:r>
      <w:r>
        <w:t xml:space="preserve"> </w:t>
      </w:r>
      <w:proofErr w:type="spellStart"/>
      <w:r w:rsidR="00C542CB">
        <w:t>Nachtwey</w:t>
      </w:r>
      <w:proofErr w:type="spellEnd"/>
      <w:r w:rsidR="00C542CB">
        <w:t xml:space="preserve"> and </w:t>
      </w:r>
      <w:proofErr w:type="spellStart"/>
      <w:r w:rsidR="00C542CB">
        <w:t>Seidl</w:t>
      </w:r>
      <w:proofErr w:type="spellEnd"/>
      <w:r w:rsidR="00C542CB">
        <w:t>, ‘The Solutionist Ethic and the Spirit of Digital Capitalism’, 3.</w:t>
      </w:r>
    </w:p>
    <w:p w14:paraId="396923D2" w14:textId="76D7C6F5" w:rsidR="00D42ABE" w:rsidRPr="00C542CB" w:rsidRDefault="00D42ABE" w:rsidP="003A01C4">
      <w:pPr>
        <w:pStyle w:val="EndnoteText"/>
        <w:ind w:left="0" w:firstLine="0"/>
      </w:pPr>
    </w:p>
  </w:endnote>
  <w:endnote w:id="83">
    <w:p w14:paraId="1CD90F9E" w14:textId="77777777" w:rsidR="00C542CB" w:rsidRDefault="00D42ABE" w:rsidP="003A01C4">
      <w:pPr>
        <w:ind w:left="0" w:right="0" w:firstLine="0"/>
      </w:pPr>
      <w:r>
        <w:rPr>
          <w:rStyle w:val="EndnoteReference"/>
        </w:rPr>
        <w:endnoteRef/>
      </w:r>
      <w:r>
        <w:t xml:space="preserve"> </w:t>
      </w:r>
      <w:r w:rsidR="00C542CB">
        <w:t>Aula and Bowles, ‘Stepping Back from Data’.</w:t>
      </w:r>
    </w:p>
    <w:p w14:paraId="1BCB8D13" w14:textId="4E38F212" w:rsidR="00D42ABE" w:rsidRPr="00C542CB" w:rsidRDefault="00D42ABE" w:rsidP="003A01C4">
      <w:pPr>
        <w:pStyle w:val="EndnoteText"/>
        <w:ind w:left="0" w:firstLine="0"/>
      </w:pPr>
    </w:p>
  </w:endnote>
  <w:endnote w:id="84">
    <w:p w14:paraId="5B142C85" w14:textId="77777777" w:rsidR="00C542CB" w:rsidRDefault="00D42ABE" w:rsidP="003A01C4">
      <w:pPr>
        <w:ind w:left="0" w:right="0" w:firstLine="0"/>
      </w:pPr>
      <w:r>
        <w:rPr>
          <w:rStyle w:val="EndnoteReference"/>
        </w:rPr>
        <w:endnoteRef/>
      </w:r>
      <w:r>
        <w:t xml:space="preserve"> </w:t>
      </w:r>
      <w:r w:rsidR="00C542CB">
        <w:t xml:space="preserve">Moradi and Abdi, ‘Open Science–Related Policies in Europe’; C. </w:t>
      </w:r>
      <w:proofErr w:type="spellStart"/>
      <w:r w:rsidR="00C542CB">
        <w:t>Djeffal</w:t>
      </w:r>
      <w:proofErr w:type="spellEnd"/>
      <w:r w:rsidR="00C542CB">
        <w:t xml:space="preserve">, M. B. Siewert, and S. Wurster, ‘Role of the State and Responsibility in Governing Artificial Intelligence: A Comparative Analysis of AI Strategies’, </w:t>
      </w:r>
      <w:r w:rsidR="00C542CB">
        <w:rPr>
          <w:i/>
        </w:rPr>
        <w:t>Journal of European Public Policy</w:t>
      </w:r>
      <w:r w:rsidR="00C542CB">
        <w:t xml:space="preserve"> 1799, no. 29 (2022): 1799–1821, DOI: https://doi. org/10.1080/13501763.2022.2094987; R. Radu, ‘Steering the Governance of Artificial Intelligence: National Strategies in Perspective’, </w:t>
      </w:r>
      <w:r w:rsidR="00C542CB">
        <w:rPr>
          <w:i/>
        </w:rPr>
        <w:t>Policy and Society</w:t>
      </w:r>
      <w:r w:rsidR="00C542CB">
        <w:t xml:space="preserve"> 178, no. 40 (2021): 178–193, DOI: https://doi.org/10.1080/14494035.202 1.1929728.</w:t>
      </w:r>
    </w:p>
    <w:p w14:paraId="3D96F181" w14:textId="2FFCC8E1" w:rsidR="00D42ABE" w:rsidRPr="00C542CB" w:rsidRDefault="00D42ABE" w:rsidP="003A01C4">
      <w:pPr>
        <w:pStyle w:val="EndnoteText"/>
        <w:ind w:left="0" w:firstLine="0"/>
      </w:pPr>
    </w:p>
  </w:endnote>
  <w:endnote w:id="85">
    <w:p w14:paraId="79A9E209" w14:textId="77777777" w:rsidR="00C542CB" w:rsidRDefault="00D42ABE" w:rsidP="003A01C4">
      <w:pPr>
        <w:ind w:left="0" w:right="0" w:firstLine="0"/>
      </w:pPr>
      <w:r>
        <w:rPr>
          <w:rStyle w:val="EndnoteReference"/>
        </w:rPr>
        <w:endnoteRef/>
      </w:r>
      <w:r>
        <w:t xml:space="preserve"> </w:t>
      </w:r>
      <w:r w:rsidR="00C542CB">
        <w:t>Manco, ‘A Landscape of Open Science Policies Research’.</w:t>
      </w:r>
    </w:p>
    <w:p w14:paraId="56B499F7" w14:textId="055165C4" w:rsidR="00D42ABE" w:rsidRPr="00C542CB" w:rsidRDefault="00D42ABE" w:rsidP="003A01C4">
      <w:pPr>
        <w:pStyle w:val="EndnoteText"/>
        <w:ind w:left="0" w:firstLine="0"/>
      </w:pPr>
    </w:p>
  </w:endnote>
  <w:endnote w:id="86">
    <w:p w14:paraId="6FDED761" w14:textId="77777777" w:rsidR="00C542CB" w:rsidRDefault="00D42ABE" w:rsidP="003A01C4">
      <w:pPr>
        <w:ind w:left="0" w:right="0" w:firstLine="0"/>
      </w:pPr>
      <w:r>
        <w:rPr>
          <w:rStyle w:val="EndnoteReference"/>
        </w:rPr>
        <w:endnoteRef/>
      </w:r>
      <w:r>
        <w:t xml:space="preserve"> </w:t>
      </w:r>
      <w:r w:rsidR="00C542CB">
        <w:t xml:space="preserve">P. </w:t>
      </w:r>
      <w:proofErr w:type="spellStart"/>
      <w:r w:rsidR="00C542CB">
        <w:t>Ricaurte</w:t>
      </w:r>
      <w:proofErr w:type="spellEnd"/>
      <w:r w:rsidR="00C542CB">
        <w:t xml:space="preserve">, ‘Data Epistemologies, the Coloniality of Power, and Resistance’, </w:t>
      </w:r>
      <w:r w:rsidR="00C542CB">
        <w:rPr>
          <w:i/>
        </w:rPr>
        <w:t>Television and New Media</w:t>
      </w:r>
      <w:r w:rsidR="00C542CB">
        <w:t xml:space="preserve"> 350, no. 20 (2019), DOI: https://doi. org/10.1177/1527476419831640. </w:t>
      </w:r>
    </w:p>
    <w:p w14:paraId="3484B99E" w14:textId="52F9A976" w:rsidR="00D42ABE" w:rsidRPr="005A76E4" w:rsidRDefault="00D42ABE" w:rsidP="003A01C4">
      <w:pPr>
        <w:pStyle w:val="EndnoteText"/>
        <w:ind w:left="0" w:firstLine="0"/>
        <w:rPr>
          <w:lang w:val="en-US"/>
        </w:rPr>
      </w:pPr>
    </w:p>
  </w:endnote>
  <w:endnote w:id="87">
    <w:p w14:paraId="4CED3B09" w14:textId="77777777" w:rsidR="00C542CB" w:rsidRDefault="00D42ABE" w:rsidP="003A01C4">
      <w:pPr>
        <w:spacing w:after="10" w:line="268" w:lineRule="auto"/>
        <w:ind w:left="0" w:right="0" w:firstLine="0"/>
      </w:pPr>
      <w:r>
        <w:rPr>
          <w:rStyle w:val="EndnoteReference"/>
        </w:rPr>
        <w:endnoteRef/>
      </w:r>
      <w:r>
        <w:t xml:space="preserve"> </w:t>
      </w:r>
      <w:r w:rsidR="00C542CB">
        <w:t xml:space="preserve">UNESCO, </w:t>
      </w:r>
      <w:r w:rsidR="00C542CB">
        <w:rPr>
          <w:i/>
        </w:rPr>
        <w:t>Readiness Assessment Methodology: A Tool of the Recommendation on the Ethics of Artificial Intelligence</w:t>
      </w:r>
      <w:r w:rsidR="00C542CB">
        <w:t xml:space="preserve">, DOI: https://doi.org/10.54678/ YHAA4429. </w:t>
      </w:r>
    </w:p>
    <w:p w14:paraId="3735AF1A" w14:textId="43FE9D8A" w:rsidR="00D42ABE" w:rsidRPr="00C542CB" w:rsidRDefault="00D42ABE">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FE766" w14:textId="77777777" w:rsidR="00A25657"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1A825163" wp14:editId="1478F818">
              <wp:simplePos x="0" y="0"/>
              <wp:positionH relativeFrom="page">
                <wp:posOffset>0</wp:posOffset>
              </wp:positionH>
              <wp:positionV relativeFrom="page">
                <wp:posOffset>8496300</wp:posOffset>
              </wp:positionV>
              <wp:extent cx="266700" cy="266700"/>
              <wp:effectExtent l="0" t="0" r="0" b="0"/>
              <wp:wrapSquare wrapText="bothSides"/>
              <wp:docPr id="24605" name="Group 246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606" name="Shape 2460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607" name="Shape 2460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605" style="width:21pt;height:21pt;position:absolute;mso-position-horizontal-relative:page;mso-position-horizontal:absolute;margin-left:0pt;mso-position-vertical-relative:page;margin-top:669pt;" coordsize="2667,2667">
              <v:shape id="Shape 24606" style="position:absolute;width:1905;height:0;left:0;top:0;" coordsize="190500,0" path="m190500,0l0,0">
                <v:stroke weight="0.25pt" endcap="flat" joinstyle="miter" miterlimit="10" on="true" color="#000000"/>
                <v:fill on="false" color="#000000" opacity="0"/>
              </v:shape>
              <v:shape id="Shape 2460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7FD25BE0" wp14:editId="441B9231">
              <wp:simplePos x="0" y="0"/>
              <wp:positionH relativeFrom="page">
                <wp:posOffset>5753100</wp:posOffset>
              </wp:positionH>
              <wp:positionV relativeFrom="page">
                <wp:posOffset>8496300</wp:posOffset>
              </wp:positionV>
              <wp:extent cx="266700" cy="266700"/>
              <wp:effectExtent l="0" t="0" r="0" b="0"/>
              <wp:wrapSquare wrapText="bothSides"/>
              <wp:docPr id="24608" name="Group 246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609" name="Shape 2460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610" name="Shape 2461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608" style="width:21pt;height:21pt;position:absolute;mso-position-horizontal-relative:page;mso-position-horizontal:absolute;margin-left:453pt;mso-position-vertical-relative:page;margin-top:669pt;" coordsize="2667,2667">
              <v:shape id="Shape 24609" style="position:absolute;width:1905;height:0;left:762;top:0;" coordsize="190500,0" path="m0,0l190500,0">
                <v:stroke weight="0.25pt" endcap="flat" joinstyle="miter" miterlimit="10" on="true" color="#000000"/>
                <v:fill on="false" color="#000000" opacity="0"/>
              </v:shape>
              <v:shape id="Shape 2461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DF38D" w14:textId="77777777" w:rsidR="00A25657"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70C43857" wp14:editId="32B259F1">
              <wp:simplePos x="0" y="0"/>
              <wp:positionH relativeFrom="page">
                <wp:posOffset>0</wp:posOffset>
              </wp:positionH>
              <wp:positionV relativeFrom="page">
                <wp:posOffset>8496300</wp:posOffset>
              </wp:positionV>
              <wp:extent cx="266700" cy="266700"/>
              <wp:effectExtent l="0" t="0" r="0" b="0"/>
              <wp:wrapSquare wrapText="bothSides"/>
              <wp:docPr id="24581" name="Group 2458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82" name="Shape 2458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83" name="Shape 24583"/>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81" style="width:21pt;height:21pt;position:absolute;mso-position-horizontal-relative:page;mso-position-horizontal:absolute;margin-left:0pt;mso-position-vertical-relative:page;margin-top:669pt;" coordsize="2667,2667">
              <v:shape id="Shape 24582" style="position:absolute;width:1905;height:0;left:0;top:0;" coordsize="190500,0" path="m190500,0l0,0">
                <v:stroke weight="0.25pt" endcap="flat" joinstyle="miter" miterlimit="10" on="true" color="#000000"/>
                <v:fill on="false" color="#000000" opacity="0"/>
              </v:shape>
              <v:shape id="Shape 24583"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7F314172" wp14:editId="1FA8BCE2">
              <wp:simplePos x="0" y="0"/>
              <wp:positionH relativeFrom="page">
                <wp:posOffset>5753100</wp:posOffset>
              </wp:positionH>
              <wp:positionV relativeFrom="page">
                <wp:posOffset>8496300</wp:posOffset>
              </wp:positionV>
              <wp:extent cx="266700" cy="266700"/>
              <wp:effectExtent l="0" t="0" r="0" b="0"/>
              <wp:wrapSquare wrapText="bothSides"/>
              <wp:docPr id="24584" name="Group 2458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85" name="Shape 24585"/>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86" name="Shape 24586"/>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84" style="width:21pt;height:21pt;position:absolute;mso-position-horizontal-relative:page;mso-position-horizontal:absolute;margin-left:453pt;mso-position-vertical-relative:page;margin-top:669pt;" coordsize="2667,2667">
              <v:shape id="Shape 24585" style="position:absolute;width:1905;height:0;left:762;top:0;" coordsize="190500,0" path="m0,0l190500,0">
                <v:stroke weight="0.25pt" endcap="flat" joinstyle="miter" miterlimit="10" on="true" color="#000000"/>
                <v:fill on="false" color="#000000" opacity="0"/>
              </v:shape>
              <v:shape id="Shape 24586"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AF9B0" w14:textId="77777777" w:rsidR="00A25657"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53D32776" wp14:editId="669DAED5">
              <wp:simplePos x="0" y="0"/>
              <wp:positionH relativeFrom="page">
                <wp:posOffset>0</wp:posOffset>
              </wp:positionH>
              <wp:positionV relativeFrom="page">
                <wp:posOffset>8496300</wp:posOffset>
              </wp:positionV>
              <wp:extent cx="266700" cy="266700"/>
              <wp:effectExtent l="0" t="0" r="0" b="0"/>
              <wp:wrapSquare wrapText="bothSides"/>
              <wp:docPr id="24557" name="Group 2455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58" name="Shape 2455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59" name="Shape 24559"/>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57" style="width:21pt;height:21pt;position:absolute;mso-position-horizontal-relative:page;mso-position-horizontal:absolute;margin-left:0pt;mso-position-vertical-relative:page;margin-top:669pt;" coordsize="2667,2667">
              <v:shape id="Shape 24558" style="position:absolute;width:1905;height:0;left:0;top:0;" coordsize="190500,0" path="m190500,0l0,0">
                <v:stroke weight="0.25pt" endcap="flat" joinstyle="miter" miterlimit="10" on="true" color="#000000"/>
                <v:fill on="false" color="#000000" opacity="0"/>
              </v:shape>
              <v:shape id="Shape 24559"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4A4920D5" wp14:editId="727D6417">
              <wp:simplePos x="0" y="0"/>
              <wp:positionH relativeFrom="page">
                <wp:posOffset>5753100</wp:posOffset>
              </wp:positionH>
              <wp:positionV relativeFrom="page">
                <wp:posOffset>8496300</wp:posOffset>
              </wp:positionV>
              <wp:extent cx="266700" cy="266700"/>
              <wp:effectExtent l="0" t="0" r="0" b="0"/>
              <wp:wrapSquare wrapText="bothSides"/>
              <wp:docPr id="24560" name="Group 2456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61" name="Shape 24561"/>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62" name="Shape 24562"/>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60" style="width:21pt;height:21pt;position:absolute;mso-position-horizontal-relative:page;mso-position-horizontal:absolute;margin-left:453pt;mso-position-vertical-relative:page;margin-top:669pt;" coordsize="2667,2667">
              <v:shape id="Shape 24561" style="position:absolute;width:1905;height:0;left:762;top:0;" coordsize="190500,0" path="m0,0l190500,0">
                <v:stroke weight="0.25pt" endcap="flat" joinstyle="miter" miterlimit="10" on="true" color="#000000"/>
                <v:fill on="false" color="#000000" opacity="0"/>
              </v:shape>
              <v:shape id="Shape 24562"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3D8ACE" w14:textId="77777777" w:rsidR="00CE369E" w:rsidRDefault="00CE369E">
      <w:pPr>
        <w:spacing w:after="0" w:line="240" w:lineRule="auto"/>
      </w:pPr>
      <w:r>
        <w:separator/>
      </w:r>
    </w:p>
  </w:footnote>
  <w:footnote w:type="continuationSeparator" w:id="0">
    <w:p w14:paraId="730E4FC2" w14:textId="77777777" w:rsidR="00CE369E" w:rsidRDefault="00CE3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49E1F" w14:textId="77777777" w:rsidR="00A25657"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3556A36D" wp14:editId="57C85AD2">
              <wp:simplePos x="0" y="0"/>
              <wp:positionH relativeFrom="page">
                <wp:posOffset>0</wp:posOffset>
              </wp:positionH>
              <wp:positionV relativeFrom="page">
                <wp:posOffset>0</wp:posOffset>
              </wp:positionV>
              <wp:extent cx="266700" cy="266700"/>
              <wp:effectExtent l="0" t="0" r="0" b="0"/>
              <wp:wrapSquare wrapText="bothSides"/>
              <wp:docPr id="24595" name="Group 2459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96" name="Shape 2459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97" name="Shape 2459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95" style="width:21pt;height:21pt;position:absolute;mso-position-horizontal-relative:page;mso-position-horizontal:absolute;margin-left:0pt;mso-position-vertical-relative:page;margin-top:0pt;" coordsize="2667,2667">
              <v:shape id="Shape 24596" style="position:absolute;width:1905;height:0;left:0;top:2667;" coordsize="190500,0" path="m190500,0l0,0">
                <v:stroke weight="0.25pt" endcap="flat" joinstyle="miter" miterlimit="10" on="true" color="#000000"/>
                <v:fill on="false" color="#000000" opacity="0"/>
              </v:shape>
              <v:shape id="Shape 2459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3C511C68" wp14:editId="0EBB8DC3">
              <wp:simplePos x="0" y="0"/>
              <wp:positionH relativeFrom="page">
                <wp:posOffset>5753100</wp:posOffset>
              </wp:positionH>
              <wp:positionV relativeFrom="page">
                <wp:posOffset>0</wp:posOffset>
              </wp:positionV>
              <wp:extent cx="266700" cy="266700"/>
              <wp:effectExtent l="0" t="0" r="0" b="0"/>
              <wp:wrapSquare wrapText="bothSides"/>
              <wp:docPr id="24598" name="Group 245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99" name="Shape 2459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600" name="Shape 2460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98" style="width:21pt;height:21pt;position:absolute;mso-position-horizontal-relative:page;mso-position-horizontal:absolute;margin-left:453pt;mso-position-vertical-relative:page;margin-top:0pt;" coordsize="2667,2667">
              <v:shape id="Shape 24599" style="position:absolute;width:1905;height:0;left:762;top:2667;" coordsize="190500,0" path="m0,0l190500,0">
                <v:stroke weight="0.25pt" endcap="flat" joinstyle="miter" miterlimit="10" on="true" color="#000000"/>
                <v:fill on="false" color="#000000" opacity="0"/>
              </v:shape>
              <v:shape id="Shape 24600"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30</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Carolina Aguerre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B50C8" w14:textId="77777777" w:rsidR="00A25657"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4C3A2C5C" wp14:editId="6EC499F0">
              <wp:simplePos x="0" y="0"/>
              <wp:positionH relativeFrom="page">
                <wp:posOffset>0</wp:posOffset>
              </wp:positionH>
              <wp:positionV relativeFrom="page">
                <wp:posOffset>0</wp:posOffset>
              </wp:positionV>
              <wp:extent cx="266700" cy="266700"/>
              <wp:effectExtent l="0" t="0" r="0" b="0"/>
              <wp:wrapSquare wrapText="bothSides"/>
              <wp:docPr id="24571" name="Group 2457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72" name="Shape 24572"/>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73" name="Shape 24573"/>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71" style="width:21pt;height:21pt;position:absolute;mso-position-horizontal-relative:page;mso-position-horizontal:absolute;margin-left:0pt;mso-position-vertical-relative:page;margin-top:0pt;" coordsize="2667,2667">
              <v:shape id="Shape 24572" style="position:absolute;width:1905;height:0;left:0;top:2667;" coordsize="190500,0" path="m190500,0l0,0">
                <v:stroke weight="0.25pt" endcap="flat" joinstyle="miter" miterlimit="10" on="true" color="#000000"/>
                <v:fill on="false" color="#000000" opacity="0"/>
              </v:shape>
              <v:shape id="Shape 24573"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07528833" wp14:editId="043FB152">
              <wp:simplePos x="0" y="0"/>
              <wp:positionH relativeFrom="page">
                <wp:posOffset>5753100</wp:posOffset>
              </wp:positionH>
              <wp:positionV relativeFrom="page">
                <wp:posOffset>0</wp:posOffset>
              </wp:positionV>
              <wp:extent cx="266700" cy="266700"/>
              <wp:effectExtent l="0" t="0" r="0" b="0"/>
              <wp:wrapSquare wrapText="bothSides"/>
              <wp:docPr id="24574" name="Group 2457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75" name="Shape 24575"/>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76" name="Shape 2457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74" style="width:21pt;height:21pt;position:absolute;mso-position-horizontal-relative:page;mso-position-horizontal:absolute;margin-left:453pt;mso-position-vertical-relative:page;margin-top:0pt;" coordsize="2667,2667">
              <v:shape id="Shape 24575" style="position:absolute;width:1905;height:0;left:762;top:2667;" coordsize="190500,0" path="m0,0l190500,0">
                <v:stroke weight="0.25pt" endcap="flat" joinstyle="miter" miterlimit="10" on="true" color="#000000"/>
                <v:fill on="false" color="#000000" opacity="0"/>
              </v:shape>
              <v:shape id="Shape 24576"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 xml:space="preserve">Re-Conceptualizing Governance Policies on Data Access for Research </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31</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EE77E4" w14:textId="77777777" w:rsidR="00A25657"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2762F75B" wp14:editId="1AB81BF4">
              <wp:simplePos x="0" y="0"/>
              <wp:positionH relativeFrom="page">
                <wp:posOffset>0</wp:posOffset>
              </wp:positionH>
              <wp:positionV relativeFrom="page">
                <wp:posOffset>0</wp:posOffset>
              </wp:positionV>
              <wp:extent cx="266700" cy="266700"/>
              <wp:effectExtent l="0" t="0" r="0" b="0"/>
              <wp:wrapSquare wrapText="bothSides"/>
              <wp:docPr id="24547" name="Group 2454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48" name="Shape 2454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49" name="Shape 2454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47" style="width:21pt;height:21pt;position:absolute;mso-position-horizontal-relative:page;mso-position-horizontal:absolute;margin-left:0pt;mso-position-vertical-relative:page;margin-top:0pt;" coordsize="2667,2667">
              <v:shape id="Shape 24548" style="position:absolute;width:1905;height:0;left:0;top:2667;" coordsize="190500,0" path="m190500,0l0,0">
                <v:stroke weight="0.25pt" endcap="flat" joinstyle="miter" miterlimit="10" on="true" color="#000000"/>
                <v:fill on="false" color="#000000" opacity="0"/>
              </v:shape>
              <v:shape id="Shape 24549"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24151478" wp14:editId="57BEF53E">
              <wp:simplePos x="0" y="0"/>
              <wp:positionH relativeFrom="page">
                <wp:posOffset>5753100</wp:posOffset>
              </wp:positionH>
              <wp:positionV relativeFrom="page">
                <wp:posOffset>0</wp:posOffset>
              </wp:positionV>
              <wp:extent cx="266700" cy="266700"/>
              <wp:effectExtent l="0" t="0" r="0" b="0"/>
              <wp:wrapSquare wrapText="bothSides"/>
              <wp:docPr id="24550" name="Group 2455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4551" name="Shape 24551"/>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4552" name="Shape 2455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4550" style="width:21pt;height:21pt;position:absolute;mso-position-horizontal-relative:page;mso-position-horizontal:absolute;margin-left:453pt;mso-position-vertical-relative:page;margin-top:0pt;" coordsize="2667,2667">
              <v:shape id="Shape 24551" style="position:absolute;width:1905;height:0;left:762;top:2667;" coordsize="190500,0" path="m0,0l190500,0">
                <v:stroke weight="0.25pt" endcap="flat" joinstyle="miter" miterlimit="10" on="true" color="#000000"/>
                <v:fill on="false" color="#000000" opacity="0"/>
              </v:shape>
              <v:shape id="Shape 24552"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41587"/>
    <w:multiLevelType w:val="hybridMultilevel"/>
    <w:tmpl w:val="16BEBDCE"/>
    <w:lvl w:ilvl="0" w:tplc="2EC6EA74">
      <w:start w:val="1"/>
      <w:numFmt w:val="bullet"/>
      <w:lvlText w:val="•"/>
      <w:lvlJc w:val="left"/>
      <w:pPr>
        <w:ind w:left="236"/>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1" w:tplc="26E22AF6">
      <w:start w:val="1"/>
      <w:numFmt w:val="bullet"/>
      <w:lvlText w:val="o"/>
      <w:lvlJc w:val="left"/>
      <w:pPr>
        <w:ind w:left="108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2" w:tplc="A0E87814">
      <w:start w:val="1"/>
      <w:numFmt w:val="bullet"/>
      <w:lvlText w:val="▪"/>
      <w:lvlJc w:val="left"/>
      <w:pPr>
        <w:ind w:left="180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3" w:tplc="3A4009AC">
      <w:start w:val="1"/>
      <w:numFmt w:val="bullet"/>
      <w:lvlText w:val="•"/>
      <w:lvlJc w:val="left"/>
      <w:pPr>
        <w:ind w:left="252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4" w:tplc="5B9870E6">
      <w:start w:val="1"/>
      <w:numFmt w:val="bullet"/>
      <w:lvlText w:val="o"/>
      <w:lvlJc w:val="left"/>
      <w:pPr>
        <w:ind w:left="324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5" w:tplc="B4DE26A6">
      <w:start w:val="1"/>
      <w:numFmt w:val="bullet"/>
      <w:lvlText w:val="▪"/>
      <w:lvlJc w:val="left"/>
      <w:pPr>
        <w:ind w:left="396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6" w:tplc="379E2402">
      <w:start w:val="1"/>
      <w:numFmt w:val="bullet"/>
      <w:lvlText w:val="•"/>
      <w:lvlJc w:val="left"/>
      <w:pPr>
        <w:ind w:left="468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7" w:tplc="C4B4E21A">
      <w:start w:val="1"/>
      <w:numFmt w:val="bullet"/>
      <w:lvlText w:val="o"/>
      <w:lvlJc w:val="left"/>
      <w:pPr>
        <w:ind w:left="540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8" w:tplc="AFEA43FA">
      <w:start w:val="1"/>
      <w:numFmt w:val="bullet"/>
      <w:lvlText w:val="▪"/>
      <w:lvlJc w:val="left"/>
      <w:pPr>
        <w:ind w:left="612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abstractNum>
  <w:abstractNum w:abstractNumId="1" w15:restartNumberingAfterBreak="0">
    <w:nsid w:val="3E8A05F2"/>
    <w:multiLevelType w:val="hybridMultilevel"/>
    <w:tmpl w:val="6AEA03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11161C"/>
    <w:multiLevelType w:val="hybridMultilevel"/>
    <w:tmpl w:val="C61A5D06"/>
    <w:lvl w:ilvl="0" w:tplc="34F4D5BE">
      <w:start w:val="1"/>
      <w:numFmt w:val="bullet"/>
      <w:lvlText w:val="•"/>
      <w:lvlJc w:val="left"/>
      <w:pPr>
        <w:ind w:left="236"/>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1" w:tplc="88965408">
      <w:start w:val="1"/>
      <w:numFmt w:val="bullet"/>
      <w:lvlText w:val="o"/>
      <w:lvlJc w:val="left"/>
      <w:pPr>
        <w:ind w:left="108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2" w:tplc="15969114">
      <w:start w:val="1"/>
      <w:numFmt w:val="bullet"/>
      <w:lvlText w:val="▪"/>
      <w:lvlJc w:val="left"/>
      <w:pPr>
        <w:ind w:left="180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3" w:tplc="54ACC210">
      <w:start w:val="1"/>
      <w:numFmt w:val="bullet"/>
      <w:lvlText w:val="•"/>
      <w:lvlJc w:val="left"/>
      <w:pPr>
        <w:ind w:left="252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4" w:tplc="60E4A936">
      <w:start w:val="1"/>
      <w:numFmt w:val="bullet"/>
      <w:lvlText w:val="o"/>
      <w:lvlJc w:val="left"/>
      <w:pPr>
        <w:ind w:left="324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5" w:tplc="26F007CA">
      <w:start w:val="1"/>
      <w:numFmt w:val="bullet"/>
      <w:lvlText w:val="▪"/>
      <w:lvlJc w:val="left"/>
      <w:pPr>
        <w:ind w:left="396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6" w:tplc="43E075E0">
      <w:start w:val="1"/>
      <w:numFmt w:val="bullet"/>
      <w:lvlText w:val="•"/>
      <w:lvlJc w:val="left"/>
      <w:pPr>
        <w:ind w:left="468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7" w:tplc="8D903160">
      <w:start w:val="1"/>
      <w:numFmt w:val="bullet"/>
      <w:lvlText w:val="o"/>
      <w:lvlJc w:val="left"/>
      <w:pPr>
        <w:ind w:left="540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lvl w:ilvl="8" w:tplc="8A985984">
      <w:start w:val="1"/>
      <w:numFmt w:val="bullet"/>
      <w:lvlText w:val="▪"/>
      <w:lvlJc w:val="left"/>
      <w:pPr>
        <w:ind w:left="6120"/>
      </w:pPr>
      <w:rPr>
        <w:rFonts w:ascii="Garamond" w:eastAsia="Garamond" w:hAnsi="Garamond" w:cs="Garamond"/>
        <w:b w:val="0"/>
        <w:i w:val="0"/>
        <w:strike w:val="0"/>
        <w:dstrike w:val="0"/>
        <w:color w:val="181717"/>
        <w:sz w:val="17"/>
        <w:szCs w:val="17"/>
        <w:u w:val="none" w:color="000000"/>
        <w:bdr w:val="none" w:sz="0" w:space="0" w:color="auto"/>
        <w:shd w:val="clear" w:color="auto" w:fill="auto"/>
        <w:vertAlign w:val="baseline"/>
      </w:rPr>
    </w:lvl>
  </w:abstractNum>
  <w:abstractNum w:abstractNumId="3" w15:restartNumberingAfterBreak="0">
    <w:nsid w:val="7F0956B8"/>
    <w:multiLevelType w:val="hybridMultilevel"/>
    <w:tmpl w:val="546058E8"/>
    <w:lvl w:ilvl="0" w:tplc="3116861C">
      <w:start w:val="1"/>
      <w:numFmt w:val="decimal"/>
      <w:lvlText w:val="%1."/>
      <w:lvlJc w:val="left"/>
      <w:pPr>
        <w:ind w:left="44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78FCF600">
      <w:start w:val="1"/>
      <w:numFmt w:val="lowerLetter"/>
      <w:lvlText w:val="%2"/>
      <w:lvlJc w:val="left"/>
      <w:pPr>
        <w:ind w:left="109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26341EE2">
      <w:start w:val="1"/>
      <w:numFmt w:val="lowerRoman"/>
      <w:lvlText w:val="%3"/>
      <w:lvlJc w:val="left"/>
      <w:pPr>
        <w:ind w:left="181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0BA8AA66">
      <w:start w:val="1"/>
      <w:numFmt w:val="decimal"/>
      <w:lvlText w:val="%4"/>
      <w:lvlJc w:val="left"/>
      <w:pPr>
        <w:ind w:left="253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B35A0D34">
      <w:start w:val="1"/>
      <w:numFmt w:val="lowerLetter"/>
      <w:lvlText w:val="%5"/>
      <w:lvlJc w:val="left"/>
      <w:pPr>
        <w:ind w:left="325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05CA6D9A">
      <w:start w:val="1"/>
      <w:numFmt w:val="lowerRoman"/>
      <w:lvlText w:val="%6"/>
      <w:lvlJc w:val="left"/>
      <w:pPr>
        <w:ind w:left="397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3A36B88A">
      <w:start w:val="1"/>
      <w:numFmt w:val="decimal"/>
      <w:lvlText w:val="%7"/>
      <w:lvlJc w:val="left"/>
      <w:pPr>
        <w:ind w:left="469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27A09352">
      <w:start w:val="1"/>
      <w:numFmt w:val="lowerLetter"/>
      <w:lvlText w:val="%8"/>
      <w:lvlJc w:val="left"/>
      <w:pPr>
        <w:ind w:left="541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4C1AF60A">
      <w:start w:val="1"/>
      <w:numFmt w:val="lowerRoman"/>
      <w:lvlText w:val="%9"/>
      <w:lvlJc w:val="left"/>
      <w:pPr>
        <w:ind w:left="613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1105230049">
    <w:abstractNumId w:val="3"/>
  </w:num>
  <w:num w:numId="2" w16cid:durableId="692146075">
    <w:abstractNumId w:val="0"/>
  </w:num>
  <w:num w:numId="3" w16cid:durableId="60251631">
    <w:abstractNumId w:val="2"/>
  </w:num>
  <w:num w:numId="4" w16cid:durableId="163522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657"/>
    <w:rsid w:val="00020F99"/>
    <w:rsid w:val="000816BB"/>
    <w:rsid w:val="000A7AAA"/>
    <w:rsid w:val="001D234A"/>
    <w:rsid w:val="001E1418"/>
    <w:rsid w:val="0029187F"/>
    <w:rsid w:val="003251C3"/>
    <w:rsid w:val="003A01C4"/>
    <w:rsid w:val="003E16D9"/>
    <w:rsid w:val="003F68B5"/>
    <w:rsid w:val="005A76E4"/>
    <w:rsid w:val="005D53E0"/>
    <w:rsid w:val="00646DE1"/>
    <w:rsid w:val="00947DB8"/>
    <w:rsid w:val="009A1EC5"/>
    <w:rsid w:val="00A23F02"/>
    <w:rsid w:val="00A25657"/>
    <w:rsid w:val="00AA55BB"/>
    <w:rsid w:val="00C370A1"/>
    <w:rsid w:val="00C542CB"/>
    <w:rsid w:val="00CA27C4"/>
    <w:rsid w:val="00CA44C4"/>
    <w:rsid w:val="00CE369E"/>
    <w:rsid w:val="00D152DD"/>
    <w:rsid w:val="00D42ABE"/>
    <w:rsid w:val="00E82A28"/>
    <w:rsid w:val="00EB420D"/>
    <w:rsid w:val="00FA20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AB298E"/>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7" w:lineRule="auto"/>
      <w:ind w:left="370" w:right="4" w:hanging="370"/>
      <w:jc w:val="both"/>
    </w:pPr>
    <w:rPr>
      <w:rFonts w:ascii="Garamond" w:eastAsia="Garamond" w:hAnsi="Garamond" w:cs="Garamond"/>
      <w:color w:val="181717"/>
      <w:sz w:val="21"/>
      <w:lang w:bidi="en-GB"/>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i/>
      <w:color w:val="181717"/>
      <w:sz w:val="27"/>
    </w:rPr>
  </w:style>
  <w:style w:type="paragraph" w:styleId="Heading3">
    <w:name w:val="heading 3"/>
    <w:basedOn w:val="Normal"/>
    <w:next w:val="Normal"/>
    <w:link w:val="Heading3Char"/>
    <w:uiPriority w:val="9"/>
    <w:unhideWhenUsed/>
    <w:qFormat/>
    <w:rsid w:val="000A7AA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0A7AAA"/>
    <w:rPr>
      <w:rFonts w:asciiTheme="majorHAnsi" w:eastAsiaTheme="majorEastAsia" w:hAnsiTheme="majorHAnsi" w:cstheme="majorBidi"/>
      <w:color w:val="0A2F40" w:themeColor="accent1" w:themeShade="7F"/>
      <w:lang w:bidi="en-GB"/>
    </w:rPr>
  </w:style>
  <w:style w:type="paragraph" w:styleId="EndnoteText">
    <w:name w:val="endnote text"/>
    <w:basedOn w:val="Normal"/>
    <w:link w:val="EndnoteTextChar"/>
    <w:uiPriority w:val="99"/>
    <w:semiHidden/>
    <w:unhideWhenUsed/>
    <w:rsid w:val="001E141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E1418"/>
    <w:rPr>
      <w:rFonts w:ascii="Garamond" w:eastAsia="Garamond" w:hAnsi="Garamond" w:cs="Garamond"/>
      <w:color w:val="181717"/>
      <w:sz w:val="20"/>
      <w:szCs w:val="20"/>
      <w:lang w:bidi="en-GB"/>
    </w:rPr>
  </w:style>
  <w:style w:type="character" w:styleId="EndnoteReference">
    <w:name w:val="endnote reference"/>
    <w:basedOn w:val="DefaultParagraphFont"/>
    <w:uiPriority w:val="99"/>
    <w:semiHidden/>
    <w:unhideWhenUsed/>
    <w:rsid w:val="001E1418"/>
    <w:rPr>
      <w:vertAlign w:val="superscript"/>
    </w:rPr>
  </w:style>
  <w:style w:type="paragraph" w:styleId="ListParagraph">
    <w:name w:val="List Paragraph"/>
    <w:basedOn w:val="Normal"/>
    <w:uiPriority w:val="34"/>
    <w:qFormat/>
    <w:rsid w:val="003A01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3AF9B-BEB3-B948-A467-7320C378B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28</Pages>
  <Words>7537</Words>
  <Characters>42966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Klaudia Wiktoria Orczykowska</cp:lastModifiedBy>
  <cp:revision>11</cp:revision>
  <dcterms:created xsi:type="dcterms:W3CDTF">2025-11-29T15:44:00Z</dcterms:created>
  <dcterms:modified xsi:type="dcterms:W3CDTF">2026-02-03T19:41:00Z</dcterms:modified>
</cp:coreProperties>
</file>