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8F8DF" w14:textId="3A8E7BD0" w:rsidR="00CF0E74" w:rsidRDefault="00CF0E74">
      <w:pPr>
        <w:spacing w:after="0" w:line="259" w:lineRule="auto"/>
        <w:ind w:right="1" w:firstLine="0"/>
        <w:jc w:val="center"/>
      </w:pPr>
    </w:p>
    <w:p w14:paraId="40F06D56" w14:textId="77777777" w:rsidR="00CF0E74" w:rsidRDefault="00000000">
      <w:pPr>
        <w:spacing w:after="94" w:line="259" w:lineRule="auto"/>
        <w:ind w:right="1" w:firstLine="0"/>
        <w:jc w:val="center"/>
      </w:pPr>
      <w:r>
        <w:rPr>
          <w:rFonts w:ascii="Times New Roman" w:eastAsia="Times New Roman" w:hAnsi="Times New Roman" w:cs="Times New Roman"/>
          <w:b/>
          <w:sz w:val="34"/>
        </w:rPr>
        <w:t>Violent Plains</w:t>
      </w:r>
    </w:p>
    <w:p w14:paraId="629F4C6A" w14:textId="77777777" w:rsidR="00CF0E74" w:rsidRDefault="00000000">
      <w:pPr>
        <w:spacing w:after="0" w:line="259" w:lineRule="auto"/>
        <w:ind w:left="10" w:right="1" w:hanging="10"/>
        <w:jc w:val="center"/>
      </w:pPr>
      <w:r>
        <w:rPr>
          <w:rFonts w:ascii="Times New Roman" w:eastAsia="Times New Roman" w:hAnsi="Times New Roman" w:cs="Times New Roman"/>
          <w:sz w:val="26"/>
        </w:rPr>
        <w:t xml:space="preserve">Challenges and Strategies for Pastoralists’  </w:t>
      </w:r>
    </w:p>
    <w:p w14:paraId="144365FD" w14:textId="77777777" w:rsidR="00CF0E74" w:rsidRDefault="00000000">
      <w:pPr>
        <w:spacing w:after="204" w:line="259" w:lineRule="auto"/>
        <w:ind w:left="10" w:right="1" w:hanging="10"/>
        <w:jc w:val="center"/>
      </w:pPr>
      <w:r>
        <w:rPr>
          <w:rFonts w:ascii="Times New Roman" w:eastAsia="Times New Roman" w:hAnsi="Times New Roman" w:cs="Times New Roman"/>
          <w:sz w:val="26"/>
        </w:rPr>
        <w:t>Data Access in Ghana</w:t>
      </w:r>
      <w:r>
        <w:rPr>
          <w:rFonts w:ascii="Times New Roman" w:eastAsia="Times New Roman" w:hAnsi="Times New Roman" w:cs="Times New Roman"/>
          <w:sz w:val="23"/>
          <w:vertAlign w:val="superscript"/>
        </w:rPr>
        <w:footnoteReference w:id="1"/>
      </w:r>
    </w:p>
    <w:p w14:paraId="78AC4877" w14:textId="77777777" w:rsidR="00CF0E74" w:rsidRDefault="00000000">
      <w:pPr>
        <w:spacing w:after="1450" w:line="259" w:lineRule="auto"/>
        <w:ind w:right="1" w:firstLine="0"/>
        <w:jc w:val="center"/>
      </w:pPr>
      <w:r>
        <w:rPr>
          <w:rFonts w:ascii="Times New Roman" w:eastAsia="Times New Roman" w:hAnsi="Times New Roman" w:cs="Times New Roman"/>
          <w:i/>
          <w:sz w:val="20"/>
        </w:rPr>
        <w:t xml:space="preserve">Frank Kwaku Agyei, Lawrence Kwabena Brobbey, Paul Osei-Tutu, and Boateng </w:t>
      </w:r>
      <w:proofErr w:type="spellStart"/>
      <w:r>
        <w:rPr>
          <w:rFonts w:ascii="Times New Roman" w:eastAsia="Times New Roman" w:hAnsi="Times New Roman" w:cs="Times New Roman"/>
          <w:i/>
          <w:sz w:val="20"/>
        </w:rPr>
        <w:t>Kyereh</w:t>
      </w:r>
      <w:proofErr w:type="spellEnd"/>
    </w:p>
    <w:p w14:paraId="0464E7DB" w14:textId="4636965B" w:rsidR="00CF0E74" w:rsidRDefault="00000000">
      <w:pPr>
        <w:spacing w:after="53"/>
        <w:ind w:left="-15" w:right="-14" w:firstLine="0"/>
      </w:pPr>
      <w:r>
        <w:t>The conflict between pastoralists (cattle farmers) and crop farmers constitutes a major source of natural resource conflict in Africa. It was initially thought that the declining availability of grass and water resources and the complex land tenure system in Africa drive the conflict.</w:t>
      </w:r>
      <w:r w:rsidR="00AC7C26">
        <w:rPr>
          <w:rStyle w:val="EndnoteReference"/>
        </w:rPr>
        <w:endnoteReference w:id="1"/>
      </w:r>
      <w:r>
        <w:t xml:space="preserve"> The depletion of grasslands – to feed cattle – results in competition between farmers and cattle herders for control over grass and farmlands, and that results in intense clashes and violent confrontations.</w:t>
      </w:r>
      <w:r w:rsidR="00AC7C26">
        <w:rPr>
          <w:rStyle w:val="EndnoteReference"/>
        </w:rPr>
        <w:endnoteReference w:id="2"/>
      </w:r>
      <w:r>
        <w:rPr>
          <w:sz w:val="19"/>
          <w:vertAlign w:val="superscript"/>
        </w:rPr>
        <w:t xml:space="preserve"> </w:t>
      </w:r>
      <w:r>
        <w:t>Several instances of the conflict have been reported to show its growing intensity, geographic scope, and effects of displacements, losses, and deaths.</w:t>
      </w:r>
      <w:r w:rsidR="00AC7C26">
        <w:rPr>
          <w:rStyle w:val="EndnoteReference"/>
        </w:rPr>
        <w:endnoteReference w:id="3"/>
      </w:r>
      <w:r>
        <w:t xml:space="preserve"> Subsequent works in the humanities and social sciences have suggested that the violent clashes between farmers and herders are a result of differences in their ethnic and identity backgrounds – typical in Nigeria where the conflict occurs between Muslim or Fulani herders and Christian farmers.</w:t>
      </w:r>
      <w:r w:rsidR="00AC7C26">
        <w:rPr>
          <w:rStyle w:val="EndnoteReference"/>
        </w:rPr>
        <w:endnoteReference w:id="4"/>
      </w:r>
      <w:r>
        <w:rPr>
          <w:sz w:val="19"/>
          <w:vertAlign w:val="superscript"/>
        </w:rPr>
        <w:t xml:space="preserve"> </w:t>
      </w:r>
      <w:r>
        <w:t>More recent studies suggest political marginalization through land use politics favouring crop farming over pastoralism creates power imbalances and sustains tensions between farmers and herders to increase the prevalence of the conflict.</w:t>
      </w:r>
      <w:r w:rsidR="00AC7C26">
        <w:rPr>
          <w:rStyle w:val="EndnoteReference"/>
        </w:rPr>
        <w:endnoteReference w:id="5"/>
      </w:r>
      <w:r>
        <w:rPr>
          <w:sz w:val="19"/>
          <w:vertAlign w:val="superscript"/>
        </w:rPr>
        <w:t xml:space="preserve"> </w:t>
      </w:r>
    </w:p>
    <w:p w14:paraId="2E1F8251" w14:textId="3BEDFAA3" w:rsidR="00CF0E74" w:rsidRDefault="00000000">
      <w:pPr>
        <w:ind w:left="-15" w:right="-14"/>
      </w:pPr>
      <w:r>
        <w:t xml:space="preserve">In Ghana, the conflict has gained considerable media attention and engendered continuing public debate. Despite ongoing efforts by the Ghana government to address the conflict, there are widespread claims of forced population displacements, losses, and destructive reactions. In 2016, youth in southern Ghana killed 80 cattle belonging to Fulani herdsmen when the cattle invaded their farms, and two farmers were shot dead in their farms by Fulani herdsmen in Agogo. Between 2009 and 2012, a total of 12 people were killed in </w:t>
      </w:r>
      <w:r>
        <w:lastRenderedPageBreak/>
        <w:t>Agogo town.</w:t>
      </w:r>
      <w:r w:rsidR="00AC7C26">
        <w:rPr>
          <w:rStyle w:val="EndnoteReference"/>
        </w:rPr>
        <w:endnoteReference w:id="6"/>
      </w:r>
      <w:r>
        <w:t xml:space="preserve"> In </w:t>
      </w:r>
      <w:proofErr w:type="spellStart"/>
      <w:r>
        <w:t>Berekum</w:t>
      </w:r>
      <w:proofErr w:type="spellEnd"/>
      <w:r>
        <w:t xml:space="preserve"> (southern Ghana), hundreds of armed residents attacked and evicted herdsmen from their homes, which resulted in the death of 13 herdsmen and 4 farmers.</w:t>
      </w:r>
      <w:r w:rsidR="00AC7C26">
        <w:rPr>
          <w:rStyle w:val="EndnoteReference"/>
        </w:rPr>
        <w:endnoteReference w:id="7"/>
      </w:r>
      <w:r>
        <w:t xml:space="preserve"> In northern Ghana, a series of fights between Konkomba farmers and nomadic herders resulted in over 562 families becoming homeless as well as loss of livestock, money, and other properties.</w:t>
      </w:r>
      <w:r w:rsidR="00AC7C26">
        <w:rPr>
          <w:rStyle w:val="EndnoteReference"/>
        </w:rPr>
        <w:endnoteReference w:id="8"/>
      </w:r>
      <w:r>
        <w:t xml:space="preserve"> The trauma and psychological effects of experiences with conflicts hinder farmers and herders from rebuilding their lives and livelihoods as the skirmish weakens the social capital of communities, and these experiences negatively impact the roles that men and women play in societies. </w:t>
      </w:r>
    </w:p>
    <w:p w14:paraId="09D73B64" w14:textId="1280989F" w:rsidR="00CF0E74" w:rsidRDefault="00000000">
      <w:pPr>
        <w:ind w:left="-15" w:right="-14"/>
      </w:pPr>
      <w:r>
        <w:t xml:space="preserve">The media is often criticized for being biased towards pastoralists in the framing of the conflict in news reportages, leading to their stigmatization. Journalists covering </w:t>
      </w:r>
      <w:proofErr w:type="gramStart"/>
      <w:r>
        <w:t>the majority of</w:t>
      </w:r>
      <w:proofErr w:type="gramEnd"/>
      <w:r>
        <w:t xml:space="preserve"> Fulani pastoralists’ stories rely on secondary accounts and rumoured data. Most journalists are not eyewitnesses to the issues they raise, and there is homogenization of Fulani ethnic groups with herdsmen when individual herdsmen are being referred to.</w:t>
      </w:r>
      <w:r w:rsidR="00AC7C26">
        <w:rPr>
          <w:rStyle w:val="EndnoteReference"/>
        </w:rPr>
        <w:endnoteReference w:id="9"/>
      </w:r>
      <w:r>
        <w:t xml:space="preserve"> Often, pastoralists are portrayed as ‘foreigners’ and ‘treacherous’ by news media outlets, and that has contributed to an unfriendly and unfair discussion against herders and perpetuated an unfavourable opinion of them in Ghanaian society.</w:t>
      </w:r>
      <w:r w:rsidR="00AC7C26">
        <w:rPr>
          <w:rStyle w:val="EndnoteReference"/>
        </w:rPr>
        <w:endnoteReference w:id="10"/>
      </w:r>
      <w:r>
        <w:t xml:space="preserve"> Through the use of the language of alienation and frames that stigmatize, herders are put at the margins of Ghanaian society. Pastoralist communities are being marginalized, and this has resulted in their passiveness and poor participation in social interventions, particularly programmes that seek access to their data. This undermines possibilities for generating holistic, secure, and scalable data critical to rebuilding pastoralist heritage and dignity among pastoralists and farmers. </w:t>
      </w:r>
    </w:p>
    <w:p w14:paraId="210E1644" w14:textId="6D0393DB" w:rsidR="00CF0E74" w:rsidRDefault="00000000">
      <w:pPr>
        <w:spacing w:after="414"/>
        <w:ind w:left="-15" w:right="-14"/>
      </w:pPr>
      <w:r>
        <w:t>Much scholarly attention has been devoted to structural explanations of farmer–herder conflicts, pastoralism and rural economies, political economy associated with pastoralism, and institutional interference. The evidence indicates that transhumance and nomadic herders are the main culprits of the conflict. They live in camps in bushy areas and engage in grazing of cattle at night. Further, studies suggest that many herdsmen and their families speak Fulbe and/or other non-Ghanaian languages,</w:t>
      </w:r>
      <w:r w:rsidR="00AC7C26">
        <w:rPr>
          <w:rStyle w:val="EndnoteReference"/>
        </w:rPr>
        <w:endnoteReference w:id="11"/>
      </w:r>
      <w:r>
        <w:t xml:space="preserve"> and hence poorly integrate with local Ghanaian households. The need to integrate perspectives of nomadic and transhumance herders in conflict management initiatives is widely recognized. Yet pastoralism literature has not systematically accounted for the challenges associated with getting access to pastoralists’ data. Data access denotes having access rights in a legal or political sense as well as activities relating to collecting, storing, and acting on data housed in a database.</w:t>
      </w:r>
      <w:r w:rsidR="00AC7C26">
        <w:rPr>
          <w:rStyle w:val="EndnoteReference"/>
        </w:rPr>
        <w:endnoteReference w:id="12"/>
      </w:r>
      <w:r>
        <w:t xml:space="preserve"> Understanding the challenges as well as the strategies and opportunities associated with pastoralism-related data access is an important starting point for improving the well-being and peace among farmers and herders in Ghana and beyond. In this chapter, we examine (</w:t>
      </w:r>
      <w:r>
        <w:rPr>
          <w:i/>
        </w:rPr>
        <w:t>a</w:t>
      </w:r>
      <w:r>
        <w:t xml:space="preserve">) challenges </w:t>
      </w:r>
      <w:r>
        <w:lastRenderedPageBreak/>
        <w:t>associated with pastoralists’ data access, (</w:t>
      </w:r>
      <w:r>
        <w:rPr>
          <w:i/>
        </w:rPr>
        <w:t>b</w:t>
      </w:r>
      <w:r>
        <w:t>) strategies employed by researchers and development actors to get access to pastoralists’ data, and (</w:t>
      </w:r>
      <w:r>
        <w:rPr>
          <w:i/>
        </w:rPr>
        <w:t>c</w:t>
      </w:r>
      <w:r>
        <w:t xml:space="preserve">) opportunities for pastoralists’ data access. The next section outlines the methods used for data collection and analysis. This is followed by sections on the results and discussion. </w:t>
      </w:r>
    </w:p>
    <w:p w14:paraId="3478E541" w14:textId="77777777" w:rsidR="00CF0E74" w:rsidRDefault="00000000">
      <w:pPr>
        <w:pStyle w:val="Heading1"/>
        <w:ind w:left="-5"/>
      </w:pPr>
      <w:r>
        <w:t>Methods</w:t>
      </w:r>
    </w:p>
    <w:p w14:paraId="1CFFAB15" w14:textId="77777777" w:rsidR="00CF0E74" w:rsidRDefault="00000000">
      <w:pPr>
        <w:ind w:left="-15" w:right="-14" w:firstLine="0"/>
      </w:pPr>
      <w:r>
        <w:t xml:space="preserve">The study targeted six categories of people for data collection: researchers (universities), non-governmental organizations (NGOs), cattle owners, herdsmen, government, and other key informants in the cattle industry (Table 3.1). The researchers </w:t>
      </w:r>
      <w:proofErr w:type="gramStart"/>
      <w:r>
        <w:t>look into</w:t>
      </w:r>
      <w:proofErr w:type="gramEnd"/>
      <w:r>
        <w:t xml:space="preserve"> pastoralism and are based at four public universities in Ghana: Kwame Nkrumah University of Science and Technology, Kumasi; University of Energy and Natural Resources, Sunyani; University for Development </w:t>
      </w:r>
      <w:r>
        <w:rPr>
          <w:b/>
          <w:sz w:val="17"/>
        </w:rPr>
        <w:t xml:space="preserve">Table 3.1 </w:t>
      </w:r>
      <w:r>
        <w:rPr>
          <w:sz w:val="17"/>
        </w:rPr>
        <w:t>Category and sample of respondents used for the study</w:t>
      </w:r>
    </w:p>
    <w:tbl>
      <w:tblPr>
        <w:tblStyle w:val="TableGrid"/>
        <w:tblW w:w="6480" w:type="dxa"/>
        <w:tblInd w:w="0" w:type="dxa"/>
        <w:tblCellMar>
          <w:top w:w="34" w:type="dxa"/>
          <w:bottom w:w="20" w:type="dxa"/>
          <w:right w:w="115" w:type="dxa"/>
        </w:tblCellMar>
        <w:tblLook w:val="04A0" w:firstRow="1" w:lastRow="0" w:firstColumn="1" w:lastColumn="0" w:noHBand="0" w:noVBand="1"/>
      </w:tblPr>
      <w:tblGrid>
        <w:gridCol w:w="839"/>
        <w:gridCol w:w="2730"/>
        <w:gridCol w:w="1344"/>
        <w:gridCol w:w="1567"/>
      </w:tblGrid>
      <w:tr w:rsidR="00CF0E74" w14:paraId="639F4512" w14:textId="77777777">
        <w:trPr>
          <w:trHeight w:val="283"/>
        </w:trPr>
        <w:tc>
          <w:tcPr>
            <w:tcW w:w="840" w:type="dxa"/>
            <w:tcBorders>
              <w:top w:val="single" w:sz="4" w:space="0" w:color="181717"/>
              <w:left w:val="nil"/>
              <w:bottom w:val="single" w:sz="4" w:space="0" w:color="181717"/>
              <w:right w:val="nil"/>
            </w:tcBorders>
          </w:tcPr>
          <w:p w14:paraId="17530E83" w14:textId="77777777" w:rsidR="00CF0E74" w:rsidRDefault="00000000">
            <w:pPr>
              <w:spacing w:after="0" w:line="259" w:lineRule="auto"/>
              <w:ind w:left="80" w:firstLine="0"/>
              <w:jc w:val="left"/>
            </w:pPr>
            <w:r>
              <w:rPr>
                <w:b/>
                <w:sz w:val="17"/>
              </w:rPr>
              <w:t>No.</w:t>
            </w:r>
          </w:p>
        </w:tc>
        <w:tc>
          <w:tcPr>
            <w:tcW w:w="2730" w:type="dxa"/>
            <w:tcBorders>
              <w:top w:val="single" w:sz="4" w:space="0" w:color="181717"/>
              <w:left w:val="nil"/>
              <w:bottom w:val="single" w:sz="4" w:space="0" w:color="181717"/>
              <w:right w:val="nil"/>
            </w:tcBorders>
          </w:tcPr>
          <w:p w14:paraId="68606ECF" w14:textId="77777777" w:rsidR="00CF0E74" w:rsidRDefault="00000000">
            <w:pPr>
              <w:spacing w:after="0" w:line="259" w:lineRule="auto"/>
              <w:ind w:firstLine="0"/>
              <w:jc w:val="left"/>
            </w:pPr>
            <w:r>
              <w:rPr>
                <w:b/>
                <w:sz w:val="17"/>
              </w:rPr>
              <w:t>Category of interviewee</w:t>
            </w:r>
          </w:p>
        </w:tc>
        <w:tc>
          <w:tcPr>
            <w:tcW w:w="1344" w:type="dxa"/>
            <w:tcBorders>
              <w:top w:val="single" w:sz="4" w:space="0" w:color="181717"/>
              <w:left w:val="nil"/>
              <w:bottom w:val="single" w:sz="4" w:space="0" w:color="181717"/>
              <w:right w:val="nil"/>
            </w:tcBorders>
          </w:tcPr>
          <w:p w14:paraId="5687F661" w14:textId="77777777" w:rsidR="00CF0E74" w:rsidRDefault="00000000">
            <w:pPr>
              <w:spacing w:after="0" w:line="259" w:lineRule="auto"/>
              <w:ind w:firstLine="0"/>
              <w:jc w:val="left"/>
            </w:pPr>
            <w:r>
              <w:rPr>
                <w:b/>
                <w:sz w:val="17"/>
              </w:rPr>
              <w:t xml:space="preserve">Sample </w:t>
            </w:r>
          </w:p>
        </w:tc>
        <w:tc>
          <w:tcPr>
            <w:tcW w:w="1567" w:type="dxa"/>
            <w:tcBorders>
              <w:top w:val="single" w:sz="4" w:space="0" w:color="181717"/>
              <w:left w:val="nil"/>
              <w:bottom w:val="single" w:sz="4" w:space="0" w:color="181717"/>
              <w:right w:val="nil"/>
            </w:tcBorders>
          </w:tcPr>
          <w:p w14:paraId="3903D8C1" w14:textId="77777777" w:rsidR="00CF0E74" w:rsidRDefault="00000000">
            <w:pPr>
              <w:spacing w:after="0" w:line="259" w:lineRule="auto"/>
              <w:ind w:firstLine="0"/>
              <w:jc w:val="left"/>
            </w:pPr>
            <w:r>
              <w:rPr>
                <w:b/>
                <w:sz w:val="17"/>
              </w:rPr>
              <w:t>Mode of selection</w:t>
            </w:r>
          </w:p>
        </w:tc>
      </w:tr>
      <w:tr w:rsidR="00CF0E74" w14:paraId="77125401" w14:textId="77777777">
        <w:trPr>
          <w:trHeight w:val="297"/>
        </w:trPr>
        <w:tc>
          <w:tcPr>
            <w:tcW w:w="840" w:type="dxa"/>
            <w:tcBorders>
              <w:top w:val="single" w:sz="4" w:space="0" w:color="181717"/>
              <w:left w:val="nil"/>
              <w:bottom w:val="nil"/>
              <w:right w:val="nil"/>
            </w:tcBorders>
          </w:tcPr>
          <w:p w14:paraId="70299F06" w14:textId="77777777" w:rsidR="00CF0E74" w:rsidRDefault="00000000">
            <w:pPr>
              <w:spacing w:after="0" w:line="259" w:lineRule="auto"/>
              <w:ind w:left="35" w:firstLine="0"/>
              <w:jc w:val="center"/>
            </w:pPr>
            <w:r>
              <w:rPr>
                <w:sz w:val="17"/>
              </w:rPr>
              <w:t>1</w:t>
            </w:r>
          </w:p>
        </w:tc>
        <w:tc>
          <w:tcPr>
            <w:tcW w:w="2730" w:type="dxa"/>
            <w:tcBorders>
              <w:top w:val="single" w:sz="4" w:space="0" w:color="181717"/>
              <w:left w:val="nil"/>
              <w:bottom w:val="nil"/>
              <w:right w:val="nil"/>
            </w:tcBorders>
          </w:tcPr>
          <w:p w14:paraId="07C6A112" w14:textId="77777777" w:rsidR="00CF0E74" w:rsidRDefault="00000000">
            <w:pPr>
              <w:spacing w:after="0" w:line="259" w:lineRule="auto"/>
              <w:ind w:firstLine="0"/>
              <w:jc w:val="left"/>
            </w:pPr>
            <w:r>
              <w:rPr>
                <w:sz w:val="17"/>
              </w:rPr>
              <w:t xml:space="preserve">Researchers </w:t>
            </w:r>
          </w:p>
        </w:tc>
        <w:tc>
          <w:tcPr>
            <w:tcW w:w="1344" w:type="dxa"/>
            <w:tcBorders>
              <w:top w:val="single" w:sz="4" w:space="0" w:color="181717"/>
              <w:left w:val="nil"/>
              <w:bottom w:val="nil"/>
              <w:right w:val="nil"/>
            </w:tcBorders>
          </w:tcPr>
          <w:p w14:paraId="6A1DD4A0" w14:textId="77777777" w:rsidR="00CF0E74" w:rsidRDefault="00000000">
            <w:pPr>
              <w:spacing w:after="0" w:line="259" w:lineRule="auto"/>
              <w:ind w:left="507" w:firstLine="0"/>
              <w:jc w:val="left"/>
            </w:pPr>
            <w:r>
              <w:rPr>
                <w:sz w:val="17"/>
              </w:rPr>
              <w:t>11</w:t>
            </w:r>
          </w:p>
        </w:tc>
        <w:tc>
          <w:tcPr>
            <w:tcW w:w="1567" w:type="dxa"/>
            <w:tcBorders>
              <w:top w:val="single" w:sz="4" w:space="0" w:color="181717"/>
              <w:left w:val="nil"/>
              <w:bottom w:val="nil"/>
              <w:right w:val="nil"/>
            </w:tcBorders>
          </w:tcPr>
          <w:p w14:paraId="1572FAF5" w14:textId="77777777" w:rsidR="00CF0E74" w:rsidRDefault="00000000">
            <w:pPr>
              <w:spacing w:after="0" w:line="259" w:lineRule="auto"/>
              <w:ind w:firstLine="0"/>
              <w:jc w:val="left"/>
            </w:pPr>
            <w:r>
              <w:rPr>
                <w:sz w:val="17"/>
              </w:rPr>
              <w:t>Purposive</w:t>
            </w:r>
          </w:p>
        </w:tc>
      </w:tr>
      <w:tr w:rsidR="00CF0E74" w14:paraId="21B05780" w14:textId="77777777">
        <w:trPr>
          <w:trHeight w:val="283"/>
        </w:trPr>
        <w:tc>
          <w:tcPr>
            <w:tcW w:w="840" w:type="dxa"/>
            <w:tcBorders>
              <w:top w:val="nil"/>
              <w:left w:val="nil"/>
              <w:bottom w:val="nil"/>
              <w:right w:val="nil"/>
            </w:tcBorders>
          </w:tcPr>
          <w:p w14:paraId="152DA3C0" w14:textId="77777777" w:rsidR="00CF0E74" w:rsidRDefault="00000000">
            <w:pPr>
              <w:spacing w:after="0" w:line="259" w:lineRule="auto"/>
              <w:ind w:left="35" w:firstLine="0"/>
              <w:jc w:val="center"/>
            </w:pPr>
            <w:r>
              <w:rPr>
                <w:sz w:val="17"/>
              </w:rPr>
              <w:t>2</w:t>
            </w:r>
          </w:p>
        </w:tc>
        <w:tc>
          <w:tcPr>
            <w:tcW w:w="2730" w:type="dxa"/>
            <w:tcBorders>
              <w:top w:val="nil"/>
              <w:left w:val="nil"/>
              <w:bottom w:val="nil"/>
              <w:right w:val="nil"/>
            </w:tcBorders>
          </w:tcPr>
          <w:p w14:paraId="12EFBA1F" w14:textId="77777777" w:rsidR="00CF0E74" w:rsidRDefault="00000000">
            <w:pPr>
              <w:spacing w:after="0" w:line="259" w:lineRule="auto"/>
              <w:ind w:firstLine="0"/>
              <w:jc w:val="left"/>
            </w:pPr>
            <w:r>
              <w:rPr>
                <w:sz w:val="17"/>
              </w:rPr>
              <w:t>NGOs</w:t>
            </w:r>
          </w:p>
        </w:tc>
        <w:tc>
          <w:tcPr>
            <w:tcW w:w="1344" w:type="dxa"/>
            <w:tcBorders>
              <w:top w:val="nil"/>
              <w:left w:val="nil"/>
              <w:bottom w:val="nil"/>
              <w:right w:val="nil"/>
            </w:tcBorders>
          </w:tcPr>
          <w:p w14:paraId="11C3E1AD" w14:textId="77777777" w:rsidR="00CF0E74" w:rsidRDefault="00000000">
            <w:pPr>
              <w:spacing w:after="0" w:line="259" w:lineRule="auto"/>
              <w:ind w:right="45" w:firstLine="0"/>
              <w:jc w:val="center"/>
            </w:pPr>
            <w:r>
              <w:rPr>
                <w:sz w:val="17"/>
              </w:rPr>
              <w:t>2</w:t>
            </w:r>
          </w:p>
        </w:tc>
        <w:tc>
          <w:tcPr>
            <w:tcW w:w="1567" w:type="dxa"/>
            <w:tcBorders>
              <w:top w:val="nil"/>
              <w:left w:val="nil"/>
              <w:bottom w:val="nil"/>
              <w:right w:val="nil"/>
            </w:tcBorders>
          </w:tcPr>
          <w:p w14:paraId="22B555FC" w14:textId="77777777" w:rsidR="00CF0E74" w:rsidRDefault="00000000">
            <w:pPr>
              <w:spacing w:after="0" w:line="259" w:lineRule="auto"/>
              <w:ind w:firstLine="0"/>
              <w:jc w:val="left"/>
            </w:pPr>
            <w:r>
              <w:rPr>
                <w:sz w:val="17"/>
              </w:rPr>
              <w:t>Purposive</w:t>
            </w:r>
          </w:p>
        </w:tc>
      </w:tr>
      <w:tr w:rsidR="00CF0E74" w14:paraId="6D8A0637" w14:textId="77777777">
        <w:trPr>
          <w:trHeight w:val="283"/>
        </w:trPr>
        <w:tc>
          <w:tcPr>
            <w:tcW w:w="840" w:type="dxa"/>
            <w:tcBorders>
              <w:top w:val="nil"/>
              <w:left w:val="nil"/>
              <w:bottom w:val="nil"/>
              <w:right w:val="nil"/>
            </w:tcBorders>
          </w:tcPr>
          <w:p w14:paraId="051990C3" w14:textId="77777777" w:rsidR="00CF0E74" w:rsidRDefault="00000000">
            <w:pPr>
              <w:spacing w:after="0" w:line="259" w:lineRule="auto"/>
              <w:ind w:left="35" w:firstLine="0"/>
              <w:jc w:val="center"/>
            </w:pPr>
            <w:r>
              <w:rPr>
                <w:sz w:val="17"/>
              </w:rPr>
              <w:t>3</w:t>
            </w:r>
          </w:p>
        </w:tc>
        <w:tc>
          <w:tcPr>
            <w:tcW w:w="2730" w:type="dxa"/>
            <w:tcBorders>
              <w:top w:val="nil"/>
              <w:left w:val="nil"/>
              <w:bottom w:val="nil"/>
              <w:right w:val="nil"/>
            </w:tcBorders>
          </w:tcPr>
          <w:p w14:paraId="40D3325A" w14:textId="77777777" w:rsidR="00CF0E74" w:rsidRDefault="00000000">
            <w:pPr>
              <w:spacing w:after="0" w:line="259" w:lineRule="auto"/>
              <w:ind w:firstLine="0"/>
              <w:jc w:val="left"/>
            </w:pPr>
            <w:r>
              <w:rPr>
                <w:sz w:val="17"/>
              </w:rPr>
              <w:t>Cattle owners</w:t>
            </w:r>
          </w:p>
        </w:tc>
        <w:tc>
          <w:tcPr>
            <w:tcW w:w="1344" w:type="dxa"/>
            <w:tcBorders>
              <w:top w:val="nil"/>
              <w:left w:val="nil"/>
              <w:bottom w:val="nil"/>
              <w:right w:val="nil"/>
            </w:tcBorders>
          </w:tcPr>
          <w:p w14:paraId="013F724D" w14:textId="77777777" w:rsidR="00CF0E74" w:rsidRDefault="00000000">
            <w:pPr>
              <w:spacing w:after="0" w:line="259" w:lineRule="auto"/>
              <w:ind w:right="45" w:firstLine="0"/>
              <w:jc w:val="center"/>
            </w:pPr>
            <w:r>
              <w:rPr>
                <w:sz w:val="17"/>
              </w:rPr>
              <w:t>7</w:t>
            </w:r>
          </w:p>
        </w:tc>
        <w:tc>
          <w:tcPr>
            <w:tcW w:w="1567" w:type="dxa"/>
            <w:tcBorders>
              <w:top w:val="nil"/>
              <w:left w:val="nil"/>
              <w:bottom w:val="nil"/>
              <w:right w:val="nil"/>
            </w:tcBorders>
          </w:tcPr>
          <w:p w14:paraId="7A10B203" w14:textId="77777777" w:rsidR="00CF0E74" w:rsidRDefault="00000000">
            <w:pPr>
              <w:spacing w:after="0" w:line="259" w:lineRule="auto"/>
              <w:ind w:firstLine="0"/>
              <w:jc w:val="left"/>
            </w:pPr>
            <w:r>
              <w:rPr>
                <w:sz w:val="17"/>
              </w:rPr>
              <w:t>Purposive</w:t>
            </w:r>
          </w:p>
        </w:tc>
      </w:tr>
      <w:tr w:rsidR="00CF0E74" w14:paraId="48DE58EC" w14:textId="77777777">
        <w:trPr>
          <w:trHeight w:val="566"/>
        </w:trPr>
        <w:tc>
          <w:tcPr>
            <w:tcW w:w="840" w:type="dxa"/>
            <w:tcBorders>
              <w:top w:val="nil"/>
              <w:left w:val="nil"/>
              <w:bottom w:val="nil"/>
              <w:right w:val="nil"/>
            </w:tcBorders>
          </w:tcPr>
          <w:p w14:paraId="631D4B36" w14:textId="77777777" w:rsidR="00CF0E74" w:rsidRDefault="00000000">
            <w:pPr>
              <w:spacing w:after="0" w:line="259" w:lineRule="auto"/>
              <w:ind w:left="35" w:firstLine="0"/>
              <w:jc w:val="center"/>
            </w:pPr>
            <w:r>
              <w:rPr>
                <w:sz w:val="17"/>
              </w:rPr>
              <w:t>4</w:t>
            </w:r>
          </w:p>
        </w:tc>
        <w:tc>
          <w:tcPr>
            <w:tcW w:w="2730" w:type="dxa"/>
            <w:tcBorders>
              <w:top w:val="nil"/>
              <w:left w:val="nil"/>
              <w:bottom w:val="nil"/>
              <w:right w:val="nil"/>
            </w:tcBorders>
          </w:tcPr>
          <w:p w14:paraId="75DB51B9" w14:textId="77777777" w:rsidR="00CF0E74" w:rsidRDefault="00000000">
            <w:pPr>
              <w:spacing w:after="75" w:line="259" w:lineRule="auto"/>
              <w:ind w:firstLine="0"/>
              <w:jc w:val="left"/>
            </w:pPr>
            <w:r>
              <w:rPr>
                <w:i/>
                <w:sz w:val="17"/>
              </w:rPr>
              <w:t>Herdsmen</w:t>
            </w:r>
          </w:p>
          <w:p w14:paraId="79DB10C0" w14:textId="77777777" w:rsidR="00CF0E74" w:rsidRDefault="00000000">
            <w:pPr>
              <w:spacing w:after="0" w:line="259" w:lineRule="auto"/>
              <w:ind w:firstLine="0"/>
              <w:jc w:val="left"/>
            </w:pPr>
            <w:r>
              <w:rPr>
                <w:sz w:val="17"/>
              </w:rPr>
              <w:t xml:space="preserve">Settled herdsmen </w:t>
            </w:r>
          </w:p>
        </w:tc>
        <w:tc>
          <w:tcPr>
            <w:tcW w:w="1344" w:type="dxa"/>
            <w:tcBorders>
              <w:top w:val="nil"/>
              <w:left w:val="nil"/>
              <w:bottom w:val="nil"/>
              <w:right w:val="nil"/>
            </w:tcBorders>
            <w:vAlign w:val="bottom"/>
          </w:tcPr>
          <w:p w14:paraId="641EA131" w14:textId="77777777" w:rsidR="00CF0E74" w:rsidRDefault="00000000">
            <w:pPr>
              <w:spacing w:after="0" w:line="259" w:lineRule="auto"/>
              <w:ind w:left="507" w:firstLine="0"/>
              <w:jc w:val="left"/>
            </w:pPr>
            <w:r>
              <w:rPr>
                <w:sz w:val="17"/>
              </w:rPr>
              <w:t>11</w:t>
            </w:r>
          </w:p>
        </w:tc>
        <w:tc>
          <w:tcPr>
            <w:tcW w:w="1567" w:type="dxa"/>
            <w:tcBorders>
              <w:top w:val="nil"/>
              <w:left w:val="nil"/>
              <w:bottom w:val="nil"/>
              <w:right w:val="nil"/>
            </w:tcBorders>
            <w:vAlign w:val="bottom"/>
          </w:tcPr>
          <w:p w14:paraId="061AAFFE" w14:textId="77777777" w:rsidR="00CF0E74" w:rsidRDefault="00000000">
            <w:pPr>
              <w:spacing w:after="0" w:line="259" w:lineRule="auto"/>
              <w:ind w:firstLine="0"/>
              <w:jc w:val="left"/>
            </w:pPr>
            <w:r>
              <w:rPr>
                <w:sz w:val="17"/>
              </w:rPr>
              <w:t>Snowball*</w:t>
            </w:r>
          </w:p>
        </w:tc>
      </w:tr>
      <w:tr w:rsidR="00CF0E74" w14:paraId="04FCD90C" w14:textId="77777777">
        <w:trPr>
          <w:trHeight w:val="283"/>
        </w:trPr>
        <w:tc>
          <w:tcPr>
            <w:tcW w:w="840" w:type="dxa"/>
            <w:tcBorders>
              <w:top w:val="nil"/>
              <w:left w:val="nil"/>
              <w:bottom w:val="nil"/>
              <w:right w:val="nil"/>
            </w:tcBorders>
          </w:tcPr>
          <w:p w14:paraId="150631AD" w14:textId="77777777" w:rsidR="00CF0E74" w:rsidRDefault="00CF0E74">
            <w:pPr>
              <w:spacing w:after="160" w:line="259" w:lineRule="auto"/>
              <w:ind w:firstLine="0"/>
              <w:jc w:val="left"/>
            </w:pPr>
          </w:p>
        </w:tc>
        <w:tc>
          <w:tcPr>
            <w:tcW w:w="2730" w:type="dxa"/>
            <w:tcBorders>
              <w:top w:val="nil"/>
              <w:left w:val="nil"/>
              <w:bottom w:val="nil"/>
              <w:right w:val="nil"/>
            </w:tcBorders>
          </w:tcPr>
          <w:p w14:paraId="29AC6874" w14:textId="77777777" w:rsidR="00CF0E74" w:rsidRDefault="00000000">
            <w:pPr>
              <w:spacing w:after="0" w:line="259" w:lineRule="auto"/>
              <w:ind w:firstLine="0"/>
              <w:jc w:val="left"/>
            </w:pPr>
            <w:r>
              <w:rPr>
                <w:sz w:val="17"/>
              </w:rPr>
              <w:t>Nomadic herdsmen</w:t>
            </w:r>
          </w:p>
        </w:tc>
        <w:tc>
          <w:tcPr>
            <w:tcW w:w="1344" w:type="dxa"/>
            <w:tcBorders>
              <w:top w:val="nil"/>
              <w:left w:val="nil"/>
              <w:bottom w:val="nil"/>
              <w:right w:val="nil"/>
            </w:tcBorders>
          </w:tcPr>
          <w:p w14:paraId="5630033B" w14:textId="77777777" w:rsidR="00CF0E74" w:rsidRDefault="00000000">
            <w:pPr>
              <w:spacing w:after="0" w:line="259" w:lineRule="auto"/>
              <w:ind w:right="45" w:firstLine="0"/>
              <w:jc w:val="center"/>
            </w:pPr>
            <w:r>
              <w:rPr>
                <w:sz w:val="17"/>
              </w:rPr>
              <w:t>6</w:t>
            </w:r>
          </w:p>
        </w:tc>
        <w:tc>
          <w:tcPr>
            <w:tcW w:w="1567" w:type="dxa"/>
            <w:tcBorders>
              <w:top w:val="nil"/>
              <w:left w:val="nil"/>
              <w:bottom w:val="nil"/>
              <w:right w:val="nil"/>
            </w:tcBorders>
          </w:tcPr>
          <w:p w14:paraId="0AF8C727" w14:textId="77777777" w:rsidR="00CF0E74" w:rsidRDefault="00000000">
            <w:pPr>
              <w:spacing w:after="0" w:line="259" w:lineRule="auto"/>
              <w:ind w:firstLine="0"/>
              <w:jc w:val="left"/>
            </w:pPr>
            <w:r>
              <w:rPr>
                <w:sz w:val="17"/>
              </w:rPr>
              <w:t>Snowball</w:t>
            </w:r>
          </w:p>
        </w:tc>
      </w:tr>
      <w:tr w:rsidR="00CF0E74" w14:paraId="6D449EA7" w14:textId="77777777">
        <w:trPr>
          <w:trHeight w:val="283"/>
        </w:trPr>
        <w:tc>
          <w:tcPr>
            <w:tcW w:w="840" w:type="dxa"/>
            <w:tcBorders>
              <w:top w:val="nil"/>
              <w:left w:val="nil"/>
              <w:bottom w:val="nil"/>
              <w:right w:val="nil"/>
            </w:tcBorders>
          </w:tcPr>
          <w:p w14:paraId="731F4579" w14:textId="77777777" w:rsidR="00CF0E74" w:rsidRDefault="00CF0E74">
            <w:pPr>
              <w:spacing w:after="160" w:line="259" w:lineRule="auto"/>
              <w:ind w:firstLine="0"/>
              <w:jc w:val="left"/>
            </w:pPr>
          </w:p>
        </w:tc>
        <w:tc>
          <w:tcPr>
            <w:tcW w:w="2730" w:type="dxa"/>
            <w:tcBorders>
              <w:top w:val="nil"/>
              <w:left w:val="nil"/>
              <w:bottom w:val="nil"/>
              <w:right w:val="nil"/>
            </w:tcBorders>
          </w:tcPr>
          <w:p w14:paraId="11B921EE" w14:textId="77777777" w:rsidR="00CF0E74" w:rsidRDefault="00000000">
            <w:pPr>
              <w:spacing w:after="0" w:line="259" w:lineRule="auto"/>
              <w:ind w:firstLine="0"/>
              <w:jc w:val="left"/>
            </w:pPr>
            <w:r>
              <w:rPr>
                <w:sz w:val="17"/>
              </w:rPr>
              <w:t>Transhumance herdsmen</w:t>
            </w:r>
          </w:p>
        </w:tc>
        <w:tc>
          <w:tcPr>
            <w:tcW w:w="1344" w:type="dxa"/>
            <w:tcBorders>
              <w:top w:val="nil"/>
              <w:left w:val="nil"/>
              <w:bottom w:val="nil"/>
              <w:right w:val="nil"/>
            </w:tcBorders>
          </w:tcPr>
          <w:p w14:paraId="06575B64" w14:textId="77777777" w:rsidR="00CF0E74" w:rsidRDefault="00000000">
            <w:pPr>
              <w:spacing w:after="0" w:line="259" w:lineRule="auto"/>
              <w:ind w:right="45" w:firstLine="0"/>
              <w:jc w:val="center"/>
            </w:pPr>
            <w:r>
              <w:rPr>
                <w:sz w:val="17"/>
              </w:rPr>
              <w:t>3</w:t>
            </w:r>
          </w:p>
        </w:tc>
        <w:tc>
          <w:tcPr>
            <w:tcW w:w="1567" w:type="dxa"/>
            <w:tcBorders>
              <w:top w:val="nil"/>
              <w:left w:val="nil"/>
              <w:bottom w:val="nil"/>
              <w:right w:val="nil"/>
            </w:tcBorders>
          </w:tcPr>
          <w:p w14:paraId="6059BA15" w14:textId="77777777" w:rsidR="00CF0E74" w:rsidRDefault="00000000">
            <w:pPr>
              <w:spacing w:after="0" w:line="259" w:lineRule="auto"/>
              <w:ind w:firstLine="0"/>
              <w:jc w:val="left"/>
            </w:pPr>
            <w:r>
              <w:rPr>
                <w:sz w:val="17"/>
              </w:rPr>
              <w:t>Snowball</w:t>
            </w:r>
          </w:p>
        </w:tc>
      </w:tr>
      <w:tr w:rsidR="00CF0E74" w14:paraId="50E5923E" w14:textId="77777777">
        <w:trPr>
          <w:trHeight w:val="566"/>
        </w:trPr>
        <w:tc>
          <w:tcPr>
            <w:tcW w:w="840" w:type="dxa"/>
            <w:tcBorders>
              <w:top w:val="nil"/>
              <w:left w:val="nil"/>
              <w:bottom w:val="nil"/>
              <w:right w:val="nil"/>
            </w:tcBorders>
          </w:tcPr>
          <w:p w14:paraId="7C876380" w14:textId="77777777" w:rsidR="00CF0E74" w:rsidRDefault="00000000">
            <w:pPr>
              <w:spacing w:after="0" w:line="259" w:lineRule="auto"/>
              <w:ind w:left="35" w:firstLine="0"/>
              <w:jc w:val="center"/>
            </w:pPr>
            <w:r>
              <w:rPr>
                <w:sz w:val="17"/>
              </w:rPr>
              <w:t>5</w:t>
            </w:r>
          </w:p>
        </w:tc>
        <w:tc>
          <w:tcPr>
            <w:tcW w:w="2730" w:type="dxa"/>
            <w:tcBorders>
              <w:top w:val="nil"/>
              <w:left w:val="nil"/>
              <w:bottom w:val="nil"/>
              <w:right w:val="nil"/>
            </w:tcBorders>
          </w:tcPr>
          <w:p w14:paraId="710128D9" w14:textId="77777777" w:rsidR="00CF0E74" w:rsidRDefault="00000000">
            <w:pPr>
              <w:spacing w:after="75" w:line="259" w:lineRule="auto"/>
              <w:ind w:firstLine="0"/>
              <w:jc w:val="left"/>
            </w:pPr>
            <w:r>
              <w:rPr>
                <w:i/>
                <w:sz w:val="17"/>
              </w:rPr>
              <w:t xml:space="preserve">Government </w:t>
            </w:r>
          </w:p>
          <w:p w14:paraId="5488F6B4" w14:textId="77777777" w:rsidR="00CF0E74" w:rsidRDefault="00000000">
            <w:pPr>
              <w:spacing w:after="0" w:line="259" w:lineRule="auto"/>
              <w:ind w:firstLine="0"/>
              <w:jc w:val="left"/>
            </w:pPr>
            <w:r>
              <w:rPr>
                <w:sz w:val="17"/>
              </w:rPr>
              <w:t>Cattle ranch staff</w:t>
            </w:r>
          </w:p>
        </w:tc>
        <w:tc>
          <w:tcPr>
            <w:tcW w:w="1344" w:type="dxa"/>
            <w:tcBorders>
              <w:top w:val="nil"/>
              <w:left w:val="nil"/>
              <w:bottom w:val="nil"/>
              <w:right w:val="nil"/>
            </w:tcBorders>
            <w:vAlign w:val="bottom"/>
          </w:tcPr>
          <w:p w14:paraId="256D4A8F" w14:textId="77777777" w:rsidR="00CF0E74" w:rsidRDefault="00000000">
            <w:pPr>
              <w:spacing w:after="0" w:line="259" w:lineRule="auto"/>
              <w:ind w:right="45" w:firstLine="0"/>
              <w:jc w:val="center"/>
            </w:pPr>
            <w:r>
              <w:rPr>
                <w:sz w:val="17"/>
              </w:rPr>
              <w:t>1</w:t>
            </w:r>
          </w:p>
        </w:tc>
        <w:tc>
          <w:tcPr>
            <w:tcW w:w="1567" w:type="dxa"/>
            <w:tcBorders>
              <w:top w:val="nil"/>
              <w:left w:val="nil"/>
              <w:bottom w:val="nil"/>
              <w:right w:val="nil"/>
            </w:tcBorders>
            <w:vAlign w:val="bottom"/>
          </w:tcPr>
          <w:p w14:paraId="6CD20A64" w14:textId="77777777" w:rsidR="00CF0E74" w:rsidRDefault="00000000">
            <w:pPr>
              <w:spacing w:after="0" w:line="259" w:lineRule="auto"/>
              <w:ind w:firstLine="0"/>
              <w:jc w:val="left"/>
            </w:pPr>
            <w:r>
              <w:rPr>
                <w:sz w:val="17"/>
              </w:rPr>
              <w:t>Purposive</w:t>
            </w:r>
          </w:p>
        </w:tc>
      </w:tr>
      <w:tr w:rsidR="00CF0E74" w14:paraId="4FE9939F" w14:textId="77777777">
        <w:trPr>
          <w:trHeight w:val="283"/>
        </w:trPr>
        <w:tc>
          <w:tcPr>
            <w:tcW w:w="840" w:type="dxa"/>
            <w:tcBorders>
              <w:top w:val="nil"/>
              <w:left w:val="nil"/>
              <w:bottom w:val="nil"/>
              <w:right w:val="nil"/>
            </w:tcBorders>
          </w:tcPr>
          <w:p w14:paraId="12282E5E" w14:textId="77777777" w:rsidR="00CF0E74" w:rsidRDefault="00CF0E74">
            <w:pPr>
              <w:spacing w:after="160" w:line="259" w:lineRule="auto"/>
              <w:ind w:firstLine="0"/>
              <w:jc w:val="left"/>
            </w:pPr>
          </w:p>
        </w:tc>
        <w:tc>
          <w:tcPr>
            <w:tcW w:w="2730" w:type="dxa"/>
            <w:tcBorders>
              <w:top w:val="nil"/>
              <w:left w:val="nil"/>
              <w:bottom w:val="nil"/>
              <w:right w:val="nil"/>
            </w:tcBorders>
          </w:tcPr>
          <w:p w14:paraId="2A877775" w14:textId="77777777" w:rsidR="00CF0E74" w:rsidRDefault="00000000">
            <w:pPr>
              <w:spacing w:after="0" w:line="259" w:lineRule="auto"/>
              <w:ind w:firstLine="0"/>
              <w:jc w:val="left"/>
            </w:pPr>
            <w:r>
              <w:rPr>
                <w:sz w:val="17"/>
              </w:rPr>
              <w:t>District assembly</w:t>
            </w:r>
          </w:p>
        </w:tc>
        <w:tc>
          <w:tcPr>
            <w:tcW w:w="1344" w:type="dxa"/>
            <w:tcBorders>
              <w:top w:val="nil"/>
              <w:left w:val="nil"/>
              <w:bottom w:val="nil"/>
              <w:right w:val="nil"/>
            </w:tcBorders>
          </w:tcPr>
          <w:p w14:paraId="29FE9CE5" w14:textId="77777777" w:rsidR="00CF0E74" w:rsidRDefault="00000000">
            <w:pPr>
              <w:spacing w:after="0" w:line="259" w:lineRule="auto"/>
              <w:ind w:right="45" w:firstLine="0"/>
              <w:jc w:val="center"/>
            </w:pPr>
            <w:r>
              <w:rPr>
                <w:sz w:val="17"/>
              </w:rPr>
              <w:t>5</w:t>
            </w:r>
          </w:p>
        </w:tc>
        <w:tc>
          <w:tcPr>
            <w:tcW w:w="1567" w:type="dxa"/>
            <w:tcBorders>
              <w:top w:val="nil"/>
              <w:left w:val="nil"/>
              <w:bottom w:val="nil"/>
              <w:right w:val="nil"/>
            </w:tcBorders>
          </w:tcPr>
          <w:p w14:paraId="27D5CB6B" w14:textId="77777777" w:rsidR="00CF0E74" w:rsidRDefault="00000000">
            <w:pPr>
              <w:spacing w:after="0" w:line="259" w:lineRule="auto"/>
              <w:ind w:firstLine="0"/>
              <w:jc w:val="left"/>
            </w:pPr>
            <w:r>
              <w:rPr>
                <w:sz w:val="17"/>
              </w:rPr>
              <w:t>Purposive</w:t>
            </w:r>
          </w:p>
        </w:tc>
      </w:tr>
      <w:tr w:rsidR="00CF0E74" w14:paraId="60033016" w14:textId="77777777">
        <w:trPr>
          <w:trHeight w:val="283"/>
        </w:trPr>
        <w:tc>
          <w:tcPr>
            <w:tcW w:w="840" w:type="dxa"/>
            <w:tcBorders>
              <w:top w:val="nil"/>
              <w:left w:val="nil"/>
              <w:bottom w:val="nil"/>
              <w:right w:val="nil"/>
            </w:tcBorders>
          </w:tcPr>
          <w:p w14:paraId="4ED12D1A" w14:textId="77777777" w:rsidR="00CF0E74" w:rsidRDefault="00CF0E74">
            <w:pPr>
              <w:spacing w:after="160" w:line="259" w:lineRule="auto"/>
              <w:ind w:firstLine="0"/>
              <w:jc w:val="left"/>
            </w:pPr>
          </w:p>
        </w:tc>
        <w:tc>
          <w:tcPr>
            <w:tcW w:w="2730" w:type="dxa"/>
            <w:tcBorders>
              <w:top w:val="nil"/>
              <w:left w:val="nil"/>
              <w:bottom w:val="nil"/>
              <w:right w:val="nil"/>
            </w:tcBorders>
          </w:tcPr>
          <w:p w14:paraId="49BC1F54" w14:textId="77777777" w:rsidR="00CF0E74" w:rsidRDefault="00000000">
            <w:pPr>
              <w:spacing w:after="0" w:line="259" w:lineRule="auto"/>
              <w:ind w:firstLine="0"/>
              <w:jc w:val="left"/>
            </w:pPr>
            <w:r>
              <w:rPr>
                <w:sz w:val="17"/>
              </w:rPr>
              <w:t>Police service</w:t>
            </w:r>
          </w:p>
        </w:tc>
        <w:tc>
          <w:tcPr>
            <w:tcW w:w="1344" w:type="dxa"/>
            <w:tcBorders>
              <w:top w:val="nil"/>
              <w:left w:val="nil"/>
              <w:bottom w:val="nil"/>
              <w:right w:val="nil"/>
            </w:tcBorders>
          </w:tcPr>
          <w:p w14:paraId="510AAE09" w14:textId="77777777" w:rsidR="00CF0E74" w:rsidRDefault="00000000">
            <w:pPr>
              <w:spacing w:after="0" w:line="259" w:lineRule="auto"/>
              <w:ind w:right="45" w:firstLine="0"/>
              <w:jc w:val="center"/>
            </w:pPr>
            <w:r>
              <w:rPr>
                <w:sz w:val="17"/>
              </w:rPr>
              <w:t>1</w:t>
            </w:r>
          </w:p>
        </w:tc>
        <w:tc>
          <w:tcPr>
            <w:tcW w:w="1567" w:type="dxa"/>
            <w:tcBorders>
              <w:top w:val="nil"/>
              <w:left w:val="nil"/>
              <w:bottom w:val="nil"/>
              <w:right w:val="nil"/>
            </w:tcBorders>
          </w:tcPr>
          <w:p w14:paraId="21C364EA" w14:textId="77777777" w:rsidR="00CF0E74" w:rsidRDefault="00000000">
            <w:pPr>
              <w:spacing w:after="0" w:line="259" w:lineRule="auto"/>
              <w:ind w:firstLine="0"/>
              <w:jc w:val="left"/>
            </w:pPr>
            <w:r>
              <w:rPr>
                <w:sz w:val="17"/>
              </w:rPr>
              <w:t>Purposive</w:t>
            </w:r>
          </w:p>
        </w:tc>
      </w:tr>
      <w:tr w:rsidR="00CF0E74" w14:paraId="0AF99D03" w14:textId="77777777">
        <w:trPr>
          <w:trHeight w:val="553"/>
        </w:trPr>
        <w:tc>
          <w:tcPr>
            <w:tcW w:w="840" w:type="dxa"/>
            <w:tcBorders>
              <w:top w:val="nil"/>
              <w:left w:val="nil"/>
              <w:bottom w:val="single" w:sz="4" w:space="0" w:color="181717"/>
              <w:right w:val="nil"/>
            </w:tcBorders>
          </w:tcPr>
          <w:p w14:paraId="755895FA" w14:textId="77777777" w:rsidR="00CF0E74" w:rsidRDefault="00000000">
            <w:pPr>
              <w:spacing w:after="0" w:line="259" w:lineRule="auto"/>
              <w:ind w:left="35" w:firstLine="0"/>
              <w:jc w:val="center"/>
            </w:pPr>
            <w:r>
              <w:rPr>
                <w:sz w:val="17"/>
              </w:rPr>
              <w:t>6</w:t>
            </w:r>
          </w:p>
        </w:tc>
        <w:tc>
          <w:tcPr>
            <w:tcW w:w="2730" w:type="dxa"/>
            <w:tcBorders>
              <w:top w:val="nil"/>
              <w:left w:val="nil"/>
              <w:bottom w:val="single" w:sz="4" w:space="0" w:color="181717"/>
              <w:right w:val="nil"/>
            </w:tcBorders>
          </w:tcPr>
          <w:p w14:paraId="627E9DCA" w14:textId="77777777" w:rsidR="00CF0E74" w:rsidRDefault="00000000">
            <w:pPr>
              <w:spacing w:after="75" w:line="259" w:lineRule="auto"/>
              <w:ind w:firstLine="0"/>
              <w:jc w:val="left"/>
            </w:pPr>
            <w:r>
              <w:rPr>
                <w:i/>
                <w:sz w:val="17"/>
              </w:rPr>
              <w:t>Other key informants</w:t>
            </w:r>
          </w:p>
          <w:p w14:paraId="2E7845E5" w14:textId="77777777" w:rsidR="00CF0E74" w:rsidRDefault="00000000">
            <w:pPr>
              <w:spacing w:after="0" w:line="259" w:lineRule="auto"/>
              <w:ind w:firstLine="0"/>
              <w:jc w:val="left"/>
            </w:pPr>
            <w:r>
              <w:rPr>
                <w:sz w:val="17"/>
              </w:rPr>
              <w:t>Village chief, Zongo chief, farmers</w:t>
            </w:r>
          </w:p>
        </w:tc>
        <w:tc>
          <w:tcPr>
            <w:tcW w:w="1344" w:type="dxa"/>
            <w:tcBorders>
              <w:top w:val="nil"/>
              <w:left w:val="nil"/>
              <w:bottom w:val="single" w:sz="4" w:space="0" w:color="181717"/>
              <w:right w:val="nil"/>
            </w:tcBorders>
            <w:vAlign w:val="bottom"/>
          </w:tcPr>
          <w:p w14:paraId="571E312A" w14:textId="77777777" w:rsidR="00CF0E74" w:rsidRDefault="00000000">
            <w:pPr>
              <w:spacing w:after="0" w:line="259" w:lineRule="auto"/>
              <w:ind w:right="45" w:firstLine="0"/>
              <w:jc w:val="center"/>
            </w:pPr>
            <w:r>
              <w:rPr>
                <w:sz w:val="17"/>
              </w:rPr>
              <w:t>7</w:t>
            </w:r>
          </w:p>
        </w:tc>
        <w:tc>
          <w:tcPr>
            <w:tcW w:w="1567" w:type="dxa"/>
            <w:tcBorders>
              <w:top w:val="nil"/>
              <w:left w:val="nil"/>
              <w:bottom w:val="single" w:sz="4" w:space="0" w:color="181717"/>
              <w:right w:val="nil"/>
            </w:tcBorders>
            <w:vAlign w:val="bottom"/>
          </w:tcPr>
          <w:p w14:paraId="3C510355" w14:textId="77777777" w:rsidR="00CF0E74" w:rsidRDefault="00000000">
            <w:pPr>
              <w:spacing w:after="0" w:line="259" w:lineRule="auto"/>
              <w:ind w:firstLine="0"/>
              <w:jc w:val="left"/>
            </w:pPr>
            <w:r>
              <w:rPr>
                <w:sz w:val="17"/>
              </w:rPr>
              <w:t>Purposive</w:t>
            </w:r>
          </w:p>
        </w:tc>
      </w:tr>
    </w:tbl>
    <w:p w14:paraId="25093A5B" w14:textId="77777777" w:rsidR="00CF0E74" w:rsidRDefault="00000000">
      <w:pPr>
        <w:spacing w:after="23" w:line="259" w:lineRule="auto"/>
        <w:ind w:left="-5" w:hanging="10"/>
        <w:jc w:val="left"/>
      </w:pPr>
      <w:r>
        <w:rPr>
          <w:i/>
          <w:sz w:val="17"/>
        </w:rPr>
        <w:t>Source</w:t>
      </w:r>
      <w:r>
        <w:rPr>
          <w:sz w:val="17"/>
        </w:rPr>
        <w:t xml:space="preserve">: Collated by the authors. </w:t>
      </w:r>
    </w:p>
    <w:p w14:paraId="6E108CB9" w14:textId="77777777" w:rsidR="00CF0E74" w:rsidRDefault="00000000">
      <w:pPr>
        <w:spacing w:after="23" w:line="259" w:lineRule="auto"/>
        <w:ind w:left="-5" w:hanging="10"/>
        <w:jc w:val="left"/>
      </w:pPr>
      <w:r>
        <w:rPr>
          <w:i/>
          <w:sz w:val="17"/>
        </w:rPr>
        <w:t>Note</w:t>
      </w:r>
      <w:r>
        <w:rPr>
          <w:sz w:val="17"/>
        </w:rPr>
        <w:t xml:space="preserve">: *We relied on social networks existing among pastoralists to gain access to them. The herdsmen who were first approached connected us to other herders in their network. </w:t>
      </w:r>
    </w:p>
    <w:p w14:paraId="0BF382FB" w14:textId="440A68A1" w:rsidR="00CF0E74" w:rsidRDefault="00000000">
      <w:pPr>
        <w:ind w:left="-15" w:right="-14" w:firstLine="0"/>
      </w:pPr>
      <w:r>
        <w:t xml:space="preserve">Studies, Tamale; and University of Cape Coast. The NGOs – Changing Lives in Innovative Partnerships (CLIP) and Rescue Mission International – engage in community empowerment and climate-resilient strategies of which pastoralist work is a main thematic focus. ‘Pastoralist’ generally refers to a cattle and other </w:t>
      </w:r>
      <w:r>
        <w:lastRenderedPageBreak/>
        <w:t xml:space="preserve">livestock farmer, but in this </w:t>
      </w:r>
      <w:proofErr w:type="gramStart"/>
      <w:r>
        <w:t>chapter</w:t>
      </w:r>
      <w:proofErr w:type="gramEnd"/>
      <w:r>
        <w:t xml:space="preserve"> it specifically denotes a cattle farmer. ‘Herdsman’ and ‘herder’ are used interchangeably to mean a person looking after a cattle herd. Pastoralism literature identifies three distinct categories of herders in Ghana: settled, nomadic, and transhumance.</w:t>
      </w:r>
      <w:r w:rsidR="00AC7C26">
        <w:rPr>
          <w:rStyle w:val="EndnoteReference"/>
        </w:rPr>
        <w:endnoteReference w:id="13"/>
      </w:r>
      <w:r>
        <w:t xml:space="preserve"> The settled herders live among the indigenous agricultural population while the nomadic herders live in mobile camps located in isolated bush areas. The transhumance herders are also nomadic but engage in regular and seasonal movement.</w:t>
      </w:r>
      <w:r w:rsidR="00AC7C26">
        <w:rPr>
          <w:rStyle w:val="EndnoteReference"/>
        </w:rPr>
        <w:endnoteReference w:id="14"/>
      </w:r>
      <w:r>
        <w:t xml:space="preserve"> Efforts were made to obtain settled, nomadic, and transhumance respondents when sampling the herdsmen. The sampled herdsmen raised cattle in Agogo in the Asante Akim North district and in Sekyere Afram Plains (Ashanti Region) and Kwahu Afram Plains (Eastern Region). We relied on social networks and pastoralist relations, including ethnic and religious leaders, to gain permission and access to herdsmen and cattle owners. Data collection occurred over five months between 2022 and 2023 in English and the Twi language (a common dialect in Ghana) using interview guides. The interview guides collected data by asking questions such as follows: What is the nature of challenges associated with pastoralism research and data access? What arrangements and practices do you employ to obtain access to pastoralist data and why? How does the cultivation of relations and social networks enable access to pastoralist data? What opportunities exist for pastoralist data access? The empirical work was complemented with desk-based research, including a review of policy and legal documents. </w:t>
      </w:r>
    </w:p>
    <w:p w14:paraId="17F48EB5" w14:textId="77777777" w:rsidR="00CF0E74" w:rsidRDefault="00000000">
      <w:pPr>
        <w:ind w:left="-15" w:right="-14"/>
      </w:pPr>
      <w:r>
        <w:t xml:space="preserve">Responses obtained from all categories of respondents were analysed together following content analysis. When analysing responses to ‘how’ and ‘why’ questions, it located the reasoning underlying respondents’ replies. When asked the question ‘How (by what means) do you gain access to transhumant herders for data collection, and why do you employ particular approach(es)?’ the underlying reasons given to support the preferred approach(s) were sought from the responses to the </w:t>
      </w:r>
      <w:proofErr w:type="gramStart"/>
      <w:r>
        <w:t>aforementioned questions</w:t>
      </w:r>
      <w:proofErr w:type="gramEnd"/>
      <w:r>
        <w:t xml:space="preserve">. A list of underlying reason(s) was generated for each respondent after systematically reading the answers of all the respondents. The next stage of the analysis looked for common patterns in the underlying reasons provided by respondents and clustered them according to common reasons such as social relations of friendship. The findings have been presented in themes and relevant quotes have been used to support explanations. </w:t>
      </w:r>
    </w:p>
    <w:p w14:paraId="1C138016" w14:textId="77777777" w:rsidR="00CF0E74" w:rsidRDefault="00000000">
      <w:pPr>
        <w:pStyle w:val="Heading1"/>
        <w:ind w:left="-5"/>
      </w:pPr>
      <w:r>
        <w:t xml:space="preserve">Results </w:t>
      </w:r>
    </w:p>
    <w:p w14:paraId="332586AA" w14:textId="77777777" w:rsidR="00CF0E74" w:rsidRDefault="00000000">
      <w:pPr>
        <w:spacing w:after="299"/>
        <w:ind w:left="-15" w:right="-14" w:firstLine="0"/>
      </w:pPr>
      <w:r>
        <w:t>We present findings for the study structured under four themes: (</w:t>
      </w:r>
      <w:r>
        <w:rPr>
          <w:i/>
        </w:rPr>
        <w:t>a</w:t>
      </w:r>
      <w:r>
        <w:t>) pastoralists’ environment, (</w:t>
      </w:r>
      <w:r>
        <w:rPr>
          <w:i/>
        </w:rPr>
        <w:t>b</w:t>
      </w:r>
      <w:r>
        <w:t>) challenges associated with pastoralists’ data access,</w:t>
      </w:r>
      <w:r>
        <w:rPr>
          <w:b/>
        </w:rPr>
        <w:t xml:space="preserve"> </w:t>
      </w:r>
      <w:r>
        <w:t>(</w:t>
      </w:r>
      <w:r>
        <w:rPr>
          <w:i/>
        </w:rPr>
        <w:t>c</w:t>
      </w:r>
      <w:r>
        <w:t>) strategies enabling access to pastoralists’ data, and (</w:t>
      </w:r>
      <w:r>
        <w:rPr>
          <w:i/>
        </w:rPr>
        <w:t>d</w:t>
      </w:r>
      <w:r>
        <w:t>) opportunities to access pastoralists’ data.</w:t>
      </w:r>
      <w:r>
        <w:rPr>
          <w:b/>
        </w:rPr>
        <w:t xml:space="preserve"> </w:t>
      </w:r>
    </w:p>
    <w:p w14:paraId="41ABE3DA" w14:textId="77777777" w:rsidR="00CF0E74" w:rsidRDefault="00000000">
      <w:pPr>
        <w:pStyle w:val="Heading2"/>
        <w:ind w:left="-5"/>
      </w:pPr>
      <w:r>
        <w:lastRenderedPageBreak/>
        <w:t>Pastoralists’ Environment</w:t>
      </w:r>
    </w:p>
    <w:p w14:paraId="7A50EF98" w14:textId="77777777" w:rsidR="00CF0E74" w:rsidRDefault="00000000">
      <w:pPr>
        <w:ind w:left="-15" w:right="-14" w:firstLine="0"/>
      </w:pPr>
      <w:r>
        <w:t xml:space="preserve">The pastoralists engaged in the study narrated their work environment to constitute a dynamic and extreme terrain. Generally, the settled herders live among local farming communities and send cattle to grazeable areas on fallow lands and in village </w:t>
      </w:r>
      <w:proofErr w:type="gramStart"/>
      <w:r>
        <w:t>surroundings, but</w:t>
      </w:r>
      <w:proofErr w:type="gramEnd"/>
      <w:r>
        <w:t xml:space="preserve"> return to villages after feeding the animals. The transhumance and nomadic herders live in camps in distant places in the bush. Nomadic herders are in touch with farming communities, have social exchanges through selling of cow milk and meat with villages, and are more likely to settle in local communities. One transhumance herder explained the rationale for spending the most time in the bush to be that ‘the cattle eat a lot, and they need to walk often to avoid contamination and spread of diseases and pests. We will not get adequate feed for our animals if we stay in one place; but in the forest, the animals can feed for a long time’ (Herdsman 5, 10 January 2023). A cattle owner added that ‘the cattle need much land and forage and water; places with much of those are good for the livestock, but areas with more trees are not good’ (Cattle Owner 1, 10 December 2022). </w:t>
      </w:r>
    </w:p>
    <w:p w14:paraId="0E048C6A" w14:textId="77777777" w:rsidR="00CF0E74" w:rsidRDefault="00000000">
      <w:pPr>
        <w:spacing w:after="298"/>
        <w:ind w:left="-15" w:right="-14"/>
      </w:pPr>
      <w:r>
        <w:t xml:space="preserve">Yet life in the bush is fraught with several challenges, ranging from extreme weather conditions (scorching sun and excessive rainfall) to security and health issues. It was narrated that ‘in the bush, the rain falls on me several times when I am out to feed the cattle, and I confront wild animals on regular occasions’ (Herdsman 5, 10 January 2023). Most herdsmen in the study share the experience of losing cattle to wild animals, and several others have experienced robbery attacks in the bush. Herders explained that the possibilities of being confronted with dangerous wild animals as they move in the forest encourage them to move along with sophisticated weapons such as guns. Those who keep no weapons move in groups, usually with family members. A herder observed, ‘We sometimes get lost in the bush, but when we roam for a long time, we can locate where we are’ (Herdsman 1, 5 February 2023). More recently, struggles over access to land have emerged to blur pastoralist–farmer relations. In the past, farmers and herders peacefully coexisted because land was readily available to accommodate small herder populations. Farmers and herders lived apart from each other, so there was minimal interaction between them. Currently, land is largely competed for due to the need for new lands for farming and the rising herd population which demands large pasture lands. A herdsman revealed that ‘now we see farms everywhere even in places where there were no farms … the farms have now increased in sizes’ (Herdsman 8, 4 February 2023). Herdsmen attribute land struggles to its commodification in rural communities. </w:t>
      </w:r>
    </w:p>
    <w:p w14:paraId="5F8B6B17" w14:textId="77777777" w:rsidR="00CF0E74" w:rsidRDefault="00000000">
      <w:pPr>
        <w:pStyle w:val="Heading2"/>
        <w:ind w:left="-5"/>
      </w:pPr>
      <w:r>
        <w:lastRenderedPageBreak/>
        <w:t>Challenges Associated with Pastoralists’ Data Access</w:t>
      </w:r>
    </w:p>
    <w:p w14:paraId="02982E1F" w14:textId="77777777" w:rsidR="00CF0E74" w:rsidRDefault="00000000">
      <w:pPr>
        <w:ind w:left="-15" w:right="-14" w:firstLine="0"/>
      </w:pPr>
      <w:r>
        <w:t>This section outlines challenges constraining access to reliable pastoralist-related data. Pastoralists’ data access is challenged by inaccessible locations; health and security concerns; language barrier; non-participatory and biased behaviour; and disorderly, unclean, subjective, and undocumented data.</w:t>
      </w:r>
    </w:p>
    <w:p w14:paraId="232E09CB" w14:textId="77777777" w:rsidR="00CF0E74" w:rsidRDefault="00000000">
      <w:pPr>
        <w:ind w:left="-15" w:right="-14"/>
      </w:pPr>
      <w:r>
        <w:t xml:space="preserve">The distant places where herdsmen keep cattle render their access by researchers a challenge. Being an agrarian country, </w:t>
      </w:r>
      <w:proofErr w:type="gramStart"/>
      <w:r>
        <w:t>the majority of</w:t>
      </w:r>
      <w:proofErr w:type="gramEnd"/>
      <w:r>
        <w:t xml:space="preserve"> rural Ghanaians engage in crop farming as their main livelihood activity. Relatively, few village people add cattle production as their main or alternative livelihood, though city men employ the labour of Fulani herders to look after their cattle. The nature of cattle production where regular feed is needed demands that herdsmen live near savannah areas where there is readily available feed for cattle. Most herdsmen echo that they ‘keep cattle at a distance and away from arable farmers due to the nature of the work which demands caring for cattle close to the bush so we can easily feed the cattle and prevent damage to crops’ (Herdsman 1, 16 February 2023). Transhumance and nomadic herders are normally located at places several kilometres away from villages. Accessing transhumance herders requires hours of travel, usually by motorcycles. Herdsmen hardly keep cattle at a particular location; rather, they are always on the move due to daily struggles to secure adequate feed and water for their livestock. This is the case for both nomadic herders who roam frequently on a particular terrain as well as transhumance herders who migrate on a seasonal basis. One researcher echoed that ‘living in the bushes is their [herdsmen’s] cultural trait’ (Researcher 2, 10 January 2023). </w:t>
      </w:r>
    </w:p>
    <w:p w14:paraId="383A82DF" w14:textId="77777777" w:rsidR="00CF0E74" w:rsidRDefault="00000000">
      <w:pPr>
        <w:ind w:left="-15" w:right="-14"/>
      </w:pPr>
      <w:r>
        <w:t xml:space="preserve">Lack of footpath and road networks limit possibilities in accessing herder locations in the field. Agricultural lands used for crop farming have footpaths used by farm owners. Footpaths are generally created and maintained by families and individual farmers who use them regularly. Grazing lands do not have footpaths since cattle do not move along cleared paths in the field, but herders can follow animals as they move through bushes. Herdsmen are good at adapting to movement in bushes, but non-herders tend to struggle when walking in bushy areas. Further, the environment where herders keep cattle is dry and hot, and prone to myriad physical and emotional challenges such as wildlife attacks. Such extreme environments are not favourable destinations for most non-herders and deter many researchers from contacting herders in the field. </w:t>
      </w:r>
    </w:p>
    <w:p w14:paraId="37BB727D" w14:textId="77777777" w:rsidR="00CF0E74" w:rsidRDefault="00000000">
      <w:pPr>
        <w:ind w:left="-15" w:right="-14"/>
      </w:pPr>
      <w:r>
        <w:t xml:space="preserve">Further, herdsmen do not want people to know their locations and movements in the field for security reasons. It is common for herdsmen to be silent about the places in the field where they keep their cattle and about their movement routes. They do so to maintain the safety of the cattle and of </w:t>
      </w:r>
      <w:r>
        <w:lastRenderedPageBreak/>
        <w:t xml:space="preserve">themselves since police services are not present in the secluded places where nomadic and transhumance herders normally keep their cattle. Transhumant and nomadic herders are exposed to various security risks, including human attacks due to poor identification and invasion by thieves. Some herdsmen observed that farmers put false claims on them for atrocities they have not committed: ‘In the bush, we [herdsmen] face several challenges … Sometimes we meet armed </w:t>
      </w:r>
      <w:proofErr w:type="gramStart"/>
      <w:r>
        <w:t>robbers</w:t>
      </w:r>
      <w:proofErr w:type="gramEnd"/>
      <w:r>
        <w:t xml:space="preserve"> and we have to fight back; and at times we go to some villages, and when the farmers are not able to identify particular cattle destroying their crops, they blame us’ (Herdsman 5, 10 January 2023). Generally, researchers noted that ‘sometimes herders are unable to describe their locations in the field because they find it difficult to describe the places since they do not stay in one place, but others also do not want people to know where they keep the cattle’ (Researcher 1, 20 January 2023).</w:t>
      </w:r>
    </w:p>
    <w:p w14:paraId="2D23F835" w14:textId="77777777" w:rsidR="00CF0E74" w:rsidRDefault="00000000">
      <w:pPr>
        <w:ind w:left="-15" w:right="-14"/>
      </w:pPr>
      <w:r>
        <w:t>Pastoralists’ non-participatory behaviour limits the extent to which researchers obtain data from them. Cattle herders are reluctant to speak to researchers, particularly to those who do not seek permission from their leaders, and this makes data collection a challenge. The herdsmen demand researchers and development actors to directly contact the owners of the cattle they are taking care of. Herders posit that the owners make absolute decisions on their cattle and that their leaders are also more capable of delving into conflicts since they often attend skirmish-related meetings and have access to relevant information to enable them to make well-informed contributions. Other pastoralists share the concern that lands they have legally obtained from chiefs and landowners and have occupied for centuries are often contested by individual farmers. One herder narrated, ‘My father paid for the land we feed our cattle on; he paid the big chief and there are documents on that, but you can see how farmers have approached the land’ (Herdsman 3, 10 January 2023).</w:t>
      </w:r>
    </w:p>
    <w:p w14:paraId="57F5D814" w14:textId="77777777" w:rsidR="00CF0E74" w:rsidRDefault="00000000">
      <w:pPr>
        <w:ind w:left="-15" w:right="-14"/>
      </w:pPr>
      <w:r>
        <w:t xml:space="preserve">The nomadic and transhumance herders have limited social contact with local villages, and that delays their ability to learn Ghanaian languages. </w:t>
      </w:r>
      <w:proofErr w:type="gramStart"/>
      <w:r>
        <w:t>The majority of</w:t>
      </w:r>
      <w:proofErr w:type="gramEnd"/>
      <w:r>
        <w:t xml:space="preserve"> pastoralists in Ghana, particularly herders, are of foreign origin who have migrated from the Sahel region and speak the Fulbe language and/or other Sahel languages. Some herders settle in farming villages, and others maintain nomadic status by moving across different places to feed cattle. Settled herders are better placed to socially integrate with people in the societies they live in and where they learn local languages. On the other hand, most transhumance and nomadic herders due to their movement do not easily integrate socially with local Ghanaian societies; rather, they live with their families in isolated camps. Occasionally, nomadic and transhumance herders move to cities to sell cow milk and purchase food items and then return to their original locations. </w:t>
      </w:r>
    </w:p>
    <w:p w14:paraId="0D6F5468" w14:textId="18507022" w:rsidR="00CF0E74" w:rsidRDefault="00000000">
      <w:pPr>
        <w:ind w:left="-15" w:right="-14"/>
      </w:pPr>
      <w:r>
        <w:lastRenderedPageBreak/>
        <w:t>Pastoralists’ data are subjective and skewed, and that limits the possibility of accessing it accurately. Different herder types – nomadic, transhumance, and settled – share different stories about the conflict. The field experiences revealed that the accounts of several farmers and pastoralists were mere word of mouth of family members and people living in their neighbourhoods. In instances where farmers and pastoralists were asked to relate to specific and personal stories, most of them could not since the experiences reported on related to other members of their communities. There were instances where figures quoted as the cost of damages to crops, animals, and other kinds of property were largely exaggerated. The standard of accuracy of data presented by cattle actors is dependent on the lens (objective and subjective) that actors involved in conflicts employ to view their situations. Objective accuracy is rooted in prediction and is based on domains of knowledge. There are instances where conflict actors employ objective means – for instance, through the documented conflict cases at the local government and police services offices – to predict the outcomes of conflicts. Subjective accuracy, on the other hand, is rooted in imagination and is based on intuition.</w:t>
      </w:r>
      <w:r w:rsidR="00AC7C26">
        <w:rPr>
          <w:rStyle w:val="EndnoteReference"/>
        </w:rPr>
        <w:endnoteReference w:id="15"/>
      </w:r>
      <w:r>
        <w:t xml:space="preserve"> The use of a subjective accuracy lens in imagining what is going to happen in a conflict environment dominates in the case we investigate. Perhaps it is practically impossible to separate prediction and imagination in the farmer–herder conflict; yet to achieve peak accuracy and effectiveness requires that both channels are in sync. Intelligent predictions are critical to making creative decisions since accurate observations are a prerequisite for deciding what happens next. </w:t>
      </w:r>
    </w:p>
    <w:p w14:paraId="0305C4CB" w14:textId="77777777" w:rsidR="00CF0E74" w:rsidRDefault="00000000">
      <w:pPr>
        <w:ind w:left="-15" w:right="-14"/>
      </w:pPr>
      <w:r>
        <w:t xml:space="preserve">The violent nature of the farmer–herder conflict has caused many victims to be displaced and resulted in the loss of lives and properties. The negative experiences people have cause them to attach deep emotions to conflict narrations. Conflict victims are unable to segregate their emotions from the actual experiences they share. The attachment of emotions to information transfer blurs access to objective data. </w:t>
      </w:r>
    </w:p>
    <w:p w14:paraId="0F5B5D44" w14:textId="77777777" w:rsidR="00CF0E74" w:rsidRDefault="00000000">
      <w:pPr>
        <w:spacing w:after="298"/>
        <w:ind w:left="-15" w:right="-14"/>
      </w:pPr>
      <w:r>
        <w:t xml:space="preserve">The police services and the district assemblies (local government) are the main state institutions receiving complaints about the farmer–pastoralist conflicts. Yet these actors do not have separate data sheets for such conflicts. All cases reported to the institutions are documented in a consolidated sheet, which needs to be segregated to tease out pastoralist-related cases. The difficulty in segregating data makes state institutions reluctant to provide information to researchers. The disorderly institutional database makes the segregation of conflict data from other data reported at public institutions a challenge. </w:t>
      </w:r>
    </w:p>
    <w:p w14:paraId="3F15B20D" w14:textId="77777777" w:rsidR="00CF0E74" w:rsidRDefault="00000000">
      <w:pPr>
        <w:pStyle w:val="Heading2"/>
        <w:ind w:left="-5"/>
      </w:pPr>
      <w:r>
        <w:lastRenderedPageBreak/>
        <w:t xml:space="preserve">Strategies Enabling Access to Pastoralists’ Data </w:t>
      </w:r>
    </w:p>
    <w:p w14:paraId="3E5C7DFB" w14:textId="77777777" w:rsidR="00CF0E74" w:rsidRDefault="00000000">
      <w:pPr>
        <w:ind w:left="-15" w:right="-14" w:firstLine="0"/>
      </w:pPr>
      <w:r>
        <w:t>This section outlines the strategies researchers and development actors use to enable access to pastoralists’ data. A broad set of social relations, including social identity and membership in groupings by ethnicity and religion, negotiation of social relations to authority and relations of friendship and trust, and access to geographic knowledge of pastoralists, enable access to reliable pastoralists’ data.</w:t>
      </w:r>
    </w:p>
    <w:p w14:paraId="7D59D72D" w14:textId="77777777" w:rsidR="00CF0E74" w:rsidRDefault="00000000">
      <w:pPr>
        <w:ind w:left="-15" w:right="-14"/>
      </w:pPr>
      <w:r>
        <w:t xml:space="preserve">Access to the geographic knowledge of pastoralists is critical for accessing pastoralists’ data. The location of transhumance and nomadic herders are difficult to find, but researchers rely on the snowball approach to get access to new herders. First, researchers need to know the locations of at least one or two herders. Most researchers noted that ‘a Fulani herder you know will lead you to another Fulani herder because they know themselves and the environment where they keep their livestock’ (Researcher 3, 5 February 2023). The close relations of friendship and trust serve as the first contact to new herder recruits. Usually, the focal persons who are friends with herder groups are those whom herders are comfortable relating to. </w:t>
      </w:r>
    </w:p>
    <w:p w14:paraId="7AA0E71C" w14:textId="77777777" w:rsidR="00CF0E74" w:rsidRDefault="00000000">
      <w:pPr>
        <w:ind w:left="-15" w:right="-14"/>
      </w:pPr>
      <w:r>
        <w:t xml:space="preserve">Access through social identity and membership in a group, including groupings by ethnicity and religion, shapes access to pastoralists’ data. One researcher narrated how being a Muslim he could easily get access to herders for his study. Another researcher observed that ‘when not one of their own, they do not want to talk. The herders are unable to differentiate people who visit them so one needs to inform them where they are coming from and which institution they belong to’ (Researcher 7, 15 January 2023). Several settled herders live in communities where the dominant religion is Islam and most herders residing in Muslim-dominated communities also observe the religion. Researchers with the same religious background as herders meet and pray together and share similar religious festivities. These shared religious meetings enhance social bonds, causing herders to </w:t>
      </w:r>
      <w:proofErr w:type="gramStart"/>
      <w:r>
        <w:t>open up</w:t>
      </w:r>
      <w:proofErr w:type="gramEnd"/>
      <w:r>
        <w:t xml:space="preserve"> and share information about their livelihood and culture. </w:t>
      </w:r>
    </w:p>
    <w:p w14:paraId="09CF107D" w14:textId="77777777" w:rsidR="00CF0E74" w:rsidRDefault="00000000">
      <w:pPr>
        <w:ind w:left="-15" w:right="-14"/>
      </w:pPr>
      <w:r>
        <w:t xml:space="preserve">The social relations and networks existing among herder groups, including having access to authority and relations of friendship, also shape access to data. When a herdsman settles in a particular community, he makes new friends with people in the community who can either be indigenes or persons belonging to his ethnicity; even the nomadic and transhumance herders have close friends in villages and cities. Pastoralists maintain close relations with their family heads and local leaders, even with those who are physically located in distant places. During family occasions and social and religious gatherings, most herdsmen take advantage of meeting their close relations. Researchers employ the contacts of family heads and local leaders to reach out to cattle headers. One researcher </w:t>
      </w:r>
      <w:r>
        <w:lastRenderedPageBreak/>
        <w:t xml:space="preserve">explains, ‘You seek approval from cattle owners, and you find a date and someone leads you to the bush to speak with them [herders]’ (Researcher 5, 14 February 2023). For herdsmen who are reluctant to speak, one researcher noted that ‘some were reluctant to answer because they feel researchers have been there several times to talk to them … I relied on key informants to lead me to the Fulani people’ (Researcher 6, 10 January 2023). Making clan leaders call herders to inform them of researchers’ quest to undertake studies makes herdsmen respond positively to calls for interviews. </w:t>
      </w:r>
    </w:p>
    <w:p w14:paraId="67B853DD" w14:textId="77777777" w:rsidR="00CF0E74" w:rsidRDefault="00000000">
      <w:pPr>
        <w:ind w:left="-15" w:right="-14"/>
      </w:pPr>
      <w:r>
        <w:t xml:space="preserve">Getting access to labour in the form of translators who speak and understand a herder’s native language to interpret questions and relay responses is a means people use to get access to data. Some herdsmen, particularly nomadic, speak several languages due to their movement across different societies with different ethnic backgrounds. Most herdsmen speak the Hausa language, which is spoken by </w:t>
      </w:r>
      <w:proofErr w:type="gramStart"/>
      <w:r>
        <w:t>a majority of</w:t>
      </w:r>
      <w:proofErr w:type="gramEnd"/>
      <w:r>
        <w:t xml:space="preserve"> people in the West Africa region. Researchers employ the services of local inhabitants who speak herdsmen’s language as interpreters. However, some researchers are lucky to conduct interviews in the English language; one such researcher observed, ‘in cases where I settled on people who could speak my language, I talked to them’ (Researcher 7, 15 January 2023). </w:t>
      </w:r>
    </w:p>
    <w:p w14:paraId="257637ED" w14:textId="77777777" w:rsidR="00CF0E74" w:rsidRDefault="00000000">
      <w:pPr>
        <w:ind w:left="-15" w:right="-14"/>
      </w:pPr>
      <w:r>
        <w:t xml:space="preserve">For farmers and pastoralists quoting extreme and ambiguous figures as well as providing untrue narrations, researchers employ the strategies of asking the same questions several times during interviews. They also engage in data triangulation to assess the truthfulness of information given by other actors participating in conflicts. Making farmers and pastoralists show visual evidence of conflict outcomes also validates the data provided. For example, displaced communities are asked to provide practical evidence of pre-displaced communities. Through observations and interactions with community members, researchers can infer the accuracy of the information given. Community members who claim to have sustained injuries through violent attacks are asked to show evidence of injuries to confirm that. </w:t>
      </w:r>
    </w:p>
    <w:p w14:paraId="434C557D" w14:textId="77777777" w:rsidR="00CF0E74" w:rsidRDefault="00000000">
      <w:pPr>
        <w:spacing w:after="298"/>
        <w:ind w:left="-15" w:right="-14"/>
      </w:pPr>
      <w:r>
        <w:t xml:space="preserve">There is always the tendency for victims to overstate the magnitude of the impact of conflicts and be emotional over the issues confronting them. Often, farmer–pastoralist conflicts make displaced people vulnerable as they lose resources, homes, and properties. As they are violently dispossessed of agricultural lands, communities affected by conflicts face the destruction of their cultural heritage, embodied in nature, and the conditions for economic and political dignity. This undermines possibilities for sustainable peace. To stay objective without taking sides, researchers try to be neutral by questioning the narrations of both farmers and pastoralists in equal measure. </w:t>
      </w:r>
    </w:p>
    <w:p w14:paraId="627886CE" w14:textId="77777777" w:rsidR="00CF0E74" w:rsidRDefault="00000000">
      <w:pPr>
        <w:pStyle w:val="Heading2"/>
        <w:ind w:left="-5"/>
      </w:pPr>
      <w:r>
        <w:lastRenderedPageBreak/>
        <w:t>Opportunities for Gaining Access to Pastoralist Data</w:t>
      </w:r>
    </w:p>
    <w:p w14:paraId="44D88A57" w14:textId="77777777" w:rsidR="00CF0E74" w:rsidRDefault="00000000">
      <w:pPr>
        <w:ind w:left="-15" w:right="-14" w:firstLine="0"/>
      </w:pPr>
      <w:r>
        <w:t>The study identified opportunities to aid access to pastoralists’ data, and this includes the existence of strong customary institutions and their traditional role in mediating land access: the</w:t>
      </w:r>
      <w:r>
        <w:rPr>
          <w:b/>
        </w:rPr>
        <w:t xml:space="preserve"> </w:t>
      </w:r>
      <w:r>
        <w:t xml:space="preserve">local government and police services, NGOs, and pastoralist associations. </w:t>
      </w:r>
    </w:p>
    <w:p w14:paraId="42400EF6" w14:textId="6D7AD4AF" w:rsidR="00CF0E74" w:rsidRDefault="00000000">
      <w:pPr>
        <w:ind w:left="-15" w:right="-14"/>
      </w:pPr>
      <w:r>
        <w:t>In Ghana, chieftaincy is an important cultural heritage and institution, which has strong ethnic support and provides the structures for leadership and exercise of authority. It denotes sacred and sociopolitical power conferred on chiefs and priests in many parts of Ghana.</w:t>
      </w:r>
      <w:r w:rsidR="00AC7C26">
        <w:rPr>
          <w:rStyle w:val="EndnoteReference"/>
        </w:rPr>
        <w:endnoteReference w:id="16"/>
      </w:r>
      <w:r>
        <w:t xml:space="preserve"> Before colonial rule in Ghana, the customary structure had been the local political leaders acting as chiefs governing the people and resources. In contemporary Ghana, chieftaincy has strong legal and constitutional status. The 1992 constitution of Ghana (article 270[1]) indicates that ‘the institution of chieftaincy, together with its traditional councils as established by customary law and usage, is hereby guaranteed’. The Chieftaincy Act, 2008 (Act 759), sets the guidelines for the functioning of chieftaincy institutions and legitimates the National House of Chiefs to ‘undertake the progressive study, interpretation and codification of the customary law to evolve, in appropriate cases, a unified system of rules of customary law, and compiling the customary laws and lines of succession applicable to each stool or skin’. Chieftaincy is an important cultural heritage and institution, which has strong ethnic support and creates the frameworks for leadership and the implementation of authority. As custodians of the land, chiefs emerge as the main institution to mediate land access in Ghana and are very relevant for mediating pastoralist– farmer conflicts. They have customary support to distribute land to indigenous people under their jurisdiction and can allocate land not occupied by families to strangers, including herdsmen who settle and work in their territories. Due to their critical role in granting land rights to both farmers and pastoralists, chiefs wield enormous information on pastoralists and could play an important role in assembling pastoralists. </w:t>
      </w:r>
    </w:p>
    <w:p w14:paraId="2E8AC7AA" w14:textId="77777777" w:rsidR="00CF0E74" w:rsidRDefault="00000000">
      <w:pPr>
        <w:ind w:left="-15" w:right="-14"/>
      </w:pPr>
      <w:r>
        <w:t xml:space="preserve">The local government bodies (metropolitan, municipal, and district assemblies) in Ghana are mandated by article 240 of the 1992 constitution of Ghana to plan and execute policies in respect to all matters affecting the people within their areas, including issues about pastoralist–farmer conflicts. The Police Service Act (Act 350 [1]) of 1970 provides police officials the mandate to ‘prevent and detect crime, to apprehend offenders, and to maintain public order and the safety of persons and property’. Both the district assemblies and the police services have played active roles in the processes leading to the mediation of pastoralist–farmer conflicts in Ghana. In Agogo in the Asante Akim North district, the district assemblies and police services have documented massive data </w:t>
      </w:r>
      <w:r>
        <w:lastRenderedPageBreak/>
        <w:t xml:space="preserve">on pastoralist– farmer relations which serve as critical resources for pastoralism-related research. </w:t>
      </w:r>
    </w:p>
    <w:p w14:paraId="1D1A8580" w14:textId="77777777" w:rsidR="00CF0E74" w:rsidRDefault="00000000">
      <w:pPr>
        <w:ind w:left="-15" w:right="-14"/>
      </w:pPr>
      <w:r>
        <w:t xml:space="preserve">NGOs mediate the pastoralist–farmer conflicts. It has also led to the formulation of various social groups to interfere with the conflict processes. Ghana National Federation of Livestock Inter-Professional (GFLIP) has been doing field-based research on farmer–herder conflicts and has enormous field contacts and experience. Universities and academic institutions undertake research and train students on the conflict. The Department of Silviculture and Forest Management of Kwame Nkrumah University of Science and Technology hosts a Danish International Development Agency (DANIDA)-funded programme dubbed ‘Access and Authority Nexus in Farmer–Herder Conflicts’ (AAN). AAN trains PhD and MPhil students on pastoralism-related themes. The University for Development Studies hosts the Ghana Development Studies Hub, which provides a space where researchers and development actors join forces to tackle pressing issues of sustainable development that are of specific relevance to Ghana and West Africa. One key focus area is pastoralism and other </w:t>
      </w:r>
      <w:proofErr w:type="spellStart"/>
      <w:r>
        <w:t>landscapebased</w:t>
      </w:r>
      <w:proofErr w:type="spellEnd"/>
      <w:r>
        <w:t xml:space="preserve"> livelihoods.</w:t>
      </w:r>
    </w:p>
    <w:p w14:paraId="1D803095" w14:textId="77777777" w:rsidR="00CF0E74" w:rsidRDefault="00000000">
      <w:pPr>
        <w:spacing w:after="414"/>
        <w:ind w:left="-15" w:right="-14"/>
      </w:pPr>
      <w:r>
        <w:t xml:space="preserve">The Ghana Cattle Ranching Committee is established by the president of Ghana with membership drawn from the ministries of food and agriculture, national security, interior affairs, foreign affairs and regional integration, and the Inner City and Zongo Development; universities; GFLIP; the Ghana National Association of Cattle Farmers (GNACAF); and the Peasant Farmers Association of Ghana (PFAG). The GNACAF has a membership consisting of cattle owners and herders across Ghana. </w:t>
      </w:r>
    </w:p>
    <w:p w14:paraId="59D476A1" w14:textId="77777777" w:rsidR="00CF0E74" w:rsidRDefault="00000000">
      <w:pPr>
        <w:pStyle w:val="Heading1"/>
        <w:ind w:left="-5"/>
      </w:pPr>
      <w:r>
        <w:t>Discussion</w:t>
      </w:r>
    </w:p>
    <w:p w14:paraId="46D7E8A9" w14:textId="77777777" w:rsidR="00CF0E74" w:rsidRDefault="00000000">
      <w:pPr>
        <w:spacing w:after="298"/>
        <w:ind w:left="-15" w:right="-14" w:firstLine="0"/>
      </w:pPr>
      <w:r>
        <w:t xml:space="preserve">Our results suggest that access to data from pastoralists is entangled with challenges. The transhumance and nomadic herders keep cattle at field locations that are distant from villages and lack marked footpaths and road networks, rendering transhumance herders the least accessible herder category. Data from transhumance herders are subsequently also the least accessible and incorporated into conflict management protocols. The health and security of cattle and herdsmen are challenging issues in bushes. Motivated by security concerns, herdsmen shield information on their locations and movements from the public. Herders are reserved and display non-participatory behaviour to indicate their reluctance to participate in development studies and programmes. The Herdsmen’s non-engaging behaviour is a means not to </w:t>
      </w:r>
      <w:proofErr w:type="gramStart"/>
      <w:r>
        <w:t>open up</w:t>
      </w:r>
      <w:proofErr w:type="gramEnd"/>
      <w:r>
        <w:t xml:space="preserve"> about cattle labour, but to exclude and delegitimize others by keeping historically acquired knowledge to themselves. Pastoralist–farmer conflicts are fraught with trauma </w:t>
      </w:r>
      <w:r>
        <w:lastRenderedPageBreak/>
        <w:t xml:space="preserve">and intense emotions due to the pain and suffering resulting from the loss of lives, properties, and homes. Hence, experiences shared in such conflicts are entwined with feelings of closeness, affection, and subjectivity. </w:t>
      </w:r>
      <w:proofErr w:type="gramStart"/>
      <w:r>
        <w:t>To a large extent, pastoralists’ data are</w:t>
      </w:r>
      <w:proofErr w:type="gramEnd"/>
      <w:r>
        <w:t xml:space="preserve"> undocumented, unclean, and disorderly kept. In what follows, we discuss (</w:t>
      </w:r>
      <w:r>
        <w:rPr>
          <w:i/>
        </w:rPr>
        <w:t>a</w:t>
      </w:r>
      <w:r>
        <w:t>) the social, cultural, and political contexts of pastoralists data access; (</w:t>
      </w:r>
      <w:r>
        <w:rPr>
          <w:i/>
        </w:rPr>
        <w:t>b</w:t>
      </w:r>
      <w:r>
        <w:t>) the researcher neutrality and trustworthiness; and (</w:t>
      </w:r>
      <w:r>
        <w:rPr>
          <w:i/>
        </w:rPr>
        <w:t>c</w:t>
      </w:r>
      <w:r>
        <w:t>) the power relations and politics of identity.</w:t>
      </w:r>
    </w:p>
    <w:p w14:paraId="640583FE" w14:textId="77777777" w:rsidR="00CF0E74" w:rsidRDefault="00000000">
      <w:pPr>
        <w:pStyle w:val="Heading2"/>
        <w:ind w:left="-5"/>
      </w:pPr>
      <w:r>
        <w:t>Social, Cultural, and Political Contexts of Pastoralists’ Data Access</w:t>
      </w:r>
    </w:p>
    <w:p w14:paraId="42A596FE" w14:textId="77777777" w:rsidR="00CF0E74" w:rsidRDefault="00000000">
      <w:pPr>
        <w:ind w:left="-15" w:right="-14" w:firstLine="0"/>
      </w:pPr>
      <w:r>
        <w:t xml:space="preserve">The findings illustrate constellations of social relationships that enable access to pastoralists’ data. Access to geographic knowledge of pastoralists, their network, and the ability to shape discursive terms is a critical condition to accessing pastoralists’ data. Researchers and development actors rely mostly on the snowball approach to recruit new herders. Access through social identity and membership in a group, including groupings by ethnicity and religion, shapes access to pastoralists’ data. Muslim researchers and development actors gain access to pastoralist groups on rights and claims attached to religious membership. Others use ethnic background and the ability to speak the pastoralists’ language(s) as an inclusionary strategy to obtain data. Negotiation of social relations, such as access to authority and relations of friendship and trust, forms a critical strategy in accessing pastoralists’ data. This is by far the dominant mechanism enabling access to most herdsmen. We illustrate how access to labour opportunities via </w:t>
      </w:r>
      <w:proofErr w:type="gramStart"/>
      <w:r>
        <w:t>entering into</w:t>
      </w:r>
      <w:proofErr w:type="gramEnd"/>
      <w:r>
        <w:t xml:space="preserve"> a working relationship with herdsmen grants access to pastoralists’ data. Researchers and development actors do not labour by themselves; they rather employ the services of people who speak the pastoralists’ native language(s). </w:t>
      </w:r>
    </w:p>
    <w:p w14:paraId="659E6171" w14:textId="77777777" w:rsidR="00CF0E74" w:rsidRDefault="00000000">
      <w:pPr>
        <w:spacing w:after="298"/>
        <w:ind w:left="-15" w:right="-14"/>
      </w:pPr>
      <w:r>
        <w:t xml:space="preserve">We document opportunities to aid pastoralism-related research. Chiefs and the customary structure are an important institution, which have strong ethnic support and provide the structures for leadership and exercise of authority. Being custodians of communal land, chiefs know the boundaries of village lands and have informal networks with cattle owners. Through the allocation of land rights, chiefs invoke authority over farmers and pastoralists and play a critical role in mediating conflicts between pastoralists and farmers. The local government structure at district levels (district assemblies) wields formal powers and serves as the central government’s representative at the local level mandated to provide formal representation of constituents within their jurisdiction. District assemblies, particularly in conflict-prone areas, have extensive documented information on pastoralist–farmer conflicts and associated issues. Other actors </w:t>
      </w:r>
      <w:r>
        <w:lastRenderedPageBreak/>
        <w:t xml:space="preserve">playing critical roles in pastoralist–farmer conflicts include the academic and research institutions, the Ghana Police Service, the Ghana Cattle Ranching Committee, the GNACAF, the GFLIP, and the PFAG. Due to their long-term engagement in pastoralist–farmer conflicts, there are potential formal and informal networks that could be drawn upon to aid pastoralism-related research and data access. </w:t>
      </w:r>
    </w:p>
    <w:p w14:paraId="080D1DB9" w14:textId="77777777" w:rsidR="00CF0E74" w:rsidRDefault="00000000">
      <w:pPr>
        <w:pStyle w:val="Heading2"/>
        <w:ind w:left="-5"/>
      </w:pPr>
      <w:r>
        <w:t xml:space="preserve">Researcher Neutrality and Trustworthiness </w:t>
      </w:r>
    </w:p>
    <w:p w14:paraId="7A39E45F" w14:textId="47C00A98" w:rsidR="00CF0E74" w:rsidRDefault="00000000">
      <w:pPr>
        <w:spacing w:after="298"/>
        <w:ind w:left="-15" w:right="-14" w:firstLine="0"/>
      </w:pPr>
      <w:r>
        <w:t xml:space="preserve">The findings illuminate the challenge of staying ‘neutral’ or being ‘objective’ during data collection and analysis as a researcher. The role and identity researchers take determine to a great degree the nature of information they will get access to, and this is more prominent in our case where researchers </w:t>
      </w:r>
      <w:proofErr w:type="gramStart"/>
      <w:r>
        <w:t>have to</w:t>
      </w:r>
      <w:proofErr w:type="gramEnd"/>
      <w:r>
        <w:t xml:space="preserve"> negotiate along identity and ethnic lines to obtain data. The positionality, trustworthiness, and experiences from the field also play a role in the data analysis. In a broader sense, the researcher always influences how the data is analysed. This starts when making decisions about how to transcribe and what parts to leave out as being not relevant to the research topic.</w:t>
      </w:r>
      <w:r w:rsidR="00AC7C26">
        <w:rPr>
          <w:rStyle w:val="EndnoteReference"/>
        </w:rPr>
        <w:endnoteReference w:id="17"/>
      </w:r>
      <w:r>
        <w:t xml:space="preserve"> Based on the observation that not all researchers can easily get access to pastoral data, our analysis seems to suggest that processes of data collection will always comprise voluntary or forced choices and will never be able to capture the full extent of reality. Therefore, based on the findings, this chapter argues that the real world cannot be fully captured by data; this could lead to potential biases and problematic outcomes if field data is relied upon excessively. While there is a need to accept this unavoidable reality, our account demonstrates that researchers should always be looking for new and better ways of data collection and analysis. </w:t>
      </w:r>
    </w:p>
    <w:p w14:paraId="19FB0A1F" w14:textId="77777777" w:rsidR="00CF0E74" w:rsidRDefault="00000000">
      <w:pPr>
        <w:pStyle w:val="Heading2"/>
        <w:ind w:left="-5"/>
      </w:pPr>
      <w:r>
        <w:t>Power Relations and Politics of Identity</w:t>
      </w:r>
    </w:p>
    <w:p w14:paraId="4EC0199B" w14:textId="7D8387FA" w:rsidR="00CF0E74" w:rsidRDefault="00000000">
      <w:pPr>
        <w:ind w:left="-15" w:right="-14" w:firstLine="0"/>
      </w:pPr>
      <w:r>
        <w:t>As discussed previously, our findings suggest the non-participatory behaviour of pastoralists in the release of data. They do so by directing researchers to ethnic and membership leaders as well as by indicating an inability to understand languages used by researchers to communicate with them. Such non-participatory behaviour reflects their desire to exercise autonomy over data. Related ideas are shared by the Global Indigenous Data Alliance, which advocates six rights concerning data that indigenous people have.</w:t>
      </w:r>
      <w:r w:rsidR="00AC7C26">
        <w:rPr>
          <w:rStyle w:val="EndnoteReference"/>
        </w:rPr>
        <w:endnoteReference w:id="18"/>
      </w:r>
      <w:r>
        <w:t xml:space="preserve"> These are the right to self-determination, the right to use, the right to possess, the right to consent, the right to refuse, and the right to reclaim. Indigenous peoples’ right to self-determination entails the ability to organize and control data about a collective identity. In our case in Ghana, we observe herdsmen realize that by refraining from engaging with ‘outsiders’ on an individual basis. Rather, they recognize the critical role of </w:t>
      </w:r>
      <w:r>
        <w:lastRenderedPageBreak/>
        <w:t>ethnic and pastoralist leaders in maintaining the production of uniform knowledge and collective identity. Our case shows how herdsmen refuse to engage people they have no social ties with as well as the domination of Fulani ethnicities in cattle herding; these depict the pastoralists’ exhibition of rights to possess, refuse, and retain data that reflect pastoralists’ identities and cultures.</w:t>
      </w:r>
    </w:p>
    <w:p w14:paraId="3AA3410D" w14:textId="237EB07D" w:rsidR="00CF0E74" w:rsidRDefault="00000000">
      <w:pPr>
        <w:spacing w:after="414"/>
        <w:ind w:left="-15" w:right="-14"/>
      </w:pPr>
      <w:r>
        <w:t>Our findings also illustrate that pastoralists are reluctant to grant data access to people they share no ethnic or membership relations with. This suggests pastoralist groups consider themselves to be wielding higher status over researchers and activists. It is along claims of religious and identity backgrounds that researchers and practitioners avoid facing discrimination in accessing data from pastoralists. We argue that the inaccessibility of pastoralists and discrimination in the release of data could potentially lead to biases and monopolization of data because only a few known people will have access to important data. The possibility of asking limited and skewed questions might lead to a loss of valuable information that could have been gained by asking other questions. Herders’ selective behaviour might result in the over-representation of certain elements of a dataset and eventually lead to low accuracy, skewed outcomes, and systemic prejudices. Putting pastoralists’ data into domains privilege a few ethnic and religious actors and create barriers to entry into the pastoralism landscape. This monopoly threatens the political economy of pastoral societies and pastoralism. The problems associated with our empirical data access resonate with documented biases and monopolization linked to digital data access.</w:t>
      </w:r>
      <w:r w:rsidR="00AC7C26">
        <w:rPr>
          <w:rStyle w:val="EndnoteReference"/>
        </w:rPr>
        <w:endnoteReference w:id="19"/>
      </w:r>
      <w:r>
        <w:t xml:space="preserve"> In Ghana, the state institutions dealing with pastoralists’ data (district assemblies and police services) are legally mandated to grant public access to documented data. While access to data from public institutions could be entwined with data biases, retrieving herdsmen’s empirical data is more likely to be subjected to systemic biases and over-representation of data.</w:t>
      </w:r>
    </w:p>
    <w:p w14:paraId="24035F39" w14:textId="77777777" w:rsidR="00CF0E74" w:rsidRDefault="00000000">
      <w:pPr>
        <w:pStyle w:val="Heading1"/>
        <w:ind w:left="-5"/>
      </w:pPr>
      <w:r>
        <w:t>Conclusion</w:t>
      </w:r>
    </w:p>
    <w:p w14:paraId="3068DCD5" w14:textId="77777777" w:rsidR="00CF0E74" w:rsidRDefault="00000000">
      <w:pPr>
        <w:ind w:left="-15" w:right="-14" w:firstLine="0"/>
      </w:pPr>
      <w:r>
        <w:t xml:space="preserve">This study has examined the challenges, strategies, and opportunities researchers employ to gain access to pastoralism-related data. To understand this process, the study relied on data from researchers and NGOs engaged in pastoralism work, cattle owners, herdsmen, and other key informants in the cattle industry. The study suggests that pastoralists operate in a harsh social environment of solitude and are exposed to health and psychological dangers. The adverse environment entangles their relations to other societal groups with conflicts and violent extremism, leading to their passiveness and poor participation in social interventions. </w:t>
      </w:r>
    </w:p>
    <w:p w14:paraId="41ECAA06" w14:textId="77777777" w:rsidR="00CF0E74" w:rsidRDefault="00000000">
      <w:pPr>
        <w:ind w:left="-15" w:right="-14"/>
      </w:pPr>
      <w:r>
        <w:lastRenderedPageBreak/>
        <w:t xml:space="preserve">First, getting physical access to herdsmen is limited because transhumance and nomadic herders </w:t>
      </w:r>
      <w:proofErr w:type="gramStart"/>
      <w:r>
        <w:t>are located in</w:t>
      </w:r>
      <w:proofErr w:type="gramEnd"/>
      <w:r>
        <w:t xml:space="preserve"> remote places, several kilometres away from villages, and their practice of moving from one place to another to feed their cattle defeats easy identification of and accessibility to their location. The lack of footpaths and road networks to herders’ locations in forested areas also limits the possibilities of accessing herdsmen’s locations in the field. Herdsmen do not disclose their locations and movement routes for security reasons – that is, to avoid being easily found and attacked by conflict actors. Access to herders’ data is compromised by their non-participatory behaviour in conversations and the habit of keeping information restricted to only a few people, often their relations. Conflict victims poorly segregate emotions from the actual conflict experiences they share, and the attachment of emotions to information hampers access to objective data.</w:t>
      </w:r>
    </w:p>
    <w:p w14:paraId="2F438F6F" w14:textId="77777777" w:rsidR="00CF0E74" w:rsidRDefault="00000000">
      <w:pPr>
        <w:ind w:left="-15" w:right="-14"/>
      </w:pPr>
      <w:r>
        <w:t xml:space="preserve">A wider range of social relationships, including social identity and membership in groupings by ethnicity and religion, negotiation of social relations to authority and relations of friendship and trust, and access to geographic knowledge of pastoralists, enable access to pastoralists’ data. Researchers and practitioners invest in obtaining geographic knowledge of pastoralists, and others cultivate social relations with pastoralist groups via maintaining ties along religious and cultural lines to gain access to them. There is a network of herders and cattle owners in villages and towns. Pastoralists maintain close relations with their family heads and local leaders, even with those who are physically located in distant places. During family occasions and social and religious gatherings, most herdsmen take advantage of meeting their close relations. Researchers employ the contacts of family heads and local leaders to reach out to cattle headers who are difficult to locate. </w:t>
      </w:r>
    </w:p>
    <w:p w14:paraId="4DE25457" w14:textId="77777777" w:rsidR="00CF0E74" w:rsidRDefault="00000000">
      <w:pPr>
        <w:ind w:left="-15" w:right="-14"/>
      </w:pPr>
      <w:r>
        <w:t>Finally, the study has identified opportunities to aid access to pastoralists’ data, and this includes the existence of strong customary institutions and their traditional role in mediating land access, the local government and police services, NGOs, and pastoralist associations.</w:t>
      </w:r>
    </w:p>
    <w:p w14:paraId="4647FA9C" w14:textId="518C26AA" w:rsidR="00CF0E74" w:rsidRDefault="00000000" w:rsidP="00DE257F">
      <w:pPr>
        <w:pStyle w:val="Heading1"/>
        <w:ind w:left="-5"/>
      </w:pPr>
      <w:r>
        <w:t xml:space="preserve">Notes </w:t>
      </w:r>
    </w:p>
    <w:sectPr w:rsidR="00CF0E74">
      <w:headerReference w:type="even" r:id="rId8"/>
      <w:headerReference w:type="default" r:id="rId9"/>
      <w:footerReference w:type="even" r:id="rId10"/>
      <w:footerReference w:type="default" r:id="rId11"/>
      <w:headerReference w:type="first" r:id="rId12"/>
      <w:footerReference w:type="first" r:id="rId13"/>
      <w:pgSz w:w="9480" w:h="13800"/>
      <w:pgMar w:top="1827" w:right="1499" w:bottom="1440" w:left="1500" w:header="720" w:footer="720" w:gutter="0"/>
      <w:pgNumType w:start="5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56F52F" w14:textId="77777777" w:rsidR="00D66667" w:rsidRDefault="00D66667">
      <w:pPr>
        <w:spacing w:after="0" w:line="240" w:lineRule="auto"/>
      </w:pPr>
      <w:r>
        <w:separator/>
      </w:r>
    </w:p>
  </w:endnote>
  <w:endnote w:type="continuationSeparator" w:id="0">
    <w:p w14:paraId="688C402A" w14:textId="77777777" w:rsidR="00D66667" w:rsidRDefault="00D66667">
      <w:pPr>
        <w:spacing w:after="0" w:line="240" w:lineRule="auto"/>
      </w:pPr>
      <w:r>
        <w:continuationSeparator/>
      </w:r>
    </w:p>
  </w:endnote>
  <w:endnote w:id="1">
    <w:p w14:paraId="62ACABB0" w14:textId="334A623E" w:rsidR="00AC7C26" w:rsidRPr="004A6CDF" w:rsidRDefault="00AC7C26" w:rsidP="004A6CDF">
      <w:pPr>
        <w:ind w:right="-14" w:firstLine="0"/>
      </w:pPr>
      <w:r w:rsidRPr="004A6CDF">
        <w:endnoteRef/>
      </w:r>
      <w:r w:rsidRPr="004A6CDF">
        <w:t xml:space="preserve"> </w:t>
      </w:r>
      <w:r w:rsidR="004A6CDF">
        <w:t xml:space="preserve">T. A. </w:t>
      </w:r>
      <w:proofErr w:type="spellStart"/>
      <w:r w:rsidR="004A6CDF">
        <w:t>Benjaminsen</w:t>
      </w:r>
      <w:proofErr w:type="spellEnd"/>
      <w:r w:rsidR="004A6CDF">
        <w:t xml:space="preserve">, F. P. </w:t>
      </w:r>
      <w:proofErr w:type="spellStart"/>
      <w:r w:rsidR="004A6CDF">
        <w:t>Maganga</w:t>
      </w:r>
      <w:proofErr w:type="spellEnd"/>
      <w:r w:rsidR="004A6CDF">
        <w:t xml:space="preserve">, and J. M. Abdallah, ‘The </w:t>
      </w:r>
      <w:proofErr w:type="spellStart"/>
      <w:r w:rsidR="004A6CDF">
        <w:t>Kilosa</w:t>
      </w:r>
      <w:proofErr w:type="spellEnd"/>
      <w:r w:rsidR="004A6CDF">
        <w:t xml:space="preserve"> Killings: Political Ecology of a Farmer–Herder Conflict in Tanzania’, </w:t>
      </w:r>
      <w:r w:rsidR="004A6CDF">
        <w:rPr>
          <w:i/>
        </w:rPr>
        <w:t>Development and Change</w:t>
      </w:r>
      <w:r w:rsidR="004A6CDF">
        <w:t xml:space="preserve"> 40, no. 3 (2009): 423–445. </w:t>
      </w:r>
    </w:p>
  </w:endnote>
  <w:endnote w:id="2">
    <w:p w14:paraId="70EF6481" w14:textId="4F047703" w:rsidR="00AC7C26" w:rsidRPr="004A6CDF" w:rsidRDefault="00AC7C26" w:rsidP="004A6CDF">
      <w:pPr>
        <w:ind w:right="-14" w:firstLine="0"/>
      </w:pPr>
      <w:r>
        <w:rPr>
          <w:rStyle w:val="EndnoteReference"/>
        </w:rPr>
        <w:endnoteRef/>
      </w:r>
      <w:r>
        <w:t xml:space="preserve"> </w:t>
      </w:r>
      <w:r w:rsidR="004A6CDF">
        <w:t>A. Olaniyan, M. Francis, and U. Okeke-</w:t>
      </w:r>
      <w:proofErr w:type="spellStart"/>
      <w:r w:rsidR="004A6CDF">
        <w:t>Uzodike</w:t>
      </w:r>
      <w:proofErr w:type="spellEnd"/>
      <w:r w:rsidR="004A6CDF">
        <w:t xml:space="preserve">, ‘The Cattle are “Ghanaians” but the Herders are Strangers: Farmer–Herder Conflicts, Expulsion Policy, and Pastoralist Question in Agogo, Ghana’, </w:t>
      </w:r>
      <w:r w:rsidR="004A6CDF">
        <w:rPr>
          <w:i/>
        </w:rPr>
        <w:t>African Studies Quarterly</w:t>
      </w:r>
      <w:r w:rsidR="004A6CDF">
        <w:t xml:space="preserve"> 15, no. 2 (2015): 53–68; S. </w:t>
      </w:r>
      <w:proofErr w:type="spellStart"/>
      <w:r w:rsidR="004A6CDF">
        <w:t>Soeters</w:t>
      </w:r>
      <w:proofErr w:type="spellEnd"/>
      <w:r w:rsidR="004A6CDF">
        <w:t xml:space="preserve">, R. </w:t>
      </w:r>
      <w:proofErr w:type="spellStart"/>
      <w:r w:rsidR="004A6CDF">
        <w:t>Weesie</w:t>
      </w:r>
      <w:proofErr w:type="spellEnd"/>
      <w:r w:rsidR="004A6CDF">
        <w:t xml:space="preserve">, and A. Zoomers, ‘Agricultural Investments and Farmer–Fulani Pastoralist Conflict in West African Drylands: A Northern Ghanaian Case Study’, </w:t>
      </w:r>
      <w:r w:rsidR="004A6CDF">
        <w:rPr>
          <w:i/>
        </w:rPr>
        <w:t>Sustainability</w:t>
      </w:r>
      <w:r w:rsidR="004A6CDF">
        <w:t xml:space="preserve"> 9, no. 11 (2017): 1–19.</w:t>
      </w:r>
    </w:p>
  </w:endnote>
  <w:endnote w:id="3">
    <w:p w14:paraId="5A2AB077" w14:textId="576EF4B4" w:rsidR="00AC7C26" w:rsidRPr="004A6CDF" w:rsidRDefault="00AC7C26" w:rsidP="004A6CDF">
      <w:pPr>
        <w:ind w:right="-14" w:firstLine="0"/>
      </w:pPr>
      <w:r>
        <w:rPr>
          <w:rStyle w:val="EndnoteReference"/>
        </w:rPr>
        <w:endnoteRef/>
      </w:r>
      <w:r>
        <w:t xml:space="preserve"> </w:t>
      </w:r>
      <w:r w:rsidR="004A6CDF">
        <w:t xml:space="preserve">M. D. Turner, ‘Political Ecology and the Moral Dimensions of “Resource Conflicts”: The Case of Farmer–Herder Conflicts in the Sahel’, </w:t>
      </w:r>
      <w:r w:rsidR="004A6CDF">
        <w:rPr>
          <w:i/>
        </w:rPr>
        <w:t xml:space="preserve">Political Geography </w:t>
      </w:r>
      <w:r w:rsidR="004A6CDF">
        <w:t>23, no. 7 (2004): 863–889.</w:t>
      </w:r>
    </w:p>
  </w:endnote>
  <w:endnote w:id="4">
    <w:p w14:paraId="172E403B" w14:textId="77777777" w:rsidR="004A6CDF" w:rsidRDefault="00AC7C26" w:rsidP="004A6CDF">
      <w:pPr>
        <w:ind w:right="-14" w:firstLine="0"/>
      </w:pPr>
      <w:r>
        <w:rPr>
          <w:rStyle w:val="EndnoteReference"/>
        </w:rPr>
        <w:endnoteRef/>
      </w:r>
      <w:r>
        <w:t xml:space="preserve"> </w:t>
      </w:r>
      <w:r w:rsidR="004A6CDF">
        <w:t xml:space="preserve">B. </w:t>
      </w:r>
      <w:proofErr w:type="spellStart"/>
      <w:r w:rsidR="004A6CDF">
        <w:t>Maiangwa</w:t>
      </w:r>
      <w:proofErr w:type="spellEnd"/>
      <w:r w:rsidR="004A6CDF">
        <w:t>, ‘“Conflicting Indigeneity” and Farmer–Herder Conflicts in Postcolonial Africa’,</w:t>
      </w:r>
      <w:r w:rsidR="004A6CDF">
        <w:rPr>
          <w:i/>
        </w:rPr>
        <w:t xml:space="preserve"> Peace Review</w:t>
      </w:r>
      <w:r w:rsidR="004A6CDF">
        <w:t xml:space="preserve"> 29, no. 3 (2017): 282–288; N. </w:t>
      </w:r>
      <w:proofErr w:type="spellStart"/>
      <w:r w:rsidR="004A6CDF">
        <w:t>Mikailu</w:t>
      </w:r>
      <w:proofErr w:type="spellEnd"/>
      <w:r w:rsidR="004A6CDF">
        <w:t xml:space="preserve">, ‘Making Sense of Nigeria’s Fulani–Farmer Conflict’, BBC News, 5 May 2016, https://www.bbc.com/news/world-africa-36139388 (accessed 20 </w:t>
      </w:r>
    </w:p>
    <w:p w14:paraId="463B5EAC" w14:textId="7950D99C" w:rsidR="00AC7C26" w:rsidRPr="004A6CDF" w:rsidRDefault="004A6CDF" w:rsidP="004A6CDF">
      <w:pPr>
        <w:ind w:right="-14" w:firstLine="0"/>
      </w:pPr>
      <w:r>
        <w:t xml:space="preserve">December 2018); M. Moritz, ‘Changing Contexts and Dynamics of Farmer– Herder Conflicts across West Africa’, </w:t>
      </w:r>
      <w:r w:rsidRPr="00077BD1">
        <w:rPr>
          <w:i/>
        </w:rPr>
        <w:t>Canadian Journal of African Studies /</w:t>
      </w:r>
      <w:r>
        <w:t xml:space="preserve"> </w:t>
      </w:r>
      <w:r w:rsidRPr="00077BD1">
        <w:rPr>
          <w:i/>
        </w:rPr>
        <w:t xml:space="preserve">Revue </w:t>
      </w:r>
      <w:proofErr w:type="spellStart"/>
      <w:r w:rsidRPr="00077BD1">
        <w:rPr>
          <w:i/>
        </w:rPr>
        <w:t>canadienne</w:t>
      </w:r>
      <w:proofErr w:type="spellEnd"/>
      <w:r w:rsidRPr="00077BD1">
        <w:rPr>
          <w:i/>
        </w:rPr>
        <w:t xml:space="preserve"> des études </w:t>
      </w:r>
      <w:proofErr w:type="spellStart"/>
      <w:r w:rsidRPr="00077BD1">
        <w:rPr>
          <w:i/>
        </w:rPr>
        <w:t>africaines</w:t>
      </w:r>
      <w:proofErr w:type="spellEnd"/>
      <w:r>
        <w:t xml:space="preserve"> 40, no. 1 (2006): 1–40.</w:t>
      </w:r>
    </w:p>
  </w:endnote>
  <w:endnote w:id="5">
    <w:p w14:paraId="3732F368" w14:textId="674E34EC" w:rsidR="00AC7C26" w:rsidRPr="004A6CDF" w:rsidRDefault="00AC7C26" w:rsidP="004A6CDF">
      <w:pPr>
        <w:ind w:right="-14" w:firstLine="0"/>
      </w:pPr>
      <w:r>
        <w:rPr>
          <w:rStyle w:val="EndnoteReference"/>
        </w:rPr>
        <w:endnoteRef/>
      </w:r>
      <w:r>
        <w:t xml:space="preserve"> </w:t>
      </w:r>
      <w:r w:rsidR="004A6CDF">
        <w:t xml:space="preserve">K. N. </w:t>
      </w:r>
      <w:proofErr w:type="spellStart"/>
      <w:r w:rsidR="004A6CDF">
        <w:t>Bukari</w:t>
      </w:r>
      <w:proofErr w:type="spellEnd"/>
      <w:r w:rsidR="004A6CDF">
        <w:t xml:space="preserve"> and N. </w:t>
      </w:r>
      <w:proofErr w:type="spellStart"/>
      <w:r w:rsidR="004A6CDF">
        <w:t>Schareika</w:t>
      </w:r>
      <w:proofErr w:type="spellEnd"/>
      <w:r w:rsidR="004A6CDF">
        <w:t xml:space="preserve">, ‘Stereotypes, Prejudices and Exclusion of Fulani Pastoralists in Ghana’, </w:t>
      </w:r>
      <w:r w:rsidR="004A6CDF">
        <w:rPr>
          <w:i/>
        </w:rPr>
        <w:t>Pastoralism: Research, Policy and Practice</w:t>
      </w:r>
      <w:r w:rsidR="004A6CDF">
        <w:t xml:space="preserve"> 5, no. 20 (2015): 1–12; R. </w:t>
      </w:r>
      <w:proofErr w:type="spellStart"/>
      <w:r w:rsidR="004A6CDF">
        <w:t>Yembilah</w:t>
      </w:r>
      <w:proofErr w:type="spellEnd"/>
      <w:r w:rsidR="004A6CDF">
        <w:t xml:space="preserve"> and M. Grant, ‘The Political Ecology of Territoriality: Territorialities in Farmer–Herder Relationships in Northern Ghana’</w:t>
      </w:r>
      <w:r w:rsidR="004A6CDF">
        <w:rPr>
          <w:i/>
        </w:rPr>
        <w:t xml:space="preserve">, </w:t>
      </w:r>
      <w:proofErr w:type="spellStart"/>
      <w:r w:rsidR="004A6CDF">
        <w:rPr>
          <w:i/>
        </w:rPr>
        <w:t>GeoJournal</w:t>
      </w:r>
      <w:proofErr w:type="spellEnd"/>
      <w:r w:rsidR="004A6CDF">
        <w:t xml:space="preserve"> 79, no. 3 (2014): 385–400.</w:t>
      </w:r>
    </w:p>
  </w:endnote>
  <w:endnote w:id="6">
    <w:p w14:paraId="0E31014B" w14:textId="5DBB155A" w:rsidR="00AC7C26" w:rsidRPr="004A6CDF" w:rsidRDefault="00AC7C26" w:rsidP="004A6CDF">
      <w:pPr>
        <w:ind w:right="-14" w:firstLine="0"/>
      </w:pPr>
      <w:r>
        <w:rPr>
          <w:rStyle w:val="EndnoteReference"/>
        </w:rPr>
        <w:endnoteRef/>
      </w:r>
      <w:r>
        <w:t xml:space="preserve"> </w:t>
      </w:r>
      <w:r w:rsidR="004A6CDF">
        <w:t xml:space="preserve">S. K. </w:t>
      </w:r>
      <w:proofErr w:type="spellStart"/>
      <w:r w:rsidR="004A6CDF">
        <w:t>Dary</w:t>
      </w:r>
      <w:proofErr w:type="spellEnd"/>
      <w:r w:rsidR="004A6CDF">
        <w:t>, H. S. James, and A. S. Mohammed, ‘Triggers of Farmer–Herder Conflicts in Ghana: A Non-Parametric Analysis of Stakeholders’ Perspectives’,</w:t>
      </w:r>
      <w:r w:rsidR="004A6CDF">
        <w:rPr>
          <w:i/>
        </w:rPr>
        <w:t xml:space="preserve"> Sustainable Agriculture Research </w:t>
      </w:r>
      <w:r w:rsidR="004A6CDF">
        <w:t>6, no. 526 (2017): 141–151.</w:t>
      </w:r>
    </w:p>
  </w:endnote>
  <w:endnote w:id="7">
    <w:p w14:paraId="7735C08E" w14:textId="6D2EF8F5" w:rsidR="00AC7C26" w:rsidRPr="004A6CDF" w:rsidRDefault="00AC7C26" w:rsidP="004A6CDF">
      <w:pPr>
        <w:ind w:right="-14" w:firstLine="0"/>
      </w:pPr>
      <w:r>
        <w:rPr>
          <w:rStyle w:val="EndnoteReference"/>
        </w:rPr>
        <w:endnoteRef/>
      </w:r>
      <w:r>
        <w:t xml:space="preserve"> </w:t>
      </w:r>
      <w:r w:rsidR="004A6CDF">
        <w:t>K. Kyei-</w:t>
      </w:r>
      <w:proofErr w:type="spellStart"/>
      <w:r w:rsidR="004A6CDF">
        <w:t>Poakwah</w:t>
      </w:r>
      <w:proofErr w:type="spellEnd"/>
      <w:r w:rsidR="004A6CDF">
        <w:t xml:space="preserve">, ‘Understanding Farmers and Herdsmen Conflict: The Case of Crop Farmers and Fulani Herders in the Asante </w:t>
      </w:r>
      <w:proofErr w:type="spellStart"/>
      <w:r w:rsidR="004A6CDF">
        <w:t>Akim</w:t>
      </w:r>
      <w:proofErr w:type="spellEnd"/>
      <w:r w:rsidR="004A6CDF">
        <w:t xml:space="preserve"> North District’, doctoral dissertation, University of Ghana, 2018.</w:t>
      </w:r>
    </w:p>
  </w:endnote>
  <w:endnote w:id="8">
    <w:p w14:paraId="33B52139" w14:textId="0BFD5C49" w:rsidR="00AC7C26" w:rsidRPr="004A6CDF" w:rsidRDefault="00AC7C26" w:rsidP="004A6CDF">
      <w:pPr>
        <w:ind w:right="-14" w:firstLine="0"/>
      </w:pPr>
      <w:r>
        <w:rPr>
          <w:rStyle w:val="EndnoteReference"/>
        </w:rPr>
        <w:endnoteRef/>
      </w:r>
      <w:r>
        <w:t xml:space="preserve"> </w:t>
      </w:r>
      <w:r w:rsidR="004A6CDF">
        <w:t xml:space="preserve">‘Fulanis Flee Konkomba Farmers Attack at Sene’, </w:t>
      </w:r>
      <w:r w:rsidR="004A6CDF">
        <w:rPr>
          <w:i/>
        </w:rPr>
        <w:t>Daily Guide</w:t>
      </w:r>
      <w:r w:rsidR="004A6CDF">
        <w:t>, www. dailyguidenetwork.com/</w:t>
      </w:r>
      <w:proofErr w:type="spellStart"/>
      <w:r w:rsidR="004A6CDF">
        <w:t>fulanis</w:t>
      </w:r>
      <w:proofErr w:type="spellEnd"/>
      <w:r w:rsidR="004A6CDF">
        <w:t>-flee-</w:t>
      </w:r>
      <w:proofErr w:type="spellStart"/>
      <w:r w:rsidR="004A6CDF">
        <w:t>konkomba</w:t>
      </w:r>
      <w:proofErr w:type="spellEnd"/>
      <w:r w:rsidR="004A6CDF">
        <w:t>-farmers-attach-</w:t>
      </w:r>
      <w:proofErr w:type="spellStart"/>
      <w:r w:rsidR="004A6CDF">
        <w:t>sene</w:t>
      </w:r>
      <w:proofErr w:type="spellEnd"/>
      <w:r w:rsidR="004A6CDF">
        <w:t xml:space="preserve"> (accessed 4 January 2022).</w:t>
      </w:r>
    </w:p>
  </w:endnote>
  <w:endnote w:id="9">
    <w:p w14:paraId="2378EBC5" w14:textId="6B778D51" w:rsidR="00AC7C26" w:rsidRPr="004A6CDF" w:rsidRDefault="00AC7C26" w:rsidP="004A6CDF">
      <w:pPr>
        <w:ind w:right="-14" w:firstLine="0"/>
      </w:pPr>
      <w:r>
        <w:rPr>
          <w:rStyle w:val="EndnoteReference"/>
        </w:rPr>
        <w:endnoteRef/>
      </w:r>
      <w:r>
        <w:t xml:space="preserve"> </w:t>
      </w:r>
      <w:r w:rsidR="004A6CDF">
        <w:t>I. Abubakar, ‘Portrayal of Ethnic Minorities in Ghanaian Newspapers: A Case Study of the Fulani’, MA thesis, University of Ghana, Legon, 2016.</w:t>
      </w:r>
    </w:p>
  </w:endnote>
  <w:endnote w:id="10">
    <w:p w14:paraId="6A6BBEDC" w14:textId="36ADF645" w:rsidR="00AC7C26" w:rsidRPr="004A6CDF" w:rsidRDefault="00AC7C26" w:rsidP="004A6CDF">
      <w:pPr>
        <w:ind w:right="-14" w:firstLine="0"/>
      </w:pPr>
      <w:r>
        <w:rPr>
          <w:rStyle w:val="EndnoteReference"/>
        </w:rPr>
        <w:endnoteRef/>
      </w:r>
      <w:r>
        <w:t xml:space="preserve"> </w:t>
      </w:r>
      <w:r w:rsidR="004A6CDF">
        <w:t xml:space="preserve">M. Nartey and H. J. </w:t>
      </w:r>
      <w:proofErr w:type="spellStart"/>
      <w:r w:rsidR="004A6CDF">
        <w:t>Ladegaard</w:t>
      </w:r>
      <w:proofErr w:type="spellEnd"/>
      <w:r w:rsidR="004A6CDF">
        <w:t xml:space="preserve">, ‘Constructing Undesirables: A Critical Discourse Analysis of Othering of Fulani Nomads in the Ghanaian News Media’, </w:t>
      </w:r>
      <w:r w:rsidR="004A6CDF">
        <w:rPr>
          <w:i/>
        </w:rPr>
        <w:t>Discourse and Communication</w:t>
      </w:r>
      <w:r w:rsidR="004A6CDF">
        <w:t xml:space="preserve"> 15, no. 2 (2021):184–199.</w:t>
      </w:r>
    </w:p>
  </w:endnote>
  <w:endnote w:id="11">
    <w:p w14:paraId="2B039B6F" w14:textId="28866BBB" w:rsidR="00AC7C26" w:rsidRPr="004A6CDF" w:rsidRDefault="00AC7C26" w:rsidP="004A6CDF">
      <w:pPr>
        <w:ind w:right="-14" w:firstLine="0"/>
      </w:pPr>
      <w:r>
        <w:rPr>
          <w:rStyle w:val="EndnoteReference"/>
        </w:rPr>
        <w:endnoteRef/>
      </w:r>
      <w:r>
        <w:t xml:space="preserve"> </w:t>
      </w:r>
      <w:r w:rsidR="004A6CDF">
        <w:t xml:space="preserve">S. </w:t>
      </w:r>
      <w:proofErr w:type="spellStart"/>
      <w:r w:rsidR="004A6CDF">
        <w:t>Tonah</w:t>
      </w:r>
      <w:proofErr w:type="spellEnd"/>
      <w:r w:rsidR="004A6CDF">
        <w:t xml:space="preserve">, ‘Migration and Farmer–Herder Conflicts in Ghana’s Volta Basin’, </w:t>
      </w:r>
      <w:r w:rsidR="004A6CDF">
        <w:rPr>
          <w:i/>
        </w:rPr>
        <w:t xml:space="preserve">Canadian Journal of African Studies / Revue </w:t>
      </w:r>
      <w:proofErr w:type="spellStart"/>
      <w:r w:rsidR="004A6CDF">
        <w:rPr>
          <w:i/>
        </w:rPr>
        <w:t>canadienne</w:t>
      </w:r>
      <w:proofErr w:type="spellEnd"/>
      <w:r w:rsidR="004A6CDF">
        <w:rPr>
          <w:i/>
        </w:rPr>
        <w:t xml:space="preserve"> des études </w:t>
      </w:r>
      <w:proofErr w:type="spellStart"/>
      <w:r w:rsidR="004A6CDF">
        <w:rPr>
          <w:i/>
        </w:rPr>
        <w:t>africaines</w:t>
      </w:r>
      <w:proofErr w:type="spellEnd"/>
      <w:r w:rsidR="004A6CDF">
        <w:t xml:space="preserve"> 40, no. 1 (2006): 152–178.</w:t>
      </w:r>
    </w:p>
  </w:endnote>
  <w:endnote w:id="12">
    <w:p w14:paraId="3D4C2BB9" w14:textId="72E09E02" w:rsidR="00AC7C26" w:rsidRPr="004A6CDF" w:rsidRDefault="00AC7C26" w:rsidP="004A6CDF">
      <w:pPr>
        <w:ind w:right="-14" w:firstLine="0"/>
      </w:pPr>
      <w:r>
        <w:rPr>
          <w:rStyle w:val="EndnoteReference"/>
        </w:rPr>
        <w:endnoteRef/>
      </w:r>
      <w:r>
        <w:t xml:space="preserve"> </w:t>
      </w:r>
      <w:r w:rsidR="004A6CDF">
        <w:t xml:space="preserve">T. Desai, F. Ritchie, and R. </w:t>
      </w:r>
      <w:proofErr w:type="spellStart"/>
      <w:r w:rsidR="004A6CDF">
        <w:t>Welpton</w:t>
      </w:r>
      <w:proofErr w:type="spellEnd"/>
      <w:r w:rsidR="004A6CDF">
        <w:t>, ‘Five Safes: Designing Data Access for Research’, Economics Working Paper Series, 1601, University of the West of England, Bristol, 2006, 28.</w:t>
      </w:r>
    </w:p>
  </w:endnote>
  <w:endnote w:id="13">
    <w:p w14:paraId="06441537" w14:textId="60AA876E" w:rsidR="00AC7C26" w:rsidRPr="004A6CDF" w:rsidRDefault="00AC7C26" w:rsidP="004A6CDF">
      <w:pPr>
        <w:ind w:right="-14" w:firstLine="0"/>
      </w:pPr>
      <w:r>
        <w:rPr>
          <w:rStyle w:val="EndnoteReference"/>
        </w:rPr>
        <w:endnoteRef/>
      </w:r>
      <w:r>
        <w:t xml:space="preserve"> </w:t>
      </w:r>
      <w:r w:rsidR="004A6CDF">
        <w:t>J. Kaiser, ‘Good Herder, Bad Herder: Understanding the Construction of Fulani Herders’ Identities by the Local Community in Agogo, Ghana’, master’s thesis, University of Zurich, 2019.</w:t>
      </w:r>
    </w:p>
  </w:endnote>
  <w:endnote w:id="14">
    <w:p w14:paraId="5E5CB7B0" w14:textId="4F3DBC59" w:rsidR="00AC7C26" w:rsidRPr="004A6CDF" w:rsidRDefault="00AC7C26" w:rsidP="004A6CDF">
      <w:pPr>
        <w:ind w:right="-14" w:firstLine="0"/>
      </w:pPr>
      <w:r>
        <w:rPr>
          <w:rStyle w:val="EndnoteReference"/>
        </w:rPr>
        <w:endnoteRef/>
      </w:r>
      <w:r>
        <w:t xml:space="preserve"> </w:t>
      </w:r>
      <w:r w:rsidR="004A6CDF">
        <w:t>Olaniyan, Francis, and Okeke-</w:t>
      </w:r>
      <w:proofErr w:type="spellStart"/>
      <w:r w:rsidR="004A6CDF">
        <w:t>Uzodike</w:t>
      </w:r>
      <w:proofErr w:type="spellEnd"/>
      <w:r w:rsidR="004A6CDF">
        <w:t xml:space="preserve">, ‘The Cattle are “Ghanaians”’; </w:t>
      </w:r>
      <w:proofErr w:type="spellStart"/>
      <w:r w:rsidR="004A6CDF">
        <w:t>Tonah</w:t>
      </w:r>
      <w:proofErr w:type="spellEnd"/>
      <w:r w:rsidR="004A6CDF">
        <w:t xml:space="preserve">, ‘Migration and Farmer–Herder Conflicts’. </w:t>
      </w:r>
    </w:p>
  </w:endnote>
  <w:endnote w:id="15">
    <w:p w14:paraId="60EA8C63" w14:textId="402250A9" w:rsidR="00AC7C26" w:rsidRPr="004A6CDF" w:rsidRDefault="00AC7C26" w:rsidP="004A6CDF">
      <w:pPr>
        <w:ind w:right="-14" w:firstLine="0"/>
      </w:pPr>
      <w:r>
        <w:rPr>
          <w:rStyle w:val="EndnoteReference"/>
        </w:rPr>
        <w:endnoteRef/>
      </w:r>
      <w:r>
        <w:t xml:space="preserve"> </w:t>
      </w:r>
      <w:r w:rsidR="004A6CDF">
        <w:t xml:space="preserve">G. </w:t>
      </w:r>
      <w:proofErr w:type="spellStart"/>
      <w:r w:rsidR="004A6CDF">
        <w:t>Pransky</w:t>
      </w:r>
      <w:proofErr w:type="spellEnd"/>
      <w:r w:rsidR="004A6CDF">
        <w:t xml:space="preserve">, S. Finkelstein, E. Berndt, M. Kyle, J. </w:t>
      </w:r>
      <w:proofErr w:type="spellStart"/>
      <w:r w:rsidR="004A6CDF">
        <w:t>Mackell</w:t>
      </w:r>
      <w:proofErr w:type="spellEnd"/>
      <w:r w:rsidR="004A6CDF">
        <w:t xml:space="preserve">, and D. </w:t>
      </w:r>
      <w:proofErr w:type="spellStart"/>
      <w:r w:rsidR="004A6CDF">
        <w:t>Tortorice</w:t>
      </w:r>
      <w:proofErr w:type="spellEnd"/>
      <w:r w:rsidR="004A6CDF">
        <w:t xml:space="preserve">, ‘Objective and Self-Report Work Performance Measures: A Comparative Analysis’, </w:t>
      </w:r>
      <w:r w:rsidR="004A6CDF">
        <w:rPr>
          <w:i/>
        </w:rPr>
        <w:t>International Journal of Productivity and Performance Management</w:t>
      </w:r>
      <w:r w:rsidR="004A6CDF">
        <w:t xml:space="preserve"> </w:t>
      </w:r>
      <w:r w:rsidR="004A6CDF">
        <w:rPr>
          <w:i/>
        </w:rPr>
        <w:t>55</w:t>
      </w:r>
      <w:r w:rsidR="004A6CDF">
        <w:t xml:space="preserve">, no. 5 (2006): 390–399. </w:t>
      </w:r>
    </w:p>
  </w:endnote>
  <w:endnote w:id="16">
    <w:p w14:paraId="1C3E3191" w14:textId="6AA048FB" w:rsidR="00AC7C26" w:rsidRPr="004A6CDF" w:rsidRDefault="00AC7C26" w:rsidP="004A6CDF">
      <w:pPr>
        <w:ind w:right="-14" w:firstLine="0"/>
      </w:pPr>
      <w:r>
        <w:rPr>
          <w:rStyle w:val="EndnoteReference"/>
        </w:rPr>
        <w:endnoteRef/>
      </w:r>
      <w:r>
        <w:t xml:space="preserve"> </w:t>
      </w:r>
      <w:r w:rsidR="004A6CDF">
        <w:t>B. Bulley, ‘Our Chiefs, Their Land Management, and Our Custom: A Case Study of Juaben, Ashanti’, MPhil dissertation, University of Ghana, 2014.</w:t>
      </w:r>
    </w:p>
  </w:endnote>
  <w:endnote w:id="17">
    <w:p w14:paraId="2D634216" w14:textId="092BE2A4" w:rsidR="00AC7C26" w:rsidRPr="004A6CDF" w:rsidRDefault="00AC7C26" w:rsidP="004A6CDF">
      <w:pPr>
        <w:ind w:right="-14" w:firstLine="0"/>
      </w:pPr>
      <w:r>
        <w:rPr>
          <w:rStyle w:val="EndnoteReference"/>
        </w:rPr>
        <w:endnoteRef/>
      </w:r>
      <w:r>
        <w:t xml:space="preserve"> </w:t>
      </w:r>
      <w:r w:rsidR="004A6CDF">
        <w:t xml:space="preserve">M. Hammersley, ‘Reproducing or Constructing? Some Questions about Transcription in Social Research’, </w:t>
      </w:r>
      <w:r w:rsidR="004A6CDF">
        <w:rPr>
          <w:i/>
        </w:rPr>
        <w:t>Qualitative Research</w:t>
      </w:r>
      <w:r w:rsidR="004A6CDF">
        <w:t xml:space="preserve"> 10, no. 5 (2010): 553–569.</w:t>
      </w:r>
    </w:p>
  </w:endnote>
  <w:endnote w:id="18">
    <w:p w14:paraId="3A046C98" w14:textId="73A27655" w:rsidR="00AC7C26" w:rsidRPr="004A6CDF" w:rsidRDefault="00AC7C26" w:rsidP="00DE257F">
      <w:pPr>
        <w:pStyle w:val="EndnoteText"/>
        <w:ind w:firstLine="0"/>
        <w:rPr>
          <w:lang w:val="en-US"/>
        </w:rPr>
      </w:pPr>
      <w:r>
        <w:rPr>
          <w:rStyle w:val="EndnoteReference"/>
        </w:rPr>
        <w:endnoteRef/>
      </w:r>
      <w:r>
        <w:t xml:space="preserve"> </w:t>
      </w:r>
      <w:r w:rsidR="004A6CDF">
        <w:t>‘Care Principles for Indigenous Data Governance’, Global Indigenous Data Alliance, 2023, https://www.gida-global.org/care (accessed 10 December 2023).</w:t>
      </w:r>
    </w:p>
  </w:endnote>
  <w:endnote w:id="19">
    <w:p w14:paraId="5DC93808" w14:textId="77777777" w:rsidR="004A6CDF" w:rsidRDefault="00AC7C26" w:rsidP="004A6CDF">
      <w:pPr>
        <w:ind w:right="-14" w:firstLine="0"/>
      </w:pPr>
      <w:r>
        <w:rPr>
          <w:rStyle w:val="EndnoteReference"/>
        </w:rPr>
        <w:endnoteRef/>
      </w:r>
      <w:r>
        <w:t xml:space="preserve"> </w:t>
      </w:r>
      <w:r w:rsidR="004A6CDF">
        <w:t xml:space="preserve">M. Khan, X. Wu, X. Xu, and W. Dou, ‘Big Data Challenges and Opportunities in the Hype of Industry 4.0’, paper presented at IEEE International Conference on Communications (ICC), Institute of Electrical and Electronics Engineers, 2017, 1–6. </w:t>
      </w:r>
    </w:p>
    <w:p w14:paraId="4E456781" w14:textId="0B777F80" w:rsidR="00AC7C26" w:rsidRPr="004A6CDF" w:rsidRDefault="00AC7C26">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1D7E1" w14:textId="77777777" w:rsidR="00CF0E74"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FDAD8E3" wp14:editId="19BF5D5A">
              <wp:simplePos x="0" y="0"/>
              <wp:positionH relativeFrom="page">
                <wp:posOffset>0</wp:posOffset>
              </wp:positionH>
              <wp:positionV relativeFrom="page">
                <wp:posOffset>8496300</wp:posOffset>
              </wp:positionV>
              <wp:extent cx="266700" cy="266700"/>
              <wp:effectExtent l="0" t="0" r="0" b="0"/>
              <wp:wrapSquare wrapText="bothSides"/>
              <wp:docPr id="14656" name="Group 1465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57" name="Shape 1465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58" name="Shape 1465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56" style="width:21pt;height:21pt;position:absolute;mso-position-horizontal-relative:page;mso-position-horizontal:absolute;margin-left:0pt;mso-position-vertical-relative:page;margin-top:669pt;" coordsize="2667,2667">
              <v:shape id="Shape 14657" style="position:absolute;width:1905;height:0;left:0;top:0;" coordsize="190500,0" path="m190500,0l0,0">
                <v:stroke weight="0.25pt" endcap="flat" joinstyle="miter" miterlimit="10" on="true" color="#000000"/>
                <v:fill on="false" color="#000000" opacity="0"/>
              </v:shape>
              <v:shape id="Shape 1465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5D6CF3DA" wp14:editId="37D3C7D7">
              <wp:simplePos x="0" y="0"/>
              <wp:positionH relativeFrom="page">
                <wp:posOffset>5753100</wp:posOffset>
              </wp:positionH>
              <wp:positionV relativeFrom="page">
                <wp:posOffset>8496300</wp:posOffset>
              </wp:positionV>
              <wp:extent cx="266700" cy="266700"/>
              <wp:effectExtent l="0" t="0" r="0" b="0"/>
              <wp:wrapSquare wrapText="bothSides"/>
              <wp:docPr id="14659" name="Group 1465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60" name="Shape 1466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61" name="Shape 1466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59" style="width:21pt;height:21pt;position:absolute;mso-position-horizontal-relative:page;mso-position-horizontal:absolute;margin-left:453pt;mso-position-vertical-relative:page;margin-top:669pt;" coordsize="2667,2667">
              <v:shape id="Shape 14660" style="position:absolute;width:1905;height:0;left:762;top:0;" coordsize="190500,0" path="m0,0l190500,0">
                <v:stroke weight="0.25pt" endcap="flat" joinstyle="miter" miterlimit="10" on="true" color="#000000"/>
                <v:fill on="false" color="#000000" opacity="0"/>
              </v:shape>
              <v:shape id="Shape 1466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B7E8B" w14:textId="77777777" w:rsidR="00CF0E74"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52A64E2F" wp14:editId="51123B10">
              <wp:simplePos x="0" y="0"/>
              <wp:positionH relativeFrom="page">
                <wp:posOffset>0</wp:posOffset>
              </wp:positionH>
              <wp:positionV relativeFrom="page">
                <wp:posOffset>8496300</wp:posOffset>
              </wp:positionV>
              <wp:extent cx="266700" cy="266700"/>
              <wp:effectExtent l="0" t="0" r="0" b="0"/>
              <wp:wrapSquare wrapText="bothSides"/>
              <wp:docPr id="14632" name="Group 1463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33" name="Shape 1463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34" name="Shape 14634"/>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32" style="width:21pt;height:21pt;position:absolute;mso-position-horizontal-relative:page;mso-position-horizontal:absolute;margin-left:0pt;mso-position-vertical-relative:page;margin-top:669pt;" coordsize="2667,2667">
              <v:shape id="Shape 14633" style="position:absolute;width:1905;height:0;left:0;top:0;" coordsize="190500,0" path="m190500,0l0,0">
                <v:stroke weight="0.25pt" endcap="flat" joinstyle="miter" miterlimit="10" on="true" color="#000000"/>
                <v:fill on="false" color="#000000" opacity="0"/>
              </v:shape>
              <v:shape id="Shape 14634"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4370B46C" wp14:editId="55C66461">
              <wp:simplePos x="0" y="0"/>
              <wp:positionH relativeFrom="page">
                <wp:posOffset>5753100</wp:posOffset>
              </wp:positionH>
              <wp:positionV relativeFrom="page">
                <wp:posOffset>8496300</wp:posOffset>
              </wp:positionV>
              <wp:extent cx="266700" cy="266700"/>
              <wp:effectExtent l="0" t="0" r="0" b="0"/>
              <wp:wrapSquare wrapText="bothSides"/>
              <wp:docPr id="14635" name="Group 1463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36" name="Shape 1463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37" name="Shape 1463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35" style="width:21pt;height:21pt;position:absolute;mso-position-horizontal-relative:page;mso-position-horizontal:absolute;margin-left:453pt;mso-position-vertical-relative:page;margin-top:669pt;" coordsize="2667,2667">
              <v:shape id="Shape 14636" style="position:absolute;width:1905;height:0;left:762;top:0;" coordsize="190500,0" path="m0,0l190500,0">
                <v:stroke weight="0.25pt" endcap="flat" joinstyle="miter" miterlimit="10" on="true" color="#000000"/>
                <v:fill on="false" color="#000000" opacity="0"/>
              </v:shape>
              <v:shape id="Shape 14637"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12444" w14:textId="77777777" w:rsidR="00CF0E74"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5BC9273" wp14:editId="4E4B0D2F">
              <wp:simplePos x="0" y="0"/>
              <wp:positionH relativeFrom="page">
                <wp:posOffset>0</wp:posOffset>
              </wp:positionH>
              <wp:positionV relativeFrom="page">
                <wp:posOffset>8496300</wp:posOffset>
              </wp:positionV>
              <wp:extent cx="266700" cy="266700"/>
              <wp:effectExtent l="0" t="0" r="0" b="0"/>
              <wp:wrapSquare wrapText="bothSides"/>
              <wp:docPr id="14608" name="Group 146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09" name="Shape 1460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10" name="Shape 1461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08" style="width:21pt;height:21pt;position:absolute;mso-position-horizontal-relative:page;mso-position-horizontal:absolute;margin-left:0pt;mso-position-vertical-relative:page;margin-top:669pt;" coordsize="2667,2667">
              <v:shape id="Shape 14609" style="position:absolute;width:1905;height:0;left:0;top:0;" coordsize="190500,0" path="m190500,0l0,0">
                <v:stroke weight="0.25pt" endcap="flat" joinstyle="miter" miterlimit="10" on="true" color="#000000"/>
                <v:fill on="false" color="#000000" opacity="0"/>
              </v:shape>
              <v:shape id="Shape 1461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3045A1E3" wp14:editId="7A6044D2">
              <wp:simplePos x="0" y="0"/>
              <wp:positionH relativeFrom="page">
                <wp:posOffset>5753100</wp:posOffset>
              </wp:positionH>
              <wp:positionV relativeFrom="page">
                <wp:posOffset>8496300</wp:posOffset>
              </wp:positionV>
              <wp:extent cx="266700" cy="266700"/>
              <wp:effectExtent l="0" t="0" r="0" b="0"/>
              <wp:wrapSquare wrapText="bothSides"/>
              <wp:docPr id="14611" name="Group 1461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12" name="Shape 1461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13" name="Shape 1461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11" style="width:21pt;height:21pt;position:absolute;mso-position-horizontal-relative:page;mso-position-horizontal:absolute;margin-left:453pt;mso-position-vertical-relative:page;margin-top:669pt;" coordsize="2667,2667">
              <v:shape id="Shape 14612" style="position:absolute;width:1905;height:0;left:762;top:0;" coordsize="190500,0" path="m0,0l190500,0">
                <v:stroke weight="0.25pt" endcap="flat" joinstyle="miter" miterlimit="10" on="true" color="#000000"/>
                <v:fill on="false" color="#000000" opacity="0"/>
              </v:shape>
              <v:shape id="Shape 1461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D29205" w14:textId="77777777" w:rsidR="00D66667" w:rsidRDefault="00D66667">
      <w:pPr>
        <w:spacing w:after="0" w:line="313" w:lineRule="auto"/>
        <w:ind w:left="138" w:right="1" w:hanging="138"/>
      </w:pPr>
      <w:r>
        <w:separator/>
      </w:r>
    </w:p>
  </w:footnote>
  <w:footnote w:type="continuationSeparator" w:id="0">
    <w:p w14:paraId="0452B10D" w14:textId="77777777" w:rsidR="00D66667" w:rsidRDefault="00D66667">
      <w:pPr>
        <w:spacing w:after="0" w:line="313" w:lineRule="auto"/>
        <w:ind w:left="138" w:right="1" w:hanging="138"/>
      </w:pPr>
      <w:r>
        <w:continuationSeparator/>
      </w:r>
    </w:p>
  </w:footnote>
  <w:footnote w:id="1">
    <w:p w14:paraId="5A3D37CE" w14:textId="77777777" w:rsidR="00CF0E74" w:rsidRDefault="00000000">
      <w:pPr>
        <w:pStyle w:val="footnotedescription"/>
      </w:pPr>
      <w:r>
        <w:rPr>
          <w:rStyle w:val="footnotemark"/>
        </w:rPr>
        <w:footnoteRef/>
      </w:r>
      <w:r>
        <w:t xml:space="preserve"> This study forms a part of the project ‘Access–Authority Nexus in Farmer–Herder Conflicts’ (AAN), funded by the Danish Research Council for Development Research (</w:t>
      </w:r>
      <w:proofErr w:type="spellStart"/>
      <w:r>
        <w:t>Danida</w:t>
      </w:r>
      <w:proofErr w:type="spellEnd"/>
      <w:r>
        <w:t>) under grant number 18-14-GHA.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CDC70" w14:textId="77777777" w:rsidR="00CF0E74" w:rsidRDefault="00000000">
    <w:pPr>
      <w:spacing w:after="0" w:line="259" w:lineRule="auto"/>
      <w:ind w:right="1"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3A5A25C" wp14:editId="54524D88">
              <wp:simplePos x="0" y="0"/>
              <wp:positionH relativeFrom="page">
                <wp:posOffset>0</wp:posOffset>
              </wp:positionH>
              <wp:positionV relativeFrom="page">
                <wp:posOffset>0</wp:posOffset>
              </wp:positionV>
              <wp:extent cx="266700" cy="266700"/>
              <wp:effectExtent l="0" t="0" r="0" b="0"/>
              <wp:wrapSquare wrapText="bothSides"/>
              <wp:docPr id="14646" name="Group 1464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47" name="Shape 1464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48" name="Shape 1464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46" style="width:21pt;height:21pt;position:absolute;mso-position-horizontal-relative:page;mso-position-horizontal:absolute;margin-left:0pt;mso-position-vertical-relative:page;margin-top:0pt;" coordsize="2667,2667">
              <v:shape id="Shape 14647" style="position:absolute;width:1905;height:0;left:0;top:2667;" coordsize="190500,0" path="m190500,0l0,0">
                <v:stroke weight="0.25pt" endcap="flat" joinstyle="miter" miterlimit="10" on="true" color="#000000"/>
                <v:fill on="false" color="#000000" opacity="0"/>
              </v:shape>
              <v:shape id="Shape 1464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4753764" wp14:editId="4FDAE120">
              <wp:simplePos x="0" y="0"/>
              <wp:positionH relativeFrom="page">
                <wp:posOffset>5753100</wp:posOffset>
              </wp:positionH>
              <wp:positionV relativeFrom="page">
                <wp:posOffset>0</wp:posOffset>
              </wp:positionV>
              <wp:extent cx="266700" cy="266700"/>
              <wp:effectExtent l="0" t="0" r="0" b="0"/>
              <wp:wrapSquare wrapText="bothSides"/>
              <wp:docPr id="14649" name="Group 1464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50" name="Shape 1465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51" name="Shape 1465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49" style="width:21pt;height:21pt;position:absolute;mso-position-horizontal-relative:page;mso-position-horizontal:absolute;margin-left:453pt;mso-position-vertical-relative:page;margin-top:0pt;" coordsize="2667,2667">
              <v:shape id="Shape 14650" style="position:absolute;width:1905;height:0;left:762;top:2667;" coordsize="190500,0" path="m0,0l190500,0">
                <v:stroke weight="0.25pt" endcap="flat" joinstyle="miter" miterlimit="10" on="true" color="#000000"/>
                <v:fill on="false" color="#000000" opacity="0"/>
              </v:shape>
              <v:shape id="Shape 14651"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56</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 xml:space="preserve"> </w:t>
    </w:r>
    <w:r>
      <w:rPr>
        <w:rFonts w:ascii="Times New Roman" w:eastAsia="Times New Roman" w:hAnsi="Times New Roman" w:cs="Times New Roman"/>
        <w:sz w:val="19"/>
      </w:rPr>
      <w:t xml:space="preserve">Frank Kwaku Agyei, Lawrence Kwabena Brobbey, Paul Osei-Tutu, and Boateng </w:t>
    </w:r>
    <w:proofErr w:type="spellStart"/>
    <w:r>
      <w:rPr>
        <w:rFonts w:ascii="Times New Roman" w:eastAsia="Times New Roman" w:hAnsi="Times New Roman" w:cs="Times New Roman"/>
        <w:sz w:val="19"/>
      </w:rPr>
      <w:t>Kyereh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8C2F9" w14:textId="77777777" w:rsidR="00CF0E74"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AFB74C0" wp14:editId="3BBAA159">
              <wp:simplePos x="0" y="0"/>
              <wp:positionH relativeFrom="page">
                <wp:posOffset>0</wp:posOffset>
              </wp:positionH>
              <wp:positionV relativeFrom="page">
                <wp:posOffset>0</wp:posOffset>
              </wp:positionV>
              <wp:extent cx="266700" cy="266700"/>
              <wp:effectExtent l="0" t="0" r="0" b="0"/>
              <wp:wrapSquare wrapText="bothSides"/>
              <wp:docPr id="14622" name="Group 146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23" name="Shape 1462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24" name="Shape 1462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22" style="width:21pt;height:21pt;position:absolute;mso-position-horizontal-relative:page;mso-position-horizontal:absolute;margin-left:0pt;mso-position-vertical-relative:page;margin-top:0pt;" coordsize="2667,2667">
              <v:shape id="Shape 14623" style="position:absolute;width:1905;height:0;left:0;top:2667;" coordsize="190500,0" path="m190500,0l0,0">
                <v:stroke weight="0.25pt" endcap="flat" joinstyle="miter" miterlimit="10" on="true" color="#000000"/>
                <v:fill on="false" color="#000000" opacity="0"/>
              </v:shape>
              <v:shape id="Shape 14624"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1CCA4A2" wp14:editId="22D49167">
              <wp:simplePos x="0" y="0"/>
              <wp:positionH relativeFrom="page">
                <wp:posOffset>5753100</wp:posOffset>
              </wp:positionH>
              <wp:positionV relativeFrom="page">
                <wp:posOffset>0</wp:posOffset>
              </wp:positionV>
              <wp:extent cx="266700" cy="266700"/>
              <wp:effectExtent l="0" t="0" r="0" b="0"/>
              <wp:wrapSquare wrapText="bothSides"/>
              <wp:docPr id="14625" name="Group 1462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26" name="Shape 14626"/>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27" name="Shape 1462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25" style="width:21pt;height:21pt;position:absolute;mso-position-horizontal-relative:page;mso-position-horizontal:absolute;margin-left:453pt;mso-position-vertical-relative:page;margin-top:0pt;" coordsize="2667,2667">
              <v:shape id="Shape 14626" style="position:absolute;width:1905;height:0;left:762;top:2667;" coordsize="190500,0" path="m0,0l190500,0">
                <v:stroke weight="0.25pt" endcap="flat" joinstyle="miter" miterlimit="10" on="true" color="#000000"/>
                <v:fill on="false" color="#000000" opacity="0"/>
              </v:shape>
              <v:shape id="Shape 14627"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Violent Plains</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57</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7B5A0" w14:textId="77777777" w:rsidR="00CF0E74"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705D294" wp14:editId="756C3C79">
              <wp:simplePos x="0" y="0"/>
              <wp:positionH relativeFrom="page">
                <wp:posOffset>0</wp:posOffset>
              </wp:positionH>
              <wp:positionV relativeFrom="page">
                <wp:posOffset>0</wp:posOffset>
              </wp:positionV>
              <wp:extent cx="266700" cy="266700"/>
              <wp:effectExtent l="0" t="0" r="0" b="0"/>
              <wp:wrapSquare wrapText="bothSides"/>
              <wp:docPr id="14598" name="Group 145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599" name="Shape 1459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00" name="Shape 1460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598" style="width:21pt;height:21pt;position:absolute;mso-position-horizontal-relative:page;mso-position-horizontal:absolute;margin-left:0pt;mso-position-vertical-relative:page;margin-top:0pt;" coordsize="2667,2667">
              <v:shape id="Shape 14599" style="position:absolute;width:1905;height:0;left:0;top:2667;" coordsize="190500,0" path="m190500,0l0,0">
                <v:stroke weight="0.25pt" endcap="flat" joinstyle="miter" miterlimit="10" on="true" color="#000000"/>
                <v:fill on="false" color="#000000" opacity="0"/>
              </v:shape>
              <v:shape id="Shape 1460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5458DD73" wp14:editId="70346967">
              <wp:simplePos x="0" y="0"/>
              <wp:positionH relativeFrom="page">
                <wp:posOffset>5753100</wp:posOffset>
              </wp:positionH>
              <wp:positionV relativeFrom="page">
                <wp:posOffset>0</wp:posOffset>
              </wp:positionV>
              <wp:extent cx="266700" cy="266700"/>
              <wp:effectExtent l="0" t="0" r="0" b="0"/>
              <wp:wrapSquare wrapText="bothSides"/>
              <wp:docPr id="14601" name="Group 1460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4602" name="Shape 1460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4603" name="Shape 1460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14601" style="width:21pt;height:21pt;position:absolute;mso-position-horizontal-relative:page;mso-position-horizontal:absolute;margin-left:453pt;mso-position-vertical-relative:page;margin-top:0pt;" coordsize="2667,2667">
              <v:shape id="Shape 14602" style="position:absolute;width:1905;height:0;left:762;top:2667;" coordsize="190500,0" path="m0,0l190500,0">
                <v:stroke weight="0.25pt" endcap="flat" joinstyle="miter" miterlimit="10" on="true" color="#000000"/>
                <v:fill on="false" color="#000000" opacity="0"/>
              </v:shape>
              <v:shape id="Shape 14603"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97066"/>
    <w:multiLevelType w:val="hybridMultilevel"/>
    <w:tmpl w:val="7ADA6F80"/>
    <w:lvl w:ilvl="0" w:tplc="088A077A">
      <w:start w:val="1"/>
      <w:numFmt w:val="decimal"/>
      <w:lvlText w:val="%1."/>
      <w:lvlJc w:val="left"/>
      <w:pPr>
        <w:ind w:left="4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109C8B7E">
      <w:start w:val="1"/>
      <w:numFmt w:val="lowerLetter"/>
      <w:lvlText w:val="%2"/>
      <w:lvlJc w:val="left"/>
      <w:pPr>
        <w:ind w:left="117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D01C504A">
      <w:start w:val="1"/>
      <w:numFmt w:val="lowerRoman"/>
      <w:lvlText w:val="%3"/>
      <w:lvlJc w:val="left"/>
      <w:pPr>
        <w:ind w:left="189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8C400832">
      <w:start w:val="1"/>
      <w:numFmt w:val="decimal"/>
      <w:lvlText w:val="%4"/>
      <w:lvlJc w:val="left"/>
      <w:pPr>
        <w:ind w:left="261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C8F4E3AE">
      <w:start w:val="1"/>
      <w:numFmt w:val="lowerLetter"/>
      <w:lvlText w:val="%5"/>
      <w:lvlJc w:val="left"/>
      <w:pPr>
        <w:ind w:left="333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2CCAAF14">
      <w:start w:val="1"/>
      <w:numFmt w:val="lowerRoman"/>
      <w:lvlText w:val="%6"/>
      <w:lvlJc w:val="left"/>
      <w:pPr>
        <w:ind w:left="405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0526BDBA">
      <w:start w:val="1"/>
      <w:numFmt w:val="decimal"/>
      <w:lvlText w:val="%7"/>
      <w:lvlJc w:val="left"/>
      <w:pPr>
        <w:ind w:left="477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02A02EE4">
      <w:start w:val="1"/>
      <w:numFmt w:val="lowerLetter"/>
      <w:lvlText w:val="%8"/>
      <w:lvlJc w:val="left"/>
      <w:pPr>
        <w:ind w:left="549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564867AC">
      <w:start w:val="1"/>
      <w:numFmt w:val="lowerRoman"/>
      <w:lvlText w:val="%9"/>
      <w:lvlJc w:val="left"/>
      <w:pPr>
        <w:ind w:left="621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9956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E74"/>
    <w:rsid w:val="00082120"/>
    <w:rsid w:val="0019742D"/>
    <w:rsid w:val="002A5EE1"/>
    <w:rsid w:val="003F68B5"/>
    <w:rsid w:val="004A6CDF"/>
    <w:rsid w:val="00564C4A"/>
    <w:rsid w:val="005E212D"/>
    <w:rsid w:val="00686D4F"/>
    <w:rsid w:val="009B6A2D"/>
    <w:rsid w:val="00A23F02"/>
    <w:rsid w:val="00AC7C26"/>
    <w:rsid w:val="00C370A1"/>
    <w:rsid w:val="00CF0E74"/>
    <w:rsid w:val="00D66667"/>
    <w:rsid w:val="00DE25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FED8AD"/>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firstLine="230"/>
      <w:jc w:val="both"/>
    </w:pPr>
    <w:rPr>
      <w:rFonts w:ascii="Garamond" w:eastAsia="Garamond" w:hAnsi="Garamond" w:cs="Garamond"/>
      <w:color w:val="181717"/>
      <w:sz w:val="21"/>
      <w:lang w:bidi="en-GB"/>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paragraph" w:customStyle="1" w:styleId="footnotedescription">
    <w:name w:val="footnote description"/>
    <w:next w:val="Normal"/>
    <w:link w:val="footnotedescriptionChar"/>
    <w:hidden/>
    <w:pPr>
      <w:spacing w:after="0" w:line="313" w:lineRule="auto"/>
      <w:ind w:left="138" w:right="1" w:hanging="138"/>
      <w:jc w:val="both"/>
    </w:pPr>
    <w:rPr>
      <w:rFonts w:ascii="Garamond" w:eastAsia="Garamond" w:hAnsi="Garamond" w:cs="Garamond"/>
      <w:color w:val="181717"/>
      <w:sz w:val="17"/>
    </w:rPr>
  </w:style>
  <w:style w:type="character" w:customStyle="1" w:styleId="footnotedescriptionChar">
    <w:name w:val="footnote description Char"/>
    <w:link w:val="footnotedescription"/>
    <w:rPr>
      <w:rFonts w:ascii="Garamond" w:eastAsia="Garamond" w:hAnsi="Garamond" w:cs="Garamond"/>
      <w:color w:val="181717"/>
      <w:sz w:val="17"/>
    </w:rPr>
  </w:style>
  <w:style w:type="character" w:customStyle="1" w:styleId="footnotemark">
    <w:name w:val="footnote mark"/>
    <w:hidden/>
    <w:rPr>
      <w:rFonts w:ascii="Garamond" w:eastAsia="Garamond" w:hAnsi="Garamond" w:cs="Garamond"/>
      <w:color w:val="181717"/>
      <w:sz w:val="15"/>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dnoteText">
    <w:name w:val="endnote text"/>
    <w:basedOn w:val="Normal"/>
    <w:link w:val="EndnoteTextChar"/>
    <w:uiPriority w:val="99"/>
    <w:semiHidden/>
    <w:unhideWhenUsed/>
    <w:rsid w:val="00AC7C2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C7C26"/>
    <w:rPr>
      <w:rFonts w:ascii="Garamond" w:eastAsia="Garamond" w:hAnsi="Garamond" w:cs="Garamond"/>
      <w:color w:val="181717"/>
      <w:sz w:val="20"/>
      <w:szCs w:val="20"/>
      <w:lang w:bidi="en-GB"/>
    </w:rPr>
  </w:style>
  <w:style w:type="character" w:styleId="EndnoteReference">
    <w:name w:val="endnote reference"/>
    <w:basedOn w:val="DefaultParagraphFont"/>
    <w:uiPriority w:val="99"/>
    <w:semiHidden/>
    <w:unhideWhenUsed/>
    <w:rsid w:val="00AC7C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721B7-CF44-6B49-8D63-0F07EC2F6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6441</Words>
  <Characters>36716</Characters>
  <Application>Microsoft Office Word</Application>
  <DocSecurity>0</DocSecurity>
  <Lines>305</Lines>
  <Paragraphs>86</Paragraphs>
  <ScaleCrop>false</ScaleCrop>
  <Company/>
  <LinksUpToDate>false</LinksUpToDate>
  <CharactersWithSpaces>43071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Klaudia Wiktoria Orczykowska</cp:lastModifiedBy>
  <cp:revision>6</cp:revision>
  <dcterms:created xsi:type="dcterms:W3CDTF">2025-12-01T19:32:00Z</dcterms:created>
  <dcterms:modified xsi:type="dcterms:W3CDTF">2026-02-03T19:44:00Z</dcterms:modified>
</cp:coreProperties>
</file>