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E15CC1" w14:textId="77777777" w:rsidR="00870C18" w:rsidRDefault="00312EAA">
      <w:pPr>
        <w:pStyle w:val="Heading1"/>
      </w:pPr>
      <w:r>
        <w:t>Molecular Sex and Polymorphic Sensibilities</w:t>
      </w:r>
    </w:p>
    <w:p w14:paraId="18B0085F" w14:textId="77777777" w:rsidR="00870C18" w:rsidRDefault="00312EAA">
      <w:pPr>
        <w:pStyle w:val="Heading1"/>
      </w:pPr>
      <w:r>
        <w:t>Johanna Bruckner</w:t>
      </w:r>
    </w:p>
    <w:p w14:paraId="343DD717" w14:textId="77777777" w:rsidR="00870C18" w:rsidRDefault="00870C18">
      <w:pPr>
        <w:pStyle w:val="TextA"/>
      </w:pPr>
    </w:p>
    <w:p w14:paraId="43715822" w14:textId="62CED03C" w:rsidR="00870C18" w:rsidRDefault="00312EAA">
      <w:r>
        <w:t>Paleontologists would perhaps understand the present time as the outcome of a failed experiment with sex.</w:t>
      </w:r>
      <w:r>
        <w:rPr>
          <w:rFonts w:eastAsia="Times New Roman" w:cs="Times New Roman"/>
          <w:vertAlign w:val="superscript"/>
        </w:rPr>
        <w:footnoteReference w:id="2"/>
      </w:r>
      <w:r>
        <w:t xml:space="preserve"> This text presents a number of propositions as to how recent conceptions of the molecularization of the body might crystallize in a redistribution of the sensible. The mobility of pleasure and knowledge as capital, the expansion of global supply chains, logistical computing, planetary sharing economies, and transformations in ecological systems all have implications for human relations within the world’s political configurations. These new economic and social orders have largely benefited from advances in molecular research, hormonal and libidinal biology, virology, and sex/design. They enhance the human body, the molecular body, and employ it as biochemical and geopolitical material. </w:t>
      </w:r>
      <w:r w:rsidR="00765B2F">
        <w:t>Algorithms increasingly penetrate the micro- and nanostructures of our physical, artificial, and sexual bodies, to provide data sets for further economic and political applications.</w:t>
      </w:r>
      <w:r>
        <w:t xml:space="preserve"> For example, biological material is used to explore the genetic engineering of sex and citizenship. Gene discovery software and research allow biological materials to be encoded, forming a basis for the invention of new physical and artificial bodies, and notions of how their sexualities might perform. The imagination of sex is one of sex/design. Furthermore, nanotechnologies and artificial intelligence shape the human experience of pleasure through technical and biomedical interventions, such as robots acting as erotic partners, or through pharmaceutical experimentation, where feeling is converted into a techno-sensory product. Biological substance, then, is translated into fluid networks of information, opening up new spheres of intellectual and molecular property. The chemical industries have situated the desires of bodies within an ensemble of social relations, in which the libidinal economy serves the sex/design of </w:t>
      </w:r>
      <w:proofErr w:type="spellStart"/>
      <w:r>
        <w:t>biocapitalism</w:t>
      </w:r>
      <w:proofErr w:type="spellEnd"/>
      <w:r>
        <w:t>. In the ‘</w:t>
      </w:r>
      <w:proofErr w:type="spellStart"/>
      <w:r>
        <w:t>pharmacopornographic</w:t>
      </w:r>
      <w:proofErr w:type="spellEnd"/>
      <w:r>
        <w:t xml:space="preserve"> era’, capitalism, pornography, and the pharmaceutical industry merge to form a control society that infiltrates, penetrates, and mutates, engineering our desires from the level of hormones to pervasive media images and risk technology.</w:t>
      </w:r>
      <w:r>
        <w:rPr>
          <w:rFonts w:eastAsia="Times New Roman" w:cs="Times New Roman"/>
          <w:vertAlign w:val="superscript"/>
        </w:rPr>
        <w:footnoteReference w:id="3"/>
      </w:r>
      <w:r>
        <w:t xml:space="preserve"> In contemporary aesthetic economies, pleasure is increasingly experienced as a fragile and virtual realm. Given this techno-sensual modification of human feeling, the body is continuously subjected to speculative alteration. </w:t>
      </w:r>
    </w:p>
    <w:p w14:paraId="6E4EF4D4" w14:textId="77777777" w:rsidR="00870C18" w:rsidRDefault="00870C18">
      <w:pPr>
        <w:pStyle w:val="TextA"/>
      </w:pPr>
    </w:p>
    <w:p w14:paraId="6613591B" w14:textId="77777777" w:rsidR="00870C18" w:rsidRDefault="00312EAA">
      <w:r>
        <w:t xml:space="preserve">How might these scenarios, in which the body is thrown into a chaotic and unpredictable molecular world, enact particular situations of molecular revolutionary potential, situations that might allow for the reordering of contemporary sex/design regimes to make way for a micropolitics of the sensible? Which affectively diffracted temporalities are needed for bodies to align beyond the boundaries of representation? Within which bodily conceptions can sensual and energetic forces coexist in interrelation? Research into the molecularization of human and artificial existence clearly becomes a matter of ethical and political concern. Advances in molecular research offer a framework for recalibrating our entangled relations with the sensible world around us. Through the perpetual bending of and movement among and between human, animal, technology, sex, and atmosphere, the molecular shapes a world beyond the tangible. It pushes at the limits of the human sensorium and invents technological </w:t>
      </w:r>
      <w:r>
        <w:lastRenderedPageBreak/>
        <w:t>prostheses that now have the capacity to disorganize, reconfigure, and redistribute sensible relations and the patterns with which subjects comprehend the world.</w:t>
      </w:r>
    </w:p>
    <w:p w14:paraId="0F4E56D3" w14:textId="77777777" w:rsidR="00870C18" w:rsidRDefault="00870C18">
      <w:pPr>
        <w:pStyle w:val="TextA"/>
      </w:pPr>
    </w:p>
    <w:p w14:paraId="4B65935A" w14:textId="43DB6F26" w:rsidR="00870C18" w:rsidRDefault="00F753EF">
      <w:pPr>
        <w:pStyle w:val="Heading2"/>
      </w:pPr>
      <w:r>
        <w:t>I</w:t>
      </w:r>
      <w:r w:rsidR="00312EAA">
        <w:t>.</w:t>
      </w:r>
    </w:p>
    <w:p w14:paraId="5443CBFD" w14:textId="77777777" w:rsidR="00780CF0" w:rsidRPr="00780CF0" w:rsidRDefault="00780CF0" w:rsidP="00780CF0"/>
    <w:p w14:paraId="12D2AE1A" w14:textId="03DA32AC" w:rsidR="00870C18" w:rsidRDefault="00312EAA">
      <w:r>
        <w:t>To begin I will briefly reflect on the molecular from a labor perspective, since in the dialectic between accumulation and destitution, the molecular constitutes specific autonomies, which I will later consider in greater detail in light of Karen Barad’s work. In the final third of the 20</w:t>
      </w:r>
      <w:r>
        <w:rPr>
          <w:vertAlign w:val="superscript"/>
        </w:rPr>
        <w:t>th</w:t>
      </w:r>
      <w:r>
        <w:t xml:space="preserve"> century, work moved away from the Fordist ethos of production and toward global networks of information and finance and the realms of desire.</w:t>
      </w:r>
      <w:r>
        <w:rPr>
          <w:vertAlign w:val="superscript"/>
        </w:rPr>
        <w:t xml:space="preserve"> </w:t>
      </w:r>
      <w:r>
        <w:t>The subsequent economic reorganization of work valued the intellectual, cognitive worker through the semiotic production of meaning, and the workplace became flexible, no longer confined to the factory. Stimulated by the dissolution of labor, life and leisure, neoliberal victories over aesthetic value led to the valorization of desire as semiotics. Today’s post-Fordist regimes of cognitive labor depend on technologies as machines of desire, producing affective experiences as systems of labor.</w:t>
      </w:r>
      <w:r>
        <w:rPr>
          <w:rFonts w:eastAsia="Times New Roman" w:cs="Times New Roman"/>
          <w:vertAlign w:val="superscript"/>
        </w:rPr>
        <w:footnoteReference w:id="4"/>
      </w:r>
      <w:r>
        <w:t xml:space="preserve"> Considering these machines of desire in their molecular operational processes</w:t>
      </w:r>
      <w:r w:rsidR="00722FFD">
        <w:t xml:space="preserve"> – </w:t>
      </w:r>
      <w:r>
        <w:t>as a ‘microphysics of the unconscious’</w:t>
      </w:r>
      <w:r>
        <w:rPr>
          <w:rFonts w:eastAsia="Times New Roman" w:cs="Times New Roman"/>
          <w:vertAlign w:val="superscript"/>
        </w:rPr>
        <w:footnoteReference w:id="5"/>
      </w:r>
      <w:r w:rsidR="00722FFD">
        <w:t xml:space="preserve"> – </w:t>
      </w:r>
      <w:r>
        <w:t xml:space="preserve">they seem to exist as affective molecular aggregates. Dependent on their cognitive laborer, their viral host, they stimulate the constitution of social formations and abstract </w:t>
      </w:r>
      <w:proofErr w:type="spellStart"/>
      <w:r>
        <w:t>connectivities</w:t>
      </w:r>
      <w:proofErr w:type="spellEnd"/>
      <w:r>
        <w:t>. So, if we view the process of affection/being affected by technology not as an appropriative strategy but rather as a metamorphic virus, the machine, as well as our relationship to it, may be a catalyzing motor to break away from capital’s extraction and exploitation of our desires through affect’s potential indeterminacy</w:t>
      </w:r>
      <w:r w:rsidR="00D52193">
        <w:t xml:space="preserve">. </w:t>
      </w:r>
    </w:p>
    <w:p w14:paraId="376DDD15" w14:textId="77777777" w:rsidR="00870C18" w:rsidRDefault="00870C18">
      <w:pPr>
        <w:pStyle w:val="Heading2"/>
      </w:pPr>
    </w:p>
    <w:p w14:paraId="0CC74CF8" w14:textId="47F57D47" w:rsidR="00870C18" w:rsidRDefault="00F753EF">
      <w:pPr>
        <w:pStyle w:val="Heading2"/>
      </w:pPr>
      <w:r>
        <w:t>II</w:t>
      </w:r>
      <w:r w:rsidR="00312EAA">
        <w:t>.</w:t>
      </w:r>
    </w:p>
    <w:p w14:paraId="2FD3FADD" w14:textId="77777777" w:rsidR="00780CF0" w:rsidRPr="00780CF0" w:rsidRDefault="00780CF0" w:rsidP="00780CF0"/>
    <w:p w14:paraId="54E06D81" w14:textId="0BF1251B" w:rsidR="00870C18" w:rsidRDefault="00312EAA">
      <w:r>
        <w:t xml:space="preserve">Against this background of the transformation of the world via molecular bodies and their intimacies, my video installation </w:t>
      </w:r>
      <w:r>
        <w:rPr>
          <w:i/>
          <w:iCs/>
        </w:rPr>
        <w:t>Molecular Sex</w:t>
      </w:r>
      <w:r>
        <w:t xml:space="preserve"> (2020) proposes a sex robot aimed at liberating normative technology-led worldviews of intimate relations. </w:t>
      </w:r>
      <w:r w:rsidRPr="002F626B">
        <w:t xml:space="preserve">I </w:t>
      </w:r>
      <w:r>
        <w:t xml:space="preserve">chose to feature a </w:t>
      </w:r>
      <w:proofErr w:type="spellStart"/>
      <w:r>
        <w:t>sexbot</w:t>
      </w:r>
      <w:proofErr w:type="spellEnd"/>
      <w:r>
        <w:t xml:space="preserve"> because of the uncanny parallels between modalities of queerness and the performance of plastic. I am interested in the links between sex, plastic, and non-reproduction. Objects of sexual pleasure are chemically linked to the very plastics that, in their molecular texture, make sexual indifferences possible. Plastics carry their queerness into sex, inhibiting sexual reproduction. Sexual difference may not even turn out to have a future, as plastic mirrors a form of becoming based on technological and bacterial merging, rather than the reproductive ability of organic creatures.</w:t>
      </w:r>
      <w:r>
        <w:rPr>
          <w:rFonts w:eastAsia="Times New Roman" w:cs="Times New Roman"/>
          <w:vertAlign w:val="superscript"/>
        </w:rPr>
        <w:footnoteReference w:id="6"/>
      </w:r>
      <w:r>
        <w:t xml:space="preserve"> Plastic is actualizing a queer techno-bacterial future, since the texture of plastic functions according to the logic of dispersion and polymorphic accumulation. It is less a substance than the antithesis of a substance; a paradigm in which substance is transformed into a way of being without stable presence or meaning.</w:t>
      </w:r>
      <w:r>
        <w:rPr>
          <w:rFonts w:eastAsia="Times New Roman" w:cs="Times New Roman"/>
          <w:vertAlign w:val="superscript"/>
        </w:rPr>
        <w:footnoteReference w:id="7"/>
      </w:r>
    </w:p>
    <w:p w14:paraId="3D292F9C" w14:textId="24360F9A" w:rsidR="00E774A1" w:rsidRDefault="00E774A1"/>
    <w:p w14:paraId="7D1973AE" w14:textId="77777777" w:rsidR="00E774A1" w:rsidRDefault="00E774A1" w:rsidP="00E774A1">
      <w:r>
        <w:rPr>
          <w:noProof/>
          <w:lang w:eastAsia="en-US"/>
        </w:rPr>
        <w:lastRenderedPageBreak/>
        <w:drawing>
          <wp:inline distT="0" distB="0" distL="0" distR="0" wp14:anchorId="176F8225" wp14:editId="5927749C">
            <wp:extent cx="5727700" cy="3220720"/>
            <wp:effectExtent l="0" t="0" r="635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hannaBruckner_image1_72dpi.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220720"/>
                    </a:xfrm>
                    <a:prstGeom prst="rect">
                      <a:avLst/>
                    </a:prstGeom>
                  </pic:spPr>
                </pic:pic>
              </a:graphicData>
            </a:graphic>
          </wp:inline>
        </w:drawing>
      </w:r>
    </w:p>
    <w:p w14:paraId="49013B52" w14:textId="3E740D1E" w:rsidR="00E774A1" w:rsidRDefault="00E774A1" w:rsidP="00E774A1">
      <w:pPr>
        <w:pStyle w:val="Caption"/>
      </w:pPr>
      <w:r>
        <w:t xml:space="preserve">Fig. </w:t>
      </w:r>
      <w:r>
        <w:fldChar w:fldCharType="begin"/>
      </w:r>
      <w:r>
        <w:instrText xml:space="preserve"> SEQ Fig._ \* ARABIC </w:instrText>
      </w:r>
      <w:r>
        <w:fldChar w:fldCharType="separate"/>
      </w:r>
      <w:r>
        <w:rPr>
          <w:noProof/>
        </w:rPr>
        <w:t>1</w:t>
      </w:r>
      <w:r>
        <w:fldChar w:fldCharType="end"/>
      </w:r>
      <w:r>
        <w:t>: Molecular Sex (still), Johanna Bruckner, 2020. 4K Video.</w:t>
      </w:r>
    </w:p>
    <w:p w14:paraId="5F9BEA8C" w14:textId="77777777" w:rsidR="00780CF0" w:rsidRPr="00780CF0" w:rsidRDefault="00780CF0" w:rsidP="00780CF0"/>
    <w:p w14:paraId="677A321C" w14:textId="20F3E6B5" w:rsidR="00870C18" w:rsidRDefault="00312EAA">
      <w:r>
        <w:t xml:space="preserve">The </w:t>
      </w:r>
      <w:proofErr w:type="spellStart"/>
      <w:r>
        <w:t>sexbot’s</w:t>
      </w:r>
      <w:proofErr w:type="spellEnd"/>
      <w:r>
        <w:t xml:space="preserve"> plastics are composed of an array of chemicals, produced in precarious multi-layered processes, primarily in China. In addition to the molecules referred to as plastic, plasticizers are added for pliability, color, or heat resistance. Perhaps the most infamous of these is bisphenol A (BPA), one of a number of chemicals notorious for their reproductive toxicity. BPA blocks the human ability to reproduce through both an overexposure to the hormone estrogen and by way of endocrine disruptors that mimic hormones in the body and interfere with their functions. This sometimes has the effect of queering the gender of the body it has penetrated. Such chemicals are generally imperceptible but can have drastic effects on our, and other species’, bodies. Moreover, </w:t>
      </w:r>
      <w:proofErr w:type="spellStart"/>
      <w:r>
        <w:t>microplastics</w:t>
      </w:r>
      <w:proofErr w:type="spellEnd"/>
      <w:r w:rsidR="00722FFD">
        <w:t xml:space="preserve"> – </w:t>
      </w:r>
      <w:r>
        <w:t>multitudinous species that are slowly but irreversibly changing the environment</w:t>
      </w:r>
      <w:r w:rsidR="00722FFD">
        <w:t xml:space="preserve"> – </w:t>
      </w:r>
      <w:r>
        <w:t xml:space="preserve">hold up a mirror to the world. These complex bacterial </w:t>
      </w:r>
      <w:proofErr w:type="spellStart"/>
      <w:r>
        <w:t>meshworks</w:t>
      </w:r>
      <w:proofErr w:type="spellEnd"/>
      <w:r>
        <w:t xml:space="preserve"> infiltrate synthetic surfaces, reproducing and destroying each other, mutating and developing into new organisms dependent on the sources of energy unlocked by carbon. The reproductive systems of many creatures allow them to change sex or reproduce by cellular division. Queer new worlds are inadvertently being birthed from the human quest for alien, synthetic pleasures.</w:t>
      </w:r>
      <w:r>
        <w:rPr>
          <w:rFonts w:eastAsia="Times New Roman" w:cs="Times New Roman"/>
          <w:vertAlign w:val="superscript"/>
        </w:rPr>
        <w:footnoteReference w:id="8"/>
      </w:r>
    </w:p>
    <w:p w14:paraId="55E13ACE" w14:textId="77777777" w:rsidR="00870C18" w:rsidRDefault="00870C18">
      <w:pPr>
        <w:pStyle w:val="TextA"/>
      </w:pPr>
    </w:p>
    <w:p w14:paraId="3C99DA7C" w14:textId="7B81E395" w:rsidR="00870C18" w:rsidRDefault="00312EAA">
      <w:r>
        <w:t xml:space="preserve">The </w:t>
      </w:r>
      <w:proofErr w:type="spellStart"/>
      <w:r>
        <w:t>sexbot</w:t>
      </w:r>
      <w:proofErr w:type="spellEnd"/>
      <w:r>
        <w:t xml:space="preserve"> in </w:t>
      </w:r>
      <w:r>
        <w:rPr>
          <w:i/>
          <w:iCs/>
          <w:lang w:val="es-ES_tradnl"/>
        </w:rPr>
        <w:t xml:space="preserve">Molecular Sex </w:t>
      </w:r>
      <w:r>
        <w:t xml:space="preserve">acts as a prosthesis for the disconnecting and reconnecting body parts that circulate systemically in the virtual world. It dissolves into the atmospheres that surround it, using these body parts to inhale and exhale and to perform as various entities during the video. During the work, the robot learns its existence as a </w:t>
      </w:r>
      <w:proofErr w:type="spellStart"/>
      <w:r>
        <w:t>technoid</w:t>
      </w:r>
      <w:proofErr w:type="spellEnd"/>
      <w:r>
        <w:t xml:space="preserve"> ‘trans/material’ and ‘</w:t>
      </w:r>
      <w:proofErr w:type="spellStart"/>
      <w:r>
        <w:t>tranimal</w:t>
      </w:r>
      <w:proofErr w:type="spellEnd"/>
      <w:r>
        <w:t>’ being,</w:t>
      </w:r>
      <w:r>
        <w:rPr>
          <w:vertAlign w:val="superscript"/>
        </w:rPr>
        <w:footnoteReference w:id="9"/>
      </w:r>
      <w:r>
        <w:t xml:space="preserve"> and in so doing transforms existing principles of pleasure. First, it performs both as and with a brittle star, a deep-sea brainless animal whose body is a metamorphosing optical and sensual system. Second, it performs both as and as a host of the Wolbachia bacterium, which distorts lovemaking and sex, its bodily fluids accumulating into something like smart bombs for aleatory speciation. Third, it interacts with intersex persons, since molecular gene research has discovered that the future of sex determination involves an </w:t>
      </w:r>
      <w:r>
        <w:lastRenderedPageBreak/>
        <w:t xml:space="preserve">array of sexual variations and practices rather than a binary structure. The </w:t>
      </w:r>
      <w:proofErr w:type="spellStart"/>
      <w:r>
        <w:t>sexbot’s</w:t>
      </w:r>
      <w:proofErr w:type="spellEnd"/>
      <w:r>
        <w:t xml:space="preserve"> plastic figurations create penetrable entities that are imperceptibly but irreversibly changing our environment.</w:t>
      </w:r>
    </w:p>
    <w:p w14:paraId="4104CC75" w14:textId="77777777" w:rsidR="00780CF0" w:rsidRDefault="00780CF0"/>
    <w:p w14:paraId="18F7376F" w14:textId="77777777" w:rsidR="00E774A1" w:rsidRDefault="00E774A1" w:rsidP="00E774A1">
      <w:r>
        <w:rPr>
          <w:noProof/>
          <w:lang w:eastAsia="en-US"/>
        </w:rPr>
        <w:drawing>
          <wp:inline distT="0" distB="0" distL="0" distR="0" wp14:anchorId="582FBB00" wp14:editId="622A5BC8">
            <wp:extent cx="5727700" cy="3221990"/>
            <wp:effectExtent l="0" t="0" r="635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hannaBruckner_image2_72dp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63ADFCFC" w14:textId="0528133D" w:rsidR="00E774A1" w:rsidRDefault="00E774A1" w:rsidP="00E774A1">
      <w:pPr>
        <w:pStyle w:val="Caption"/>
      </w:pPr>
      <w:r>
        <w:t xml:space="preserve">Fig. </w:t>
      </w:r>
      <w:r>
        <w:fldChar w:fldCharType="begin"/>
      </w:r>
      <w:r>
        <w:instrText xml:space="preserve"> SEQ Fig._ \* ARABIC </w:instrText>
      </w:r>
      <w:r>
        <w:fldChar w:fldCharType="separate"/>
      </w:r>
      <w:r>
        <w:rPr>
          <w:noProof/>
        </w:rPr>
        <w:t>2</w:t>
      </w:r>
      <w:r>
        <w:fldChar w:fldCharType="end"/>
      </w:r>
      <w:r>
        <w:t>: Molecular Sex (still), Johanna Bruckner, 2020. 4K Video.</w:t>
      </w:r>
    </w:p>
    <w:p w14:paraId="4046E7B7" w14:textId="77777777" w:rsidR="00780CF0" w:rsidRPr="00780CF0" w:rsidRDefault="00780CF0" w:rsidP="00780CF0"/>
    <w:p w14:paraId="7152AEA2" w14:textId="5AD6CEC3" w:rsidR="00870C18" w:rsidRDefault="00312EAA" w:rsidP="00F753EF">
      <w:pPr>
        <w:pStyle w:val="TextA"/>
      </w:pPr>
      <w:r>
        <w:t>Let’s give these three</w:t>
      </w:r>
      <w:r>
        <w:rPr>
          <w:lang w:val="it-IT"/>
        </w:rPr>
        <w:t xml:space="preserve"> scenario</w:t>
      </w:r>
      <w:r>
        <w:t xml:space="preserve">s more detailed consideration. In one scenario, the </w:t>
      </w:r>
      <w:proofErr w:type="spellStart"/>
      <w:r>
        <w:t>sexbot</w:t>
      </w:r>
      <w:proofErr w:type="spellEnd"/>
      <w:r>
        <w:t xml:space="preserve"> acts as a brittle star</w:t>
      </w:r>
      <w:r w:rsidRPr="002F626B">
        <w:t xml:space="preserve">. </w:t>
      </w:r>
      <w:r>
        <w:t xml:space="preserve">Multi-limbed and star-shaped, this living, breathing and mutating deep-sea animal offers us an opportunity to rethink normative relationships and </w:t>
      </w:r>
      <w:proofErr w:type="spellStart"/>
      <w:r>
        <w:t>connectivities</w:t>
      </w:r>
      <w:proofErr w:type="spellEnd"/>
      <w:r>
        <w:t xml:space="preserve">. The brittle star is a body whose morphology, namely its intertwined skeletal and diffuse nervous systems, constitutes a system for visualization, since its epidermis consists entirely of </w:t>
      </w:r>
      <w:proofErr w:type="spellStart"/>
      <w:r>
        <w:t>microlenses</w:t>
      </w:r>
      <w:proofErr w:type="spellEnd"/>
      <w:r>
        <w:t xml:space="preserve">. As an animal without a brain, being and knowing, materiality and intelligibility, substance and form collapse into one another. When at risk of capture, a brittle star breaks off the threatened body part and then regrows it. During this process, it regenerates and </w:t>
      </w:r>
      <w:proofErr w:type="spellStart"/>
      <w:r>
        <w:t>autonomizes</w:t>
      </w:r>
      <w:proofErr w:type="spellEnd"/>
      <w:r>
        <w:t xml:space="preserve"> its optics and other sensualities, continually reworking its geometry, topology, and bodily boundaries. Its corporeality, materially enacted, is not a matter of being specifically situated </w:t>
      </w:r>
      <w:r>
        <w:rPr>
          <w:i/>
          <w:iCs/>
        </w:rPr>
        <w:t>in</w:t>
      </w:r>
      <w:r>
        <w:t xml:space="preserve"> the world, but rather of being </w:t>
      </w:r>
      <w:r>
        <w:rPr>
          <w:i/>
          <w:iCs/>
        </w:rPr>
        <w:t>of</w:t>
      </w:r>
      <w:r>
        <w:t xml:space="preserve"> the world in all its dynamic specificity.</w:t>
      </w:r>
      <w:r>
        <w:rPr>
          <w:vertAlign w:val="superscript"/>
        </w:rPr>
        <w:footnoteReference w:id="10"/>
      </w:r>
      <w:r>
        <w:t xml:space="preserve"> </w:t>
      </w:r>
    </w:p>
    <w:p w14:paraId="0C0273C4" w14:textId="77777777" w:rsidR="00870C18" w:rsidRDefault="00870C18">
      <w:pPr>
        <w:pStyle w:val="TextA"/>
      </w:pPr>
    </w:p>
    <w:p w14:paraId="551FE3DE" w14:textId="77777777" w:rsidR="00870C18" w:rsidRDefault="00312EAA">
      <w:r>
        <w:t>Likewise, brittle star species exhibit great diversity in sexual behavior and reproduction, be this broadcast spawning or sexual dimorphism, to take just two examples. Some are hermaphroditic and self-fertilizing, while others reproduce asexually by regenerating or cloning themselves from fragmented body parts.</w:t>
      </w:r>
      <w:r>
        <w:rPr>
          <w:rFonts w:eastAsia="Times New Roman" w:cs="Times New Roman"/>
          <w:vertAlign w:val="superscript"/>
        </w:rPr>
        <w:footnoteReference w:id="11"/>
      </w:r>
    </w:p>
    <w:p w14:paraId="4375A84B" w14:textId="77777777" w:rsidR="00870C18" w:rsidRDefault="00312EAA">
      <w:pPr>
        <w:pStyle w:val="TextA"/>
      </w:pPr>
      <w:r>
        <w:rPr>
          <w:rFonts w:eastAsia="Arial Unicode MS" w:cs="Arial Unicode MS"/>
        </w:rPr>
        <w:t xml:space="preserve"> </w:t>
      </w:r>
    </w:p>
    <w:p w14:paraId="13C62DA0" w14:textId="3B019EAB" w:rsidR="00870C18" w:rsidRDefault="00312EAA">
      <w:r>
        <w:t xml:space="preserve">Brittle stars are living nanotechnology. Their technical and sensual morphology, which allows them to respire and to repair themselves, is now being used as a blueprint for enterprises such as new software and computing operations, and designs in the fields of logistics and life sciences, as well as telecommunications, optical networks, and artificial </w:t>
      </w:r>
      <w:r>
        <w:lastRenderedPageBreak/>
        <w:t>pleasure machines aimed at chemosensory experience.</w:t>
      </w:r>
      <w:r>
        <w:rPr>
          <w:rFonts w:eastAsia="Times New Roman" w:cs="Times New Roman"/>
          <w:vertAlign w:val="superscript"/>
        </w:rPr>
        <w:footnoteReference w:id="12"/>
      </w:r>
      <w:r>
        <w:t xml:space="preserve"> The question now is not only how these queer, nonhuman animals can be appropriated for political human and technical interests, which give shape to life-forms of unknown, aleatory orientations, but also how our desires are being co-constitutively reconfigured. In the video, the </w:t>
      </w:r>
      <w:proofErr w:type="spellStart"/>
      <w:r>
        <w:t>sexbot’s</w:t>
      </w:r>
      <w:proofErr w:type="spellEnd"/>
      <w:r>
        <w:t xml:space="preserve"> intimacies are computed as diffraction patterns. But beyond potential computer software applications, our attunement to brittle star intra-action matters most in queering our understanding of and participation in networked realities and technological transformation, moving toward entangled forms of intra-participation.</w:t>
      </w:r>
    </w:p>
    <w:p w14:paraId="4830E0A2" w14:textId="77777777" w:rsidR="00780CF0" w:rsidRDefault="00780CF0"/>
    <w:p w14:paraId="1C9A0791" w14:textId="77777777" w:rsidR="00E774A1" w:rsidRDefault="00E774A1" w:rsidP="00E774A1">
      <w:r>
        <w:rPr>
          <w:noProof/>
          <w:lang w:eastAsia="en-US"/>
        </w:rPr>
        <w:drawing>
          <wp:inline distT="0" distB="0" distL="0" distR="0" wp14:anchorId="75DCBE5C" wp14:editId="141A29F1">
            <wp:extent cx="5727700" cy="3220720"/>
            <wp:effectExtent l="0" t="0" r="6350" b="0"/>
            <wp:docPr id="3" name="Grafik 3" descr="Ein Bild, das Kuch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ohannaBruckner_image3_72dpi.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220720"/>
                    </a:xfrm>
                    <a:prstGeom prst="rect">
                      <a:avLst/>
                    </a:prstGeom>
                  </pic:spPr>
                </pic:pic>
              </a:graphicData>
            </a:graphic>
          </wp:inline>
        </w:drawing>
      </w:r>
    </w:p>
    <w:p w14:paraId="4DDFAD40" w14:textId="6D76CEBE" w:rsidR="00E774A1" w:rsidRDefault="00E774A1" w:rsidP="00E774A1">
      <w:pPr>
        <w:pStyle w:val="Caption"/>
      </w:pPr>
      <w:r>
        <w:t xml:space="preserve">Fig. </w:t>
      </w:r>
      <w:r>
        <w:fldChar w:fldCharType="begin"/>
      </w:r>
      <w:r>
        <w:instrText xml:space="preserve"> SEQ Fig._ \* ARABIC </w:instrText>
      </w:r>
      <w:r>
        <w:fldChar w:fldCharType="separate"/>
      </w:r>
      <w:r>
        <w:rPr>
          <w:noProof/>
        </w:rPr>
        <w:t>3</w:t>
      </w:r>
      <w:r>
        <w:fldChar w:fldCharType="end"/>
      </w:r>
      <w:r>
        <w:t>: Molecular Sex (still), Johanna Bruckner, 2020. 4K Video.</w:t>
      </w:r>
    </w:p>
    <w:p w14:paraId="1A3880C7" w14:textId="77777777" w:rsidR="00780CF0" w:rsidRPr="00780CF0" w:rsidRDefault="00780CF0" w:rsidP="00780CF0"/>
    <w:p w14:paraId="521C71EF" w14:textId="77777777" w:rsidR="00870C18" w:rsidRDefault="00312EAA">
      <w:r>
        <w:t xml:space="preserve">In the other scenario, the bot performs as and in relation to the Wolbachia bacterium. These hardy bacteria exist and make love in ways that are not to be disrupted by climate change or even nuclear war. Love among Wolbachia bacteria often develops in the form of temporary alliances and symbiotic attachments, connections that establish themselves like a rhizome between the different target bodies of various species, regardless of their sex. Wolbachia’s queer kinship practices evolve by becoming molecular in swarms of multiplicities, with elements of the bodies crossing over into and transgressing others. Wolbachia trade genes with different species, blurring the boundaries between self and other. They sterilize the unsuspecting sexual partners of their invertebrate hosts to bring about reproductive isolation and the conditions for new speciation. They can perform gender-bending practices in host bodies, for example transforming genetic males into reproductively viable females by altering the sperm cytoplasm, that is to say the material semiotic fluid within the cell. The sperm of males infected with Wolbachia become weaponized, turning into what I previously referred to as a ‘smart bomb’. To affirm the conditions of speciation, these sperm destroy the eggs of uninfected females, moving toward new cross-species of aleatory sexual entities. As micro-biopolitical agents, these bacteria disorganize the bodies of their hosts on a molecular level. Within this context, biomedical initiatives have reinforced biopolitical strategies, exploring </w:t>
      </w:r>
      <w:r>
        <w:lastRenderedPageBreak/>
        <w:t>potential human/microbe collaborations for future technological concerns in the field of social and economic equalities.</w:t>
      </w:r>
      <w:r>
        <w:rPr>
          <w:rFonts w:eastAsia="Times New Roman" w:cs="Times New Roman"/>
          <w:vertAlign w:val="superscript"/>
        </w:rPr>
        <w:footnoteReference w:id="13"/>
      </w:r>
      <w:r>
        <w:t xml:space="preserve"> </w:t>
      </w:r>
    </w:p>
    <w:p w14:paraId="284BCE5E" w14:textId="77777777" w:rsidR="00870C18" w:rsidRDefault="00870C18">
      <w:pPr>
        <w:pStyle w:val="TextA"/>
      </w:pPr>
    </w:p>
    <w:p w14:paraId="7F38BF3E" w14:textId="4B58DBE4" w:rsidR="00870C18" w:rsidRDefault="00312EAA">
      <w:r>
        <w:t xml:space="preserve">In a further scenario, the emerging </w:t>
      </w:r>
      <w:proofErr w:type="spellStart"/>
      <w:r>
        <w:t>sexbotic</w:t>
      </w:r>
      <w:proofErr w:type="spellEnd"/>
      <w:r>
        <w:t xml:space="preserve"> figurations in the video interact with an intersex person. Instead of simple sex chromosome data</w:t>
      </w:r>
      <w:r w:rsidR="00722FFD">
        <w:t xml:space="preserve"> – </w:t>
      </w:r>
      <w:r>
        <w:t>usually XX or XY</w:t>
      </w:r>
      <w:r w:rsidR="00722FFD">
        <w:t xml:space="preserve"> – </w:t>
      </w:r>
      <w:r>
        <w:t>in the future there would be dozens of sex-related genes. Molecular genetics is therefore likely to require a shift from binary sex to quantum sex, with a dozen or more genes each conferring a small probability of male or female sex; their further emergence and design would depend on micro- and macro-environmental interactions. The forms of sexes and sexualities that might emerge from this quantum cloud of biological and environmental progress are still speculative.</w:t>
      </w:r>
      <w:r>
        <w:rPr>
          <w:rFonts w:eastAsia="Times New Roman" w:cs="Times New Roman"/>
          <w:vertAlign w:val="superscript"/>
        </w:rPr>
        <w:footnoteReference w:id="14"/>
      </w:r>
      <w:r>
        <w:t xml:space="preserve"> </w:t>
      </w:r>
    </w:p>
    <w:p w14:paraId="6090BC09" w14:textId="77777777" w:rsidR="00780CF0" w:rsidRDefault="00780CF0"/>
    <w:p w14:paraId="2B0433C4" w14:textId="77777777" w:rsidR="00E774A1" w:rsidRDefault="00E774A1" w:rsidP="00E774A1">
      <w:r>
        <w:rPr>
          <w:noProof/>
          <w:lang w:eastAsia="en-US"/>
        </w:rPr>
        <w:drawing>
          <wp:inline distT="0" distB="0" distL="0" distR="0" wp14:anchorId="319EBB2A" wp14:editId="06A4320B">
            <wp:extent cx="5727700" cy="3817620"/>
            <wp:effectExtent l="0" t="0" r="6350" b="0"/>
            <wp:docPr id="4" name="Grafik 4" descr="Ein Bild, das Monitor, drinnen, Fernsehen,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ohannaBruckner_image4_72dp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817620"/>
                    </a:xfrm>
                    <a:prstGeom prst="rect">
                      <a:avLst/>
                    </a:prstGeom>
                  </pic:spPr>
                </pic:pic>
              </a:graphicData>
            </a:graphic>
          </wp:inline>
        </w:drawing>
      </w:r>
    </w:p>
    <w:p w14:paraId="3D3BD222" w14:textId="01E64916" w:rsidR="00E774A1" w:rsidRDefault="00E774A1" w:rsidP="00E774A1">
      <w:pPr>
        <w:pStyle w:val="Caption"/>
      </w:pPr>
      <w:r>
        <w:t xml:space="preserve">Fig. </w:t>
      </w:r>
      <w:r>
        <w:fldChar w:fldCharType="begin"/>
      </w:r>
      <w:r>
        <w:instrText xml:space="preserve"> SEQ Fig._ \* ARABIC </w:instrText>
      </w:r>
      <w:r>
        <w:fldChar w:fldCharType="separate"/>
      </w:r>
      <w:r>
        <w:rPr>
          <w:noProof/>
        </w:rPr>
        <w:t>4</w:t>
      </w:r>
      <w:r>
        <w:fldChar w:fldCharType="end"/>
      </w:r>
      <w:r>
        <w:t xml:space="preserve">: Quantum Polymorphic Sensibilities. Johanna Bruckner, 2019. Installation view. Photo: Astrid </w:t>
      </w:r>
      <w:proofErr w:type="spellStart"/>
      <w:r>
        <w:t>Piethan</w:t>
      </w:r>
      <w:proofErr w:type="spellEnd"/>
      <w:r>
        <w:t>.</w:t>
      </w:r>
    </w:p>
    <w:p w14:paraId="3F0D9839" w14:textId="77777777" w:rsidR="00870C18" w:rsidRDefault="00870C18">
      <w:pPr>
        <w:pStyle w:val="TextA"/>
      </w:pPr>
    </w:p>
    <w:p w14:paraId="07958F5D" w14:textId="04B10CF7" w:rsidR="00870C18" w:rsidRDefault="00F753EF">
      <w:pPr>
        <w:pStyle w:val="Heading2"/>
      </w:pPr>
      <w:r>
        <w:t>III</w:t>
      </w:r>
      <w:r w:rsidR="00312EAA">
        <w:t>.</w:t>
      </w:r>
    </w:p>
    <w:p w14:paraId="174B1BD3" w14:textId="77777777" w:rsidR="00780CF0" w:rsidRPr="00780CF0" w:rsidRDefault="00780CF0" w:rsidP="00780CF0">
      <w:pPr>
        <w:pStyle w:val="TextA"/>
      </w:pPr>
    </w:p>
    <w:p w14:paraId="0FA98F4C" w14:textId="383A0EF2" w:rsidR="00870C18" w:rsidRDefault="00312EAA">
      <w:r>
        <w:t>In order to better understand the corporeality of technology, matter, and desire that underpin this text, let me briefly consider Karen Barad’s examinations of quantum field theory. Barad describes the inseparability of the world and object as ‘intra-action’, and conceives of reality as a continuum of intra-acting quantum entanglements.</w:t>
      </w:r>
      <w:r>
        <w:rPr>
          <w:vertAlign w:val="superscript"/>
        </w:rPr>
        <w:footnoteReference w:id="15"/>
      </w:r>
      <w:r>
        <w:rPr>
          <w:i/>
          <w:iCs/>
        </w:rPr>
        <w:t xml:space="preserve"> </w:t>
      </w:r>
      <w:r>
        <w:t>She proposes that matter is ‘characterized by self-touch</w:t>
      </w:r>
      <w:r w:rsidR="00722FFD">
        <w:t xml:space="preserve"> – </w:t>
      </w:r>
      <w:r>
        <w:t xml:space="preserve">by the interaction of the particle with the surrounding </w:t>
      </w:r>
      <w:r>
        <w:lastRenderedPageBreak/>
        <w:t>electromagnetic field or virtual particles, which it itself generates and destroys</w:t>
      </w:r>
      <w:r w:rsidR="00722FFD">
        <w:t xml:space="preserve"> – </w:t>
      </w:r>
      <w:r>
        <w:t>and in which it “comes into contact with the infinite alterity that it itself is.”’</w:t>
      </w:r>
      <w:r>
        <w:rPr>
          <w:vertAlign w:val="superscript"/>
        </w:rPr>
        <w:footnoteReference w:id="16"/>
      </w:r>
      <w:r>
        <w:t xml:space="preserve"> Touching and experiencing are thus regarded as the essence of what constitutes matter. This concept of matter always includes </w:t>
      </w:r>
      <w:proofErr w:type="spellStart"/>
      <w:r>
        <w:t>alterities</w:t>
      </w:r>
      <w:proofErr w:type="spellEnd"/>
      <w:r w:rsidR="00722FFD">
        <w:t xml:space="preserve"> – </w:t>
      </w:r>
      <w:r>
        <w:t>the virtual, the unpredictable</w:t>
      </w:r>
      <w:r w:rsidR="00722FFD">
        <w:t xml:space="preserve"> – </w:t>
      </w:r>
      <w:r>
        <w:t>and requires ‘recognition of our responsibility towards the infinity of the other.’</w:t>
      </w:r>
      <w:r>
        <w:rPr>
          <w:vertAlign w:val="superscript"/>
        </w:rPr>
        <w:footnoteReference w:id="17"/>
      </w:r>
      <w:r>
        <w:t xml:space="preserve"> In this regard, the sensible is in continuous intra-action with itself and, as such, queers, disorders, and preempts affections and the affective machine. This understanding of the indeterminacy of the machine and the self as multiplicity is for Barad a ‘superposition</w:t>
      </w:r>
      <w:r w:rsidR="00722FFD">
        <w:t xml:space="preserve"> – </w:t>
      </w:r>
      <w:r>
        <w:t>an intensification of matter beyond an ordering regime.’ In order to understand matter’s micro-agencies, Barad introduces the concept of ‘agential separability’.</w:t>
      </w:r>
      <w:r>
        <w:rPr>
          <w:vertAlign w:val="superscript"/>
        </w:rPr>
        <w:footnoteReference w:id="18"/>
      </w:r>
      <w:r>
        <w:t xml:space="preserve"> Materials differentiate in conjunction with affective forces, maintaining the object-human relation in a process of perpetual diffraction and refraction. Agential separability, the </w:t>
      </w:r>
      <w:proofErr w:type="spellStart"/>
      <w:r>
        <w:t>agentially</w:t>
      </w:r>
      <w:proofErr w:type="spellEnd"/>
      <w:r>
        <w:t xml:space="preserve"> enacted material condition of phenomena, is what shapes and reshapes matter from within. In any given situation, there are micro-agencies on the tiniest of scales within the object-human relation, which, when intensified on a larger scale, lead to micro-revolutionary crystallizations.</w:t>
      </w:r>
      <w:r>
        <w:rPr>
          <w:vertAlign w:val="superscript"/>
        </w:rPr>
        <w:footnoteReference w:id="19"/>
      </w:r>
      <w:r>
        <w:t xml:space="preserve"> Following Barad, we could consider these radical molecular crystallizations happening among particles of matter on a molecular level as ‘phenomena [that] are not located in space or time, but are material entanglements enfolded and threaded through the </w:t>
      </w:r>
      <w:proofErr w:type="spellStart"/>
      <w:r>
        <w:t>spacetimemattering</w:t>
      </w:r>
      <w:proofErr w:type="spellEnd"/>
      <w:r>
        <w:t xml:space="preserve"> of the universe.’</w:t>
      </w:r>
      <w:r>
        <w:rPr>
          <w:vertAlign w:val="superscript"/>
        </w:rPr>
        <w:footnoteReference w:id="20"/>
      </w:r>
      <w:r>
        <w:t xml:space="preserve"> Plastics do not biodegrade; they break apart, becoming smaller and smaller but remaining integral to themselves while affecting the world. These agential cuts, the micro-revolutionary formations, enact the possibilities of situational responses, which indeed produce the capability for responsibilities in each individual constellation of particles. A micro-revolutionary practice thus presupposes plural acts of becoming responsible/response-abilities. Matter, or to be more precise, our relation to our affective machines and substances, crystallizes a ‘densification of the ability to react, t</w:t>
      </w:r>
      <w:r>
        <w:rPr>
          <w:lang w:val="pt-PT"/>
        </w:rPr>
        <w:t>o respond.</w:t>
      </w:r>
      <w:r>
        <w:t>’</w:t>
      </w:r>
      <w:r>
        <w:rPr>
          <w:vertAlign w:val="superscript"/>
        </w:rPr>
        <w:footnoteReference w:id="21"/>
      </w:r>
      <w:r>
        <w:t> </w:t>
      </w:r>
    </w:p>
    <w:p w14:paraId="76EB0609" w14:textId="77777777" w:rsidR="00870C18" w:rsidRDefault="00870C18">
      <w:pPr>
        <w:pStyle w:val="TextA"/>
      </w:pPr>
    </w:p>
    <w:p w14:paraId="315386A6" w14:textId="3B7C364D" w:rsidR="00870C18" w:rsidRDefault="00312EAA">
      <w:r>
        <w:t>In more general terms, bodies and their social relations are structured by pre-symbolic or nonhuman forces</w:t>
      </w:r>
      <w:r w:rsidR="00722FFD">
        <w:t xml:space="preserve"> – </w:t>
      </w:r>
      <w:r>
        <w:t xml:space="preserve">forces that are constructed as competing micro-agencies. These subjects are bodies of multiplicities, as they are diffracted across space, time, and realities. Their embodiment is their situational embedment in the environment as well as their interaction with it, as an embodied cognition. </w:t>
      </w:r>
    </w:p>
    <w:p w14:paraId="7FBEB2DA" w14:textId="77777777" w:rsidR="00780CF0" w:rsidRDefault="00780CF0"/>
    <w:p w14:paraId="54B8616F" w14:textId="77777777" w:rsidR="00E774A1" w:rsidRDefault="00E774A1" w:rsidP="00E774A1">
      <w:r>
        <w:rPr>
          <w:noProof/>
          <w:lang w:eastAsia="en-US"/>
        </w:rPr>
        <w:lastRenderedPageBreak/>
        <w:drawing>
          <wp:inline distT="0" distB="0" distL="0" distR="0" wp14:anchorId="01C484F5" wp14:editId="556629EC">
            <wp:extent cx="5727700" cy="3221990"/>
            <wp:effectExtent l="0" t="0" r="6350" b="0"/>
            <wp:docPr id="5" name="Grafik 5" descr="Ein Bild, das Person, Man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ohannaBruckner_image5_72dpi.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0F78FAA" w14:textId="7A8E806B" w:rsidR="00E774A1" w:rsidRDefault="00E774A1" w:rsidP="00E774A1">
      <w:pPr>
        <w:pStyle w:val="Caption"/>
      </w:pPr>
      <w:r>
        <w:t xml:space="preserve">Fig. </w:t>
      </w:r>
      <w:r>
        <w:fldChar w:fldCharType="begin"/>
      </w:r>
      <w:r>
        <w:instrText xml:space="preserve"> SEQ Fig._ \* ARABIC </w:instrText>
      </w:r>
      <w:r>
        <w:fldChar w:fldCharType="separate"/>
      </w:r>
      <w:r>
        <w:rPr>
          <w:noProof/>
        </w:rPr>
        <w:t>5</w:t>
      </w:r>
      <w:r>
        <w:fldChar w:fldCharType="end"/>
      </w:r>
      <w:r>
        <w:t xml:space="preserve">: </w:t>
      </w:r>
      <w:r w:rsidRPr="0062335F">
        <w:t>Quantum Polymorphic Sensibilities, Johanna Bruckner, 2019. Performance. Photo: Guillermo Heinze.</w:t>
      </w:r>
    </w:p>
    <w:p w14:paraId="251988BC" w14:textId="77777777" w:rsidR="00780CF0" w:rsidRPr="00780CF0" w:rsidRDefault="00780CF0" w:rsidP="00780CF0"/>
    <w:p w14:paraId="6EAEB314" w14:textId="71A4E033" w:rsidR="00870C18" w:rsidRDefault="00312EAA">
      <w:r>
        <w:t xml:space="preserve">The installation considers the possibility of a futurity in which becoming one with animals and techno-objects is a collective participation in preternatural agency. Today’s sensate </w:t>
      </w:r>
      <w:proofErr w:type="spellStart"/>
      <w:r>
        <w:t>technoid</w:t>
      </w:r>
      <w:proofErr w:type="spellEnd"/>
      <w:r>
        <w:t xml:space="preserve"> body</w:t>
      </w:r>
      <w:r w:rsidR="00722FFD">
        <w:t xml:space="preserve"> – </w:t>
      </w:r>
      <w:r>
        <w:t xml:space="preserve">a body in which the boundaries between human and machine are always already displaced, and which includes </w:t>
      </w:r>
      <w:proofErr w:type="spellStart"/>
      <w:r>
        <w:t>sexbots</w:t>
      </w:r>
      <w:proofErr w:type="spellEnd"/>
      <w:r>
        <w:t xml:space="preserve"> and their artificial intelligences</w:t>
      </w:r>
      <w:r w:rsidR="00722FFD">
        <w:t xml:space="preserve"> – </w:t>
      </w:r>
      <w:r>
        <w:t>can be perceived as ‘a matter of material imploded entities, a body as dense material semiotic things; in between and not able to locate.’</w:t>
      </w:r>
      <w:r>
        <w:rPr>
          <w:vertAlign w:val="superscript"/>
        </w:rPr>
        <w:footnoteReference w:id="22"/>
      </w:r>
      <w:r>
        <w:t xml:space="preserve"> However, the point of this cyborg doll then is not to blur the boundaries between human and nonhuman, but rather to understand the materializing effects of particular ways of drawing boundaries between ‘</w:t>
      </w:r>
      <w:r>
        <w:rPr>
          <w:lang w:val="pt-PT"/>
        </w:rPr>
        <w:t>humans</w:t>
      </w:r>
      <w:r>
        <w:t>’ and ‘non-humans’.</w:t>
      </w:r>
      <w:r>
        <w:rPr>
          <w:vertAlign w:val="superscript"/>
        </w:rPr>
        <w:footnoteReference w:id="23"/>
      </w:r>
      <w:r>
        <w:t xml:space="preserve"> Their state of indeterminacy is inherent to the formation of new temporalities and spheres of desire, in which new subjects of entanglement come into being.</w:t>
      </w:r>
    </w:p>
    <w:p w14:paraId="3F18F6E2" w14:textId="77777777" w:rsidR="00870C18" w:rsidRDefault="00870C18" w:rsidP="00780CF0"/>
    <w:p w14:paraId="3BC4163E" w14:textId="37773B0E" w:rsidR="00870C18" w:rsidRDefault="00F753EF">
      <w:pPr>
        <w:pStyle w:val="Heading2"/>
      </w:pPr>
      <w:r>
        <w:t>IV</w:t>
      </w:r>
      <w:r w:rsidR="00312EAA">
        <w:t xml:space="preserve">. </w:t>
      </w:r>
    </w:p>
    <w:p w14:paraId="742153E9" w14:textId="77777777" w:rsidR="00780CF0" w:rsidRPr="00780CF0" w:rsidRDefault="00780CF0" w:rsidP="00780CF0"/>
    <w:p w14:paraId="6C960FB4" w14:textId="77777777" w:rsidR="00870C18" w:rsidRDefault="00312EAA">
      <w:r>
        <w:t xml:space="preserve">Even if the molecular is exploited as raw material, it may yet be an available resource for resistance. The brittle star, Wolbachia, and the </w:t>
      </w:r>
      <w:proofErr w:type="spellStart"/>
      <w:r>
        <w:t>plastification</w:t>
      </w:r>
      <w:proofErr w:type="spellEnd"/>
      <w:r>
        <w:t xml:space="preserve"> of the world provide examples in which the revolutionary immediacy of molecular agency can be observed as intrinsic to the non/human domain of cells and bodies. From observations of cellular behavior, a cell’s metabolic networks, </w:t>
      </w:r>
      <w:proofErr w:type="spellStart"/>
      <w:r>
        <w:t>meshworks</w:t>
      </w:r>
      <w:proofErr w:type="spellEnd"/>
      <w:r>
        <w:t xml:space="preserve">, and protein folding seem to be speculative materially enacted processes, since they do not exist beyond their relation to matter, which is, for Barad, an aleatory, agential process. What is more, the regime of financial valorization through biosecurity is in an unstable state of affairs, as it is almost impossible to invent an unspecifiable futurity within the molecular realm of economic calculation. In Barad’s approaches to matter’s capacity for intrinsic micro-agencies, the virtual is incalculable. Rather, the multitude of molecular bodily materials, as sensible relationalities, provide space for the proliferation of alternative body knowledge, for the emergence of new demands for state and corporate bodies, through the collectivization of semiotic-sensible minds. As for </w:t>
      </w:r>
      <w:r>
        <w:lastRenderedPageBreak/>
        <w:t xml:space="preserve">today’s cognitive workers, the biological self is a precariously bare entity. Of central importance are the sub-ontological zones, in which confrontation and struggle take place outside the field of the recognizable and so beyond representation itself. For example, practices of alignment via molecular processes of </w:t>
      </w:r>
      <w:proofErr w:type="spellStart"/>
      <w:r>
        <w:t>undercommoning</w:t>
      </w:r>
      <w:proofErr w:type="spellEnd"/>
      <w:r>
        <w:t xml:space="preserve"> posit the world as yet to come, with the present held as an open field for political engagement.</w:t>
      </w:r>
      <w:r>
        <w:rPr>
          <w:vertAlign w:val="superscript"/>
        </w:rPr>
        <w:footnoteReference w:id="24"/>
      </w:r>
      <w:r>
        <w:t xml:space="preserve"> This molecular </w:t>
      </w:r>
      <w:proofErr w:type="spellStart"/>
      <w:r>
        <w:t>territorialization</w:t>
      </w:r>
      <w:proofErr w:type="spellEnd"/>
      <w:r>
        <w:t xml:space="preserve"> can now refer not just to chemical and genetic processes but also to human bodies, political groupings, and assemblages: ‘molecules territorialize and </w:t>
      </w:r>
      <w:proofErr w:type="spellStart"/>
      <w:r>
        <w:t>deterritorialize</w:t>
      </w:r>
      <w:proofErr w:type="spellEnd"/>
      <w:r>
        <w:t xml:space="preserve"> by creating ever-new groupings and then branch off into other possibilities’ of human, social, and abstract </w:t>
      </w:r>
      <w:proofErr w:type="spellStart"/>
      <w:r>
        <w:t>connectivities</w:t>
      </w:r>
      <w:proofErr w:type="spellEnd"/>
      <w:r>
        <w:t>.</w:t>
      </w:r>
      <w:r>
        <w:rPr>
          <w:vertAlign w:val="superscript"/>
        </w:rPr>
        <w:footnoteReference w:id="25"/>
      </w:r>
      <w:r>
        <w:t xml:space="preserve"> The molecular temporalities that emerge, speculatively considered, generate a discontinuous history and present of their own.</w:t>
      </w:r>
      <w:r>
        <w:rPr>
          <w:vertAlign w:val="superscript"/>
        </w:rPr>
        <w:footnoteReference w:id="26"/>
      </w:r>
      <w:r>
        <w:rPr>
          <w:lang w:val="it-IT"/>
        </w:rPr>
        <w:t xml:space="preserve"> </w:t>
      </w:r>
      <w:proofErr w:type="spellStart"/>
      <w:r>
        <w:rPr>
          <w:lang w:val="it-IT"/>
        </w:rPr>
        <w:t>Matter</w:t>
      </w:r>
      <w:proofErr w:type="spellEnd"/>
      <w:r>
        <w:t>’s ongoing constitution of the sensible as a series of molecular, intra-active patterns represents queer ecologies because, in their inherently resistant nature and through their aleatory figuration, the molecular becomes an abstraction. These molecules of desire become the occasion for polymorphic anticipation and embodied micro-agencies of the sensible. This process of disaffected labor, through which molecules create, cut, separate, and re-entangle their agencies, is itself an assemblage of micro-revolutionary crystallization, whose intensifications conceive of techno-human bodies as complex ‘particles of possibility’.</w:t>
      </w:r>
      <w:r>
        <w:rPr>
          <w:vertAlign w:val="superscript"/>
        </w:rPr>
        <w:footnoteReference w:id="27"/>
      </w:r>
      <w:r>
        <w:t xml:space="preserve"> Our technological machines constitute us in relation to the matter that surrounds us. The politics of desire essentially concern these assemblages of ‘particles of possibility’ constituted by abstract machines.</w:t>
      </w:r>
      <w:r>
        <w:rPr>
          <w:vertAlign w:val="superscript"/>
        </w:rPr>
        <w:footnoteReference w:id="28"/>
      </w:r>
      <w:r>
        <w:t xml:space="preserve"> </w:t>
      </w:r>
    </w:p>
    <w:p w14:paraId="53E55BA9" w14:textId="77777777" w:rsidR="00870C18" w:rsidRDefault="00870C18">
      <w:pPr>
        <w:pStyle w:val="TextA"/>
      </w:pPr>
    </w:p>
    <w:p w14:paraId="20FA3232" w14:textId="3D9D0AF4" w:rsidR="00870C18" w:rsidRDefault="00F753EF">
      <w:pPr>
        <w:pStyle w:val="Heading2"/>
      </w:pPr>
      <w:r>
        <w:t>V</w:t>
      </w:r>
      <w:r w:rsidR="00312EAA">
        <w:t>.</w:t>
      </w:r>
    </w:p>
    <w:p w14:paraId="4CBA0F7A" w14:textId="77777777" w:rsidR="00780CF0" w:rsidRPr="00780CF0" w:rsidRDefault="00780CF0" w:rsidP="00780CF0"/>
    <w:p w14:paraId="39646CCD" w14:textId="77777777" w:rsidR="00870C18" w:rsidRDefault="00312EAA">
      <w:r>
        <w:t xml:space="preserve">To conclude, the </w:t>
      </w:r>
      <w:proofErr w:type="spellStart"/>
      <w:r>
        <w:t>sexbot</w:t>
      </w:r>
      <w:proofErr w:type="spellEnd"/>
      <w:r>
        <w:t xml:space="preserve"> proposed in my work aims to bring to the surface the underlying micro-agencies that are enhanced in the techno-affective machinic relationship between body, desire, and matter and which constitute the multitude of precarious bodies whose ‘</w:t>
      </w:r>
      <w:r>
        <w:rPr>
          <w:lang w:val="es-ES_tradnl"/>
        </w:rPr>
        <w:t>molecular joy</w:t>
      </w:r>
      <w:r>
        <w:t>’ represents the raw material of intimate-cognitive capitalism. In doing so, this work proposes that we urgently refine our cyborg politics, taking ‘pleasure in the confusion of boundaries’ and making arguments ‘for responsibility in their construction.’</w:t>
      </w:r>
      <w:r>
        <w:rPr>
          <w:vertAlign w:val="superscript"/>
        </w:rPr>
        <w:footnoteReference w:id="29"/>
      </w:r>
    </w:p>
    <w:p w14:paraId="5CAEB6A2" w14:textId="77777777" w:rsidR="00870C18" w:rsidRDefault="00870C18">
      <w:pPr>
        <w:pStyle w:val="TextA"/>
      </w:pPr>
    </w:p>
    <w:p w14:paraId="35A14D9A" w14:textId="77777777" w:rsidR="00870C18" w:rsidRDefault="00312EAA">
      <w:r>
        <w:t xml:space="preserve">The integration of artificial intelligence into </w:t>
      </w:r>
      <w:proofErr w:type="spellStart"/>
      <w:r>
        <w:t>sexbots</w:t>
      </w:r>
      <w:proofErr w:type="spellEnd"/>
      <w:r>
        <w:t xml:space="preserve"> stores information in the bot’s body, through which it learns to perform as an aleatory, molecular intra-participatory sexual species. This code and the bot’s subsequent actions are based on training, which makes modifications in intra-action with its environment. This training is based on data sets, which intra-actively generate data-</w:t>
      </w:r>
      <w:proofErr w:type="spellStart"/>
      <w:r>
        <w:t>scapes</w:t>
      </w:r>
      <w:proofErr w:type="spellEnd"/>
      <w:r>
        <w:t xml:space="preserve"> of pleasure, and which are again linked to and placed within the existing infrastructures of computing, while also redefining access and connection within computing. Rather than encouraging data’s permanence, these emerging intra-active data-</w:t>
      </w:r>
      <w:proofErr w:type="spellStart"/>
      <w:r>
        <w:t>scapes</w:t>
      </w:r>
      <w:proofErr w:type="spellEnd"/>
      <w:r>
        <w:t xml:space="preserve"> promote polygamy, polymorphism, and randomness. The code opens up networks of as-yet unknown sensual, affective knowledge: an eternal nexus of feedback within the </w:t>
      </w:r>
      <w:proofErr w:type="spellStart"/>
      <w:r>
        <w:t>sym</w:t>
      </w:r>
      <w:proofErr w:type="spellEnd"/>
      <w:r>
        <w:t xml:space="preserve">-poetic entanglement between body, sex, and technology, toward a polyrhythmic cyberspace. As a micropolitical virus, the physical and artificial body infiltrate </w:t>
      </w:r>
      <w:r>
        <w:lastRenderedPageBreak/>
        <w:t xml:space="preserve">the configuration and performance of other technical machines and their relations. Its agency should be recognized not only by its appearance as virtual pleasure, but by its ability to redistribute and contest the processes of transmission, streaming, downloading, storage, sharing, and consumption. </w:t>
      </w:r>
    </w:p>
    <w:p w14:paraId="082AE43E" w14:textId="77777777" w:rsidR="00870C18" w:rsidRDefault="00870C18">
      <w:pPr>
        <w:pStyle w:val="TextA"/>
      </w:pPr>
    </w:p>
    <w:p w14:paraId="7082C316" w14:textId="77777777" w:rsidR="00870C18" w:rsidRDefault="00312EAA">
      <w:r>
        <w:t>My starting principle for this work was the notion that the conceptions of bodies and realities proposed by artificial intelligence and such new technologies are deeply rooted in heteronormative, racist, colonial worldviews: we need to unsettle the determination of, access to, and our participation in these scenarios. Humanity must actively intervene in the disorder of biological life on all scales, in order to produce temporalities of collectively desired entanglement. What might be learned from plastics in creating political resiliency in the face of accelerating forms of biological, climatic, geologic, social, and technological change, death, and disparity? As a result of their molecular base in oil, plastics accumulate toxic potency as they move through the world and our molecular bodies.</w:t>
      </w:r>
      <w:r>
        <w:rPr>
          <w:rFonts w:eastAsia="Times New Roman" w:cs="Times New Roman"/>
          <w:vertAlign w:val="superscript"/>
        </w:rPr>
        <w:footnoteReference w:id="30"/>
      </w:r>
      <w:r>
        <w:t xml:space="preserve"> It seems to me that humanity’s most pressing requirement is a political order that corresponds to the corporeal techno-scientific practices; one that is not constrained by law, property, and nation, but is open to an ethical play beyond the current appropriation of life into the geopolitical biological apparatus. In maintaining refuges and spaces for undisciplined, wild, and unruly forms of life and knowledge, homes for inverts and techno-queer microbes and life-forms should be included too.</w:t>
      </w:r>
      <w:r>
        <w:rPr>
          <w:rFonts w:eastAsia="Times New Roman" w:cs="Times New Roman"/>
          <w:vertAlign w:val="superscript"/>
        </w:rPr>
        <w:footnoteReference w:id="31"/>
      </w:r>
      <w:r>
        <w:t xml:space="preserve"> We need to be prepared to accept unlikely allies, recognizing that our struggles are mutual, or at least directed against common enemies: the increasing liberation of markets, austerity measures, and </w:t>
      </w:r>
      <w:proofErr w:type="spellStart"/>
      <w:r>
        <w:t>extractivism</w:t>
      </w:r>
      <w:proofErr w:type="spellEnd"/>
      <w:r>
        <w:t>. The ethics of the present essentially involve finding strategies for living with toxicity, indeed accepting it as a queer future; ways of navigating horror while resisting the policies, governments, and corporations blocking new and alien life-forms from emerging.</w:t>
      </w:r>
      <w:r>
        <w:rPr>
          <w:rFonts w:eastAsia="Times New Roman" w:cs="Times New Roman"/>
          <w:vertAlign w:val="superscript"/>
        </w:rPr>
        <w:footnoteReference w:id="32"/>
      </w:r>
      <w:r>
        <w:t xml:space="preserve"> In fact, no economy of technology-led transformations in polymorphic desires, sex-related affinities, and reproductive labor yet exists. The onus is on us to create systems in which future libidinal orders can find a place to affirm non/human networks as </w:t>
      </w:r>
      <w:proofErr w:type="spellStart"/>
      <w:r>
        <w:t>undercommoning</w:t>
      </w:r>
      <w:proofErr w:type="spellEnd"/>
      <w:r>
        <w:t xml:space="preserve"> affinities and joint temporalities. </w:t>
      </w:r>
    </w:p>
    <w:p w14:paraId="63831568" w14:textId="77777777" w:rsidR="00870C18" w:rsidRDefault="00312EAA">
      <w:pPr>
        <w:pStyle w:val="TextA"/>
      </w:pPr>
      <w:r>
        <w:rPr>
          <w:rFonts w:eastAsia="Arial Unicode MS" w:cs="Arial Unicode MS"/>
          <w:u w:color="000000"/>
        </w:rPr>
        <w:t xml:space="preserve"> </w:t>
      </w:r>
    </w:p>
    <w:sectPr w:rsidR="00870C18">
      <w:headerReference w:type="default" r:id="rId12"/>
      <w:footerReference w:type="default" r:id="rId13"/>
      <w:pgSz w:w="11900" w:h="16840"/>
      <w:pgMar w:top="1417" w:right="1440" w:bottom="1134" w:left="1440" w:header="720" w:footer="720" w:gutter="0"/>
      <w:cols w:space="720"/>
      <w:bidi/>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CC937B" w14:textId="77777777" w:rsidR="00C0633D" w:rsidRDefault="00C0633D">
      <w:r>
        <w:separator/>
      </w:r>
    </w:p>
  </w:endnote>
  <w:endnote w:type="continuationSeparator" w:id="0">
    <w:p w14:paraId="75C468CB" w14:textId="77777777" w:rsidR="00C0633D" w:rsidRDefault="00C063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Segoe UI">
    <w:altName w:val="Courier New"/>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24FBE8" w14:textId="77777777" w:rsidR="00870C18" w:rsidRDefault="00870C18">
    <w:pPr>
      <w:pStyle w:val="Kopf-undFuzeilen"/>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5232B0" w14:textId="77777777" w:rsidR="00C0633D" w:rsidRDefault="00C0633D">
      <w:r>
        <w:separator/>
      </w:r>
    </w:p>
  </w:footnote>
  <w:footnote w:type="continuationSeparator" w:id="0">
    <w:p w14:paraId="683EF96A" w14:textId="77777777" w:rsidR="00C0633D" w:rsidRDefault="00C0633D">
      <w:r>
        <w:continuationSeparator/>
      </w:r>
    </w:p>
  </w:footnote>
  <w:footnote w:type="continuationNotice" w:id="1">
    <w:p w14:paraId="581D64F7" w14:textId="77777777" w:rsidR="00C0633D" w:rsidRDefault="00C0633D"/>
  </w:footnote>
  <w:footnote w:id="2">
    <w:p w14:paraId="7054E3F9" w14:textId="66431338" w:rsidR="00870C18" w:rsidRDefault="00312EAA">
      <w:pPr>
        <w:pStyle w:val="TextA"/>
      </w:pPr>
      <w:r>
        <w:rPr>
          <w:vertAlign w:val="superscript"/>
        </w:rPr>
        <w:footnoteRef/>
      </w:r>
      <w:r>
        <w:rPr>
          <w:sz w:val="20"/>
          <w:szCs w:val="20"/>
          <w:u w:color="000000"/>
          <w:vertAlign w:val="superscript"/>
        </w:rPr>
        <w:t xml:space="preserve"> </w:t>
      </w:r>
      <w:proofErr w:type="spellStart"/>
      <w:r>
        <w:rPr>
          <w:sz w:val="20"/>
          <w:szCs w:val="20"/>
          <w:u w:color="000000"/>
        </w:rPr>
        <w:t>Eben</w:t>
      </w:r>
      <w:proofErr w:type="spellEnd"/>
      <w:r>
        <w:rPr>
          <w:sz w:val="20"/>
          <w:szCs w:val="20"/>
          <w:u w:color="000000"/>
        </w:rPr>
        <w:t xml:space="preserve"> Kirksey, ‘Queer Love, Gender Bending Bacteria, and Life after the Anthropocene’, </w:t>
      </w:r>
      <w:r>
        <w:rPr>
          <w:i/>
          <w:iCs/>
          <w:sz w:val="20"/>
          <w:szCs w:val="20"/>
          <w:u w:color="000000"/>
        </w:rPr>
        <w:t>Theory, Culture, and Society</w:t>
      </w:r>
      <w:r>
        <w:rPr>
          <w:sz w:val="20"/>
          <w:szCs w:val="20"/>
          <w:u w:color="000000"/>
          <w:lang w:val="it-IT"/>
        </w:rPr>
        <w:t xml:space="preserve"> (</w:t>
      </w:r>
      <w:proofErr w:type="spellStart"/>
      <w:r>
        <w:rPr>
          <w:sz w:val="20"/>
          <w:szCs w:val="20"/>
          <w:u w:color="000000"/>
          <w:lang w:val="it-IT"/>
        </w:rPr>
        <w:t>June</w:t>
      </w:r>
      <w:proofErr w:type="spellEnd"/>
      <w:r>
        <w:rPr>
          <w:sz w:val="20"/>
          <w:szCs w:val="20"/>
          <w:u w:color="000000"/>
          <w:lang w:val="it-IT"/>
        </w:rPr>
        <w:t xml:space="preserve"> 3, 2018): </w:t>
      </w:r>
      <w:r w:rsidR="00D52193" w:rsidRPr="00D52193">
        <w:rPr>
          <w:sz w:val="20"/>
          <w:szCs w:val="20"/>
          <w:u w:color="000000"/>
          <w:lang w:val="it-IT"/>
        </w:rPr>
        <w:t>197-219</w:t>
      </w:r>
      <w:r w:rsidR="00D52193">
        <w:rPr>
          <w:sz w:val="20"/>
          <w:szCs w:val="20"/>
          <w:u w:color="000000"/>
          <w:lang w:val="it-IT"/>
        </w:rPr>
        <w:t xml:space="preserve">, </w:t>
      </w:r>
      <w:r w:rsidR="000F02B3">
        <w:rPr>
          <w:sz w:val="20"/>
          <w:szCs w:val="20"/>
          <w:u w:color="000000"/>
          <w:lang w:val="it-IT"/>
        </w:rPr>
        <w:t xml:space="preserve">p. </w:t>
      </w:r>
      <w:r w:rsidR="00D52193">
        <w:rPr>
          <w:sz w:val="20"/>
          <w:szCs w:val="20"/>
          <w:u w:color="000000"/>
          <w:lang w:val="it-IT"/>
        </w:rPr>
        <w:t>205</w:t>
      </w:r>
      <w:r>
        <w:rPr>
          <w:sz w:val="20"/>
          <w:szCs w:val="20"/>
          <w:u w:color="000000"/>
          <w:lang w:val="it-IT"/>
        </w:rPr>
        <w:t xml:space="preserve">. </w:t>
      </w:r>
    </w:p>
  </w:footnote>
  <w:footnote w:id="3">
    <w:p w14:paraId="03BAAB57" w14:textId="77777777" w:rsidR="00870C18" w:rsidRDefault="00312EAA">
      <w:pPr>
        <w:pStyle w:val="TextA"/>
      </w:pPr>
      <w:r>
        <w:rPr>
          <w:vertAlign w:val="superscript"/>
        </w:rPr>
        <w:footnoteRef/>
      </w:r>
      <w:r>
        <w:rPr>
          <w:sz w:val="20"/>
          <w:szCs w:val="20"/>
          <w:u w:color="000000"/>
          <w:lang w:val="es-ES_tradnl"/>
        </w:rPr>
        <w:t xml:space="preserve"> Paul Preciado, </w:t>
      </w:r>
      <w:proofErr w:type="spellStart"/>
      <w:r>
        <w:rPr>
          <w:i/>
          <w:iCs/>
          <w:sz w:val="20"/>
          <w:szCs w:val="20"/>
          <w:u w:color="000000"/>
        </w:rPr>
        <w:t>Testo</w:t>
      </w:r>
      <w:proofErr w:type="spellEnd"/>
      <w:r>
        <w:rPr>
          <w:i/>
          <w:iCs/>
          <w:sz w:val="20"/>
          <w:szCs w:val="20"/>
          <w:u w:color="000000"/>
        </w:rPr>
        <w:t xml:space="preserve"> Junkie: Sex, Drugs, and Biopolitics in the </w:t>
      </w:r>
      <w:proofErr w:type="spellStart"/>
      <w:r>
        <w:rPr>
          <w:i/>
          <w:iCs/>
          <w:sz w:val="20"/>
          <w:szCs w:val="20"/>
          <w:u w:color="000000"/>
        </w:rPr>
        <w:t>Pharmacopornographic</w:t>
      </w:r>
      <w:proofErr w:type="spellEnd"/>
      <w:r>
        <w:rPr>
          <w:i/>
          <w:iCs/>
          <w:sz w:val="20"/>
          <w:szCs w:val="20"/>
          <w:u w:color="000000"/>
        </w:rPr>
        <w:t xml:space="preserve"> Era</w:t>
      </w:r>
      <w:r>
        <w:rPr>
          <w:sz w:val="20"/>
          <w:szCs w:val="20"/>
          <w:u w:color="000000"/>
        </w:rPr>
        <w:t xml:space="preserve">, New York: The Feminist Press at CUNY, 2013, p. 1. </w:t>
      </w:r>
      <w:r>
        <w:rPr>
          <w:rFonts w:ascii="Arial Unicode MS" w:eastAsia="Arial Unicode MS" w:hAnsi="Arial Unicode MS" w:cs="Arial Unicode MS"/>
          <w:sz w:val="20"/>
          <w:szCs w:val="20"/>
          <w:u w:color="000000"/>
        </w:rPr>
        <w:br/>
      </w:r>
    </w:p>
  </w:footnote>
  <w:footnote w:id="4">
    <w:p w14:paraId="2B4BE107" w14:textId="2EEAFF2E" w:rsidR="00870C18" w:rsidRDefault="00312EAA">
      <w:pPr>
        <w:pStyle w:val="TextA"/>
      </w:pPr>
      <w:r>
        <w:rPr>
          <w:vertAlign w:val="superscript"/>
        </w:rPr>
        <w:footnoteRef/>
      </w:r>
      <w:r>
        <w:rPr>
          <w:sz w:val="20"/>
          <w:szCs w:val="20"/>
          <w:u w:color="000000"/>
        </w:rPr>
        <w:t xml:space="preserve"> I understand machines both as the technological framework that surrounds us, and in response to </w:t>
      </w:r>
      <w:proofErr w:type="spellStart"/>
      <w:r>
        <w:rPr>
          <w:sz w:val="20"/>
          <w:szCs w:val="20"/>
          <w:u w:color="000000"/>
        </w:rPr>
        <w:t>Fé</w:t>
      </w:r>
      <w:proofErr w:type="spellEnd"/>
      <w:r>
        <w:rPr>
          <w:sz w:val="20"/>
          <w:szCs w:val="20"/>
          <w:u w:color="000000"/>
          <w:lang w:val="it-IT"/>
        </w:rPr>
        <w:t>lix Guattari</w:t>
      </w:r>
      <w:r>
        <w:rPr>
          <w:sz w:val="20"/>
          <w:szCs w:val="20"/>
          <w:u w:color="000000"/>
        </w:rPr>
        <w:t>’s ‘</w:t>
      </w:r>
      <w:r w:rsidR="00D52193">
        <w:rPr>
          <w:sz w:val="20"/>
          <w:szCs w:val="20"/>
          <w:u w:color="000000"/>
        </w:rPr>
        <w:t>S</w:t>
      </w:r>
      <w:r>
        <w:rPr>
          <w:sz w:val="20"/>
          <w:szCs w:val="20"/>
          <w:u w:color="000000"/>
        </w:rPr>
        <w:t xml:space="preserve">ystems of </w:t>
      </w:r>
      <w:r w:rsidR="00D52193">
        <w:rPr>
          <w:sz w:val="20"/>
          <w:szCs w:val="20"/>
          <w:u w:color="000000"/>
        </w:rPr>
        <w:t>S</w:t>
      </w:r>
      <w:r>
        <w:rPr>
          <w:sz w:val="20"/>
          <w:szCs w:val="20"/>
          <w:u w:color="000000"/>
        </w:rPr>
        <w:t xml:space="preserve">emiotic </w:t>
      </w:r>
      <w:r w:rsidR="00D52193">
        <w:rPr>
          <w:sz w:val="20"/>
          <w:szCs w:val="20"/>
          <w:u w:color="000000"/>
        </w:rPr>
        <w:t>R</w:t>
      </w:r>
      <w:r>
        <w:rPr>
          <w:sz w:val="20"/>
          <w:szCs w:val="20"/>
          <w:u w:color="000000"/>
        </w:rPr>
        <w:t>elations’</w:t>
      </w:r>
      <w:r w:rsidR="00D52193">
        <w:rPr>
          <w:sz w:val="20"/>
          <w:szCs w:val="20"/>
          <w:u w:color="000000"/>
        </w:rPr>
        <w:t>,</w:t>
      </w:r>
      <w:r>
        <w:rPr>
          <w:sz w:val="20"/>
          <w:szCs w:val="20"/>
          <w:u w:color="000000"/>
        </w:rPr>
        <w:t xml:space="preserve"> in</w:t>
      </w:r>
      <w:r>
        <w:rPr>
          <w:i/>
          <w:iCs/>
          <w:sz w:val="20"/>
          <w:szCs w:val="20"/>
          <w:u w:color="000000"/>
        </w:rPr>
        <w:t xml:space="preserve"> Molecular Revolution, Psychiatry and Politics</w:t>
      </w:r>
      <w:r>
        <w:rPr>
          <w:sz w:val="20"/>
          <w:szCs w:val="20"/>
          <w:u w:color="000000"/>
        </w:rPr>
        <w:t xml:space="preserve">, London: Penguin, 1984. </w:t>
      </w:r>
    </w:p>
  </w:footnote>
  <w:footnote w:id="5">
    <w:p w14:paraId="19049AC5" w14:textId="77777777" w:rsidR="00870C18" w:rsidRDefault="00312EAA">
      <w:pPr>
        <w:pStyle w:val="TextA"/>
      </w:pPr>
      <w:r>
        <w:rPr>
          <w:vertAlign w:val="superscript"/>
        </w:rPr>
        <w:footnoteRef/>
      </w:r>
      <w:r>
        <w:rPr>
          <w:rFonts w:eastAsia="Arial Unicode MS" w:cs="Arial Unicode MS"/>
          <w:sz w:val="20"/>
          <w:szCs w:val="20"/>
          <w:u w:color="000000"/>
        </w:rPr>
        <w:t xml:space="preserve"> Félix </w:t>
      </w:r>
      <w:proofErr w:type="spellStart"/>
      <w:r>
        <w:rPr>
          <w:rFonts w:eastAsia="Arial Unicode MS" w:cs="Arial Unicode MS"/>
          <w:sz w:val="20"/>
          <w:szCs w:val="20"/>
          <w:u w:color="000000"/>
        </w:rPr>
        <w:t>Guattari</w:t>
      </w:r>
      <w:proofErr w:type="spellEnd"/>
      <w:r>
        <w:rPr>
          <w:rFonts w:eastAsia="Arial Unicode MS" w:cs="Arial Unicode MS"/>
          <w:sz w:val="20"/>
          <w:szCs w:val="20"/>
          <w:u w:color="000000"/>
        </w:rPr>
        <w:t xml:space="preserve"> and Gilles Deleuze, </w:t>
      </w:r>
      <w:r>
        <w:rPr>
          <w:rFonts w:eastAsia="Arial Unicode MS" w:cs="Arial Unicode MS"/>
          <w:i/>
          <w:iCs/>
          <w:sz w:val="20"/>
          <w:szCs w:val="20"/>
          <w:u w:color="000000"/>
        </w:rPr>
        <w:t>Anti-Oedipus</w:t>
      </w:r>
      <w:r>
        <w:rPr>
          <w:rFonts w:eastAsia="Arial Unicode MS" w:cs="Arial Unicode MS"/>
          <w:sz w:val="20"/>
          <w:szCs w:val="20"/>
          <w:u w:color="000000"/>
        </w:rPr>
        <w:t>, Minnesota: University of Minnesota Press, 1984, p. 200.</w:t>
      </w:r>
    </w:p>
  </w:footnote>
  <w:footnote w:id="6">
    <w:p w14:paraId="60B22725" w14:textId="77777777" w:rsidR="00870C18" w:rsidRDefault="00312EAA">
      <w:pPr>
        <w:pStyle w:val="TextA"/>
      </w:pPr>
      <w:r>
        <w:rPr>
          <w:vertAlign w:val="superscript"/>
        </w:rPr>
        <w:footnoteRef/>
      </w:r>
      <w:r>
        <w:rPr>
          <w:sz w:val="20"/>
          <w:szCs w:val="20"/>
          <w:u w:color="000000"/>
        </w:rPr>
        <w:t xml:space="preserve"> </w:t>
      </w:r>
      <w:r>
        <w:rPr>
          <w:sz w:val="20"/>
          <w:szCs w:val="20"/>
          <w:u w:color="000000"/>
          <w:lang w:val="nl-NL"/>
        </w:rPr>
        <w:t xml:space="preserve">Claire Colebrook, </w:t>
      </w:r>
      <w:r>
        <w:rPr>
          <w:sz w:val="20"/>
          <w:szCs w:val="20"/>
          <w:u w:color="000000"/>
        </w:rPr>
        <w:t xml:space="preserve">‘Sexual Indifference’, in Tom Cohen (ed) </w:t>
      </w:r>
      <w:proofErr w:type="spellStart"/>
      <w:r>
        <w:rPr>
          <w:i/>
          <w:iCs/>
          <w:sz w:val="20"/>
          <w:szCs w:val="20"/>
          <w:u w:color="000000"/>
        </w:rPr>
        <w:t>Telemorphosis</w:t>
      </w:r>
      <w:proofErr w:type="spellEnd"/>
      <w:r>
        <w:rPr>
          <w:i/>
          <w:iCs/>
          <w:sz w:val="20"/>
          <w:szCs w:val="20"/>
          <w:u w:color="000000"/>
        </w:rPr>
        <w:t>: Theory in the Era of Climate Change</w:t>
      </w:r>
      <w:r>
        <w:rPr>
          <w:sz w:val="20"/>
          <w:szCs w:val="20"/>
          <w:u w:color="000000"/>
          <w:lang w:val="pt-PT"/>
        </w:rPr>
        <w:t xml:space="preserve">, vol. 1, </w:t>
      </w:r>
      <w:r>
        <w:rPr>
          <w:sz w:val="20"/>
          <w:szCs w:val="20"/>
          <w:u w:color="000000"/>
        </w:rPr>
        <w:t xml:space="preserve">Ann Arbor: </w:t>
      </w:r>
      <w:proofErr w:type="spellStart"/>
      <w:r>
        <w:rPr>
          <w:sz w:val="20"/>
          <w:szCs w:val="20"/>
          <w:u w:color="000000"/>
        </w:rPr>
        <w:t>MPublishing</w:t>
      </w:r>
      <w:proofErr w:type="spellEnd"/>
      <w:r>
        <w:rPr>
          <w:sz w:val="20"/>
          <w:szCs w:val="20"/>
          <w:u w:color="000000"/>
        </w:rPr>
        <w:t xml:space="preserve">/Open Humanities Press, 2012, pp. 167-182, p. 177. </w:t>
      </w:r>
    </w:p>
  </w:footnote>
  <w:footnote w:id="7">
    <w:p w14:paraId="2D949D65" w14:textId="77777777" w:rsidR="00870C18" w:rsidRDefault="00312EAA">
      <w:pPr>
        <w:pStyle w:val="FootnoteText"/>
      </w:pPr>
      <w:r>
        <w:rPr>
          <w:vertAlign w:val="superscript"/>
        </w:rPr>
        <w:footnoteRef/>
      </w:r>
      <w:r>
        <w:rPr>
          <w:rFonts w:eastAsia="Arial Unicode MS" w:cs="Arial Unicode MS"/>
        </w:rPr>
        <w:t xml:space="preserve"> Heather Davis, ‘Imperceptibility and Accumulation: Political Strategies of Plastic’, </w:t>
      </w:r>
      <w:r>
        <w:rPr>
          <w:rFonts w:eastAsia="Arial Unicode MS" w:cs="Arial Unicode MS"/>
          <w:i/>
          <w:iCs/>
        </w:rPr>
        <w:t>Camera Obscura</w:t>
      </w:r>
      <w:r>
        <w:rPr>
          <w:rFonts w:eastAsia="Arial Unicode MS" w:cs="Arial Unicode MS"/>
        </w:rPr>
        <w:t xml:space="preserve"> 92, 32.2 (2016): 186-193, p. 188.</w:t>
      </w:r>
    </w:p>
  </w:footnote>
  <w:footnote w:id="8">
    <w:p w14:paraId="3966F532" w14:textId="77777777" w:rsidR="00870C18" w:rsidRDefault="00312EAA">
      <w:pPr>
        <w:pStyle w:val="TextA"/>
      </w:pPr>
      <w:r>
        <w:rPr>
          <w:vertAlign w:val="superscript"/>
        </w:rPr>
        <w:footnoteRef/>
      </w:r>
      <w:r>
        <w:rPr>
          <w:rFonts w:eastAsia="Arial Unicode MS" w:cs="Arial Unicode MS"/>
          <w:sz w:val="20"/>
          <w:szCs w:val="20"/>
          <w:u w:color="000000"/>
          <w:vertAlign w:val="superscript"/>
        </w:rPr>
        <w:t xml:space="preserve"> </w:t>
      </w:r>
      <w:r>
        <w:rPr>
          <w:rFonts w:eastAsia="Arial Unicode MS" w:cs="Arial Unicode MS"/>
          <w:sz w:val="20"/>
          <w:szCs w:val="20"/>
          <w:u w:color="000000"/>
        </w:rPr>
        <w:t>Davis, ‘Imperceptibility and Accumulation’.</w:t>
      </w:r>
    </w:p>
  </w:footnote>
  <w:footnote w:id="9">
    <w:p w14:paraId="3DD96046" w14:textId="24685F20" w:rsidR="00870C18" w:rsidRDefault="00312EAA">
      <w:pPr>
        <w:pStyle w:val="TextA"/>
      </w:pPr>
      <w:r>
        <w:rPr>
          <w:vertAlign w:val="superscript"/>
        </w:rPr>
        <w:footnoteRef/>
      </w:r>
      <w:r>
        <w:rPr>
          <w:sz w:val="20"/>
          <w:szCs w:val="20"/>
          <w:u w:color="000000"/>
        </w:rPr>
        <w:t xml:space="preserve"> Kirksey, ‘</w:t>
      </w:r>
      <w:r>
        <w:rPr>
          <w:sz w:val="20"/>
          <w:szCs w:val="20"/>
          <w:u w:color="000000"/>
          <w:lang w:val="nl-NL"/>
        </w:rPr>
        <w:t>Queer Love</w:t>
      </w:r>
      <w:r>
        <w:rPr>
          <w:sz w:val="20"/>
          <w:szCs w:val="20"/>
          <w:u w:color="000000"/>
        </w:rPr>
        <w:t>’</w:t>
      </w:r>
      <w:r>
        <w:rPr>
          <w:sz w:val="20"/>
          <w:szCs w:val="20"/>
          <w:u w:color="000000"/>
          <w:lang w:val="it-IT"/>
        </w:rPr>
        <w:t>, p</w:t>
      </w:r>
      <w:r w:rsidR="000E673A">
        <w:rPr>
          <w:sz w:val="20"/>
          <w:szCs w:val="20"/>
          <w:u w:color="000000"/>
          <w:lang w:val="it-IT"/>
        </w:rPr>
        <w:t>p</w:t>
      </w:r>
      <w:r>
        <w:rPr>
          <w:sz w:val="20"/>
          <w:szCs w:val="20"/>
          <w:u w:color="000000"/>
          <w:lang w:val="it-IT"/>
        </w:rPr>
        <w:t>. 6f</w:t>
      </w:r>
      <w:r w:rsidR="003A1968">
        <w:rPr>
          <w:sz w:val="20"/>
          <w:szCs w:val="20"/>
          <w:u w:color="000000"/>
          <w:lang w:val="it-IT"/>
        </w:rPr>
        <w:t>.</w:t>
      </w:r>
      <w:r>
        <w:rPr>
          <w:sz w:val="20"/>
          <w:szCs w:val="20"/>
          <w:u w:color="000000"/>
          <w:lang w:val="it-IT"/>
        </w:rPr>
        <w:t xml:space="preserve">, </w:t>
      </w:r>
      <w:proofErr w:type="spellStart"/>
      <w:r>
        <w:rPr>
          <w:sz w:val="20"/>
          <w:szCs w:val="20"/>
          <w:u w:color="000000"/>
          <w:lang w:val="it-IT"/>
        </w:rPr>
        <w:t>quoting</w:t>
      </w:r>
      <w:proofErr w:type="spellEnd"/>
      <w:r>
        <w:rPr>
          <w:sz w:val="20"/>
          <w:szCs w:val="20"/>
          <w:u w:color="000000"/>
        </w:rPr>
        <w:t xml:space="preserve"> Kelley and Hayward, </w:t>
      </w:r>
      <w:r w:rsidR="00C4396A">
        <w:rPr>
          <w:sz w:val="20"/>
          <w:szCs w:val="20"/>
          <w:u w:color="000000"/>
        </w:rPr>
        <w:t>‘</w:t>
      </w:r>
      <w:r>
        <w:rPr>
          <w:sz w:val="20"/>
          <w:szCs w:val="20"/>
          <w:u w:color="000000"/>
        </w:rPr>
        <w:t xml:space="preserve">Carnal </w:t>
      </w:r>
      <w:r w:rsidR="006C7AFC">
        <w:rPr>
          <w:sz w:val="20"/>
          <w:szCs w:val="20"/>
          <w:u w:color="000000"/>
        </w:rPr>
        <w:t>L</w:t>
      </w:r>
      <w:r>
        <w:rPr>
          <w:sz w:val="20"/>
          <w:szCs w:val="20"/>
          <w:u w:color="000000"/>
        </w:rPr>
        <w:t>ight: Following the White Rabbit</w:t>
      </w:r>
      <w:r w:rsidR="00C4396A">
        <w:rPr>
          <w:sz w:val="20"/>
          <w:szCs w:val="20"/>
          <w:u w:color="000000"/>
        </w:rPr>
        <w:t>’</w:t>
      </w:r>
      <w:r>
        <w:rPr>
          <w:sz w:val="20"/>
          <w:szCs w:val="20"/>
          <w:u w:color="000000"/>
        </w:rPr>
        <w:t xml:space="preserve">, </w:t>
      </w:r>
      <w:r>
        <w:rPr>
          <w:i/>
          <w:iCs/>
          <w:sz w:val="20"/>
          <w:szCs w:val="20"/>
          <w:u w:color="000000"/>
        </w:rPr>
        <w:t>parallax</w:t>
      </w:r>
      <w:r>
        <w:rPr>
          <w:sz w:val="20"/>
          <w:szCs w:val="20"/>
          <w:u w:color="000000"/>
        </w:rPr>
        <w:t xml:space="preserve"> 19.1 (2010): 114-127.</w:t>
      </w:r>
    </w:p>
  </w:footnote>
  <w:footnote w:id="10">
    <w:p w14:paraId="574F207D" w14:textId="13FF28D3" w:rsidR="00870C18" w:rsidRDefault="00312EAA">
      <w:pPr>
        <w:pStyle w:val="TextA"/>
      </w:pPr>
      <w:r>
        <w:rPr>
          <w:vertAlign w:val="superscript"/>
        </w:rPr>
        <w:footnoteRef/>
      </w:r>
      <w:r>
        <w:rPr>
          <w:rFonts w:eastAsia="Arial Unicode MS" w:cs="Arial Unicode MS"/>
          <w:sz w:val="20"/>
          <w:szCs w:val="20"/>
          <w:u w:color="000000"/>
          <w:vertAlign w:val="superscript"/>
        </w:rPr>
        <w:t xml:space="preserve"> </w:t>
      </w:r>
      <w:r>
        <w:rPr>
          <w:rFonts w:eastAsia="Arial Unicode MS" w:cs="Arial Unicode MS"/>
          <w:sz w:val="20"/>
          <w:szCs w:val="20"/>
          <w:u w:color="000000"/>
        </w:rPr>
        <w:t xml:space="preserve">Karen Barad, ‘Invertebrate </w:t>
      </w:r>
      <w:r w:rsidR="006C7AFC">
        <w:rPr>
          <w:rFonts w:eastAsia="Arial Unicode MS" w:cs="Arial Unicode MS"/>
          <w:sz w:val="20"/>
          <w:szCs w:val="20"/>
          <w:u w:color="000000"/>
        </w:rPr>
        <w:t>V</w:t>
      </w:r>
      <w:r>
        <w:rPr>
          <w:rFonts w:eastAsia="Arial Unicode MS" w:cs="Arial Unicode MS"/>
          <w:sz w:val="20"/>
          <w:szCs w:val="20"/>
          <w:u w:color="000000"/>
        </w:rPr>
        <w:t xml:space="preserve">isions: </w:t>
      </w:r>
      <w:r w:rsidR="006C7AFC">
        <w:rPr>
          <w:rFonts w:eastAsia="Arial Unicode MS" w:cs="Arial Unicode MS"/>
          <w:sz w:val="20"/>
          <w:szCs w:val="20"/>
          <w:u w:color="000000"/>
        </w:rPr>
        <w:t>D</w:t>
      </w:r>
      <w:r>
        <w:rPr>
          <w:rFonts w:eastAsia="Arial Unicode MS" w:cs="Arial Unicode MS"/>
          <w:sz w:val="20"/>
          <w:szCs w:val="20"/>
          <w:u w:color="000000"/>
        </w:rPr>
        <w:t xml:space="preserve">iffractions of the </w:t>
      </w:r>
      <w:proofErr w:type="spellStart"/>
      <w:r w:rsidR="006C7AFC">
        <w:rPr>
          <w:rFonts w:eastAsia="Arial Unicode MS" w:cs="Arial Unicode MS"/>
          <w:sz w:val="20"/>
          <w:szCs w:val="20"/>
          <w:u w:color="000000"/>
        </w:rPr>
        <w:t>B</w:t>
      </w:r>
      <w:r>
        <w:rPr>
          <w:rFonts w:eastAsia="Arial Unicode MS" w:cs="Arial Unicode MS"/>
          <w:sz w:val="20"/>
          <w:szCs w:val="20"/>
          <w:u w:color="000000"/>
        </w:rPr>
        <w:t>rittlestar</w:t>
      </w:r>
      <w:proofErr w:type="spellEnd"/>
      <w:r>
        <w:rPr>
          <w:rFonts w:eastAsia="Arial Unicode MS" w:cs="Arial Unicode MS"/>
          <w:sz w:val="20"/>
          <w:szCs w:val="20"/>
          <w:u w:color="000000"/>
        </w:rPr>
        <w:t xml:space="preserve">’, in </w:t>
      </w:r>
      <w:proofErr w:type="spellStart"/>
      <w:r>
        <w:rPr>
          <w:rFonts w:eastAsia="Arial Unicode MS" w:cs="Arial Unicode MS"/>
          <w:sz w:val="20"/>
          <w:szCs w:val="20"/>
          <w:u w:color="000000"/>
        </w:rPr>
        <w:t>Eben</w:t>
      </w:r>
      <w:proofErr w:type="spellEnd"/>
      <w:r>
        <w:rPr>
          <w:rFonts w:eastAsia="Arial Unicode MS" w:cs="Arial Unicode MS"/>
          <w:sz w:val="20"/>
          <w:szCs w:val="20"/>
          <w:u w:color="000000"/>
        </w:rPr>
        <w:t xml:space="preserve"> Kirksey (ed) </w:t>
      </w:r>
      <w:r>
        <w:rPr>
          <w:rFonts w:eastAsia="Arial Unicode MS" w:cs="Arial Unicode MS"/>
          <w:i/>
          <w:iCs/>
          <w:sz w:val="20"/>
          <w:szCs w:val="20"/>
          <w:u w:color="000000"/>
        </w:rPr>
        <w:t>The Multispecies Salon</w:t>
      </w:r>
      <w:r>
        <w:rPr>
          <w:rFonts w:eastAsia="Arial Unicode MS" w:cs="Arial Unicode MS"/>
          <w:sz w:val="20"/>
          <w:szCs w:val="20"/>
          <w:u w:color="000000"/>
        </w:rPr>
        <w:t>, Durham: Duke University Press, 2014, pp. 221-236.</w:t>
      </w:r>
    </w:p>
  </w:footnote>
  <w:footnote w:id="11">
    <w:p w14:paraId="119E4B0E" w14:textId="28AE9CBB" w:rsidR="00870C18" w:rsidRDefault="00312EAA">
      <w:pPr>
        <w:pStyle w:val="TextA"/>
      </w:pPr>
      <w:r>
        <w:rPr>
          <w:vertAlign w:val="superscript"/>
        </w:rPr>
        <w:footnoteRef/>
      </w:r>
      <w:r>
        <w:rPr>
          <w:rFonts w:eastAsia="Arial Unicode MS" w:cs="Arial Unicode MS"/>
          <w:sz w:val="20"/>
          <w:szCs w:val="20"/>
          <w:u w:color="000000"/>
        </w:rPr>
        <w:t xml:space="preserve"> </w:t>
      </w:r>
      <w:proofErr w:type="spellStart"/>
      <w:r w:rsidR="00EB78B6">
        <w:rPr>
          <w:rFonts w:eastAsia="Arial Unicode MS" w:cs="Arial Unicode MS"/>
          <w:sz w:val="20"/>
          <w:szCs w:val="20"/>
          <w:u w:color="000000"/>
        </w:rPr>
        <w:t>Barad</w:t>
      </w:r>
      <w:proofErr w:type="spellEnd"/>
      <w:r w:rsidR="00EB78B6">
        <w:rPr>
          <w:rFonts w:eastAsia="Arial Unicode MS" w:cs="Arial Unicode MS"/>
          <w:sz w:val="20"/>
          <w:szCs w:val="20"/>
          <w:u w:color="000000"/>
        </w:rPr>
        <w:t>, ‘Invertebrate Visions</w:t>
      </w:r>
      <w:r w:rsidR="00EB78B6">
        <w:rPr>
          <w:rFonts w:eastAsia="Arial Unicode MS" w:cs="Arial Unicode MS"/>
          <w:sz w:val="20"/>
          <w:szCs w:val="20"/>
          <w:u w:color="000000"/>
        </w:rPr>
        <w:t>’</w:t>
      </w:r>
      <w:r>
        <w:rPr>
          <w:rFonts w:eastAsia="Arial Unicode MS" w:cs="Arial Unicode MS"/>
          <w:sz w:val="20"/>
          <w:szCs w:val="20"/>
          <w:u w:color="000000"/>
        </w:rPr>
        <w:t>.</w:t>
      </w:r>
    </w:p>
  </w:footnote>
  <w:footnote w:id="12">
    <w:p w14:paraId="00B2244B" w14:textId="206D6906" w:rsidR="00870C18" w:rsidRDefault="00312EAA">
      <w:pPr>
        <w:pStyle w:val="TextA"/>
      </w:pPr>
      <w:r>
        <w:rPr>
          <w:vertAlign w:val="superscript"/>
        </w:rPr>
        <w:footnoteRef/>
      </w:r>
      <w:r>
        <w:rPr>
          <w:rFonts w:eastAsia="Arial Unicode MS" w:cs="Arial Unicode MS"/>
          <w:sz w:val="20"/>
          <w:szCs w:val="20"/>
          <w:u w:color="000000"/>
        </w:rPr>
        <w:t xml:space="preserve"> </w:t>
      </w:r>
      <w:proofErr w:type="spellStart"/>
      <w:r w:rsidR="00EB78B6">
        <w:rPr>
          <w:rFonts w:eastAsia="Arial Unicode MS" w:cs="Arial Unicode MS"/>
          <w:sz w:val="20"/>
          <w:szCs w:val="20"/>
          <w:u w:color="000000"/>
        </w:rPr>
        <w:t>Barad</w:t>
      </w:r>
      <w:proofErr w:type="spellEnd"/>
      <w:r w:rsidR="00EB78B6">
        <w:rPr>
          <w:rFonts w:eastAsia="Arial Unicode MS" w:cs="Arial Unicode MS"/>
          <w:sz w:val="20"/>
          <w:szCs w:val="20"/>
          <w:u w:color="000000"/>
        </w:rPr>
        <w:t>, ‘Invertebrate Visions</w:t>
      </w:r>
      <w:r w:rsidR="00EB78B6">
        <w:rPr>
          <w:rFonts w:eastAsia="Arial Unicode MS" w:cs="Arial Unicode MS"/>
          <w:sz w:val="20"/>
          <w:szCs w:val="20"/>
          <w:u w:color="000000"/>
        </w:rPr>
        <w:t>’</w:t>
      </w:r>
      <w:r>
        <w:rPr>
          <w:rFonts w:eastAsia="Arial Unicode MS" w:cs="Arial Unicode MS"/>
          <w:sz w:val="20"/>
          <w:szCs w:val="20"/>
          <w:u w:color="000000"/>
        </w:rPr>
        <w:t>.</w:t>
      </w:r>
    </w:p>
  </w:footnote>
  <w:footnote w:id="13">
    <w:p w14:paraId="4D26FA4E" w14:textId="5316119C" w:rsidR="00870C18" w:rsidRDefault="00312EAA">
      <w:pPr>
        <w:pStyle w:val="FootnoteText"/>
      </w:pPr>
      <w:r>
        <w:rPr>
          <w:vertAlign w:val="superscript"/>
        </w:rPr>
        <w:footnoteRef/>
      </w:r>
      <w:r>
        <w:rPr>
          <w:rFonts w:eastAsia="Arial Unicode MS" w:cs="Arial Unicode MS"/>
        </w:rPr>
        <w:t xml:space="preserve"> Kirksey, ‘Queer Love’, </w:t>
      </w:r>
      <w:r w:rsidR="000E673A">
        <w:rPr>
          <w:rFonts w:eastAsia="Arial Unicode MS" w:cs="Arial Unicode MS"/>
        </w:rPr>
        <w:t>p</w:t>
      </w:r>
      <w:r>
        <w:rPr>
          <w:rFonts w:eastAsia="Arial Unicode MS" w:cs="Arial Unicode MS"/>
        </w:rPr>
        <w:t>p. 4ff</w:t>
      </w:r>
      <w:r w:rsidR="003A1968">
        <w:rPr>
          <w:rFonts w:eastAsia="Arial Unicode MS" w:cs="Arial Unicode MS"/>
        </w:rPr>
        <w:t>.</w:t>
      </w:r>
      <w:r>
        <w:rPr>
          <w:rFonts w:eastAsia="Arial Unicode MS" w:cs="Arial Unicode MS"/>
        </w:rPr>
        <w:t xml:space="preserve">; Donna Haraway, </w:t>
      </w:r>
      <w:r>
        <w:rPr>
          <w:rFonts w:eastAsia="Arial Unicode MS" w:cs="Arial Unicode MS"/>
          <w:i/>
          <w:iCs/>
        </w:rPr>
        <w:t xml:space="preserve">Staying with the Trouble: Making Kin in the </w:t>
      </w:r>
      <w:proofErr w:type="spellStart"/>
      <w:r>
        <w:rPr>
          <w:rFonts w:eastAsia="Arial Unicode MS" w:cs="Arial Unicode MS"/>
          <w:i/>
          <w:iCs/>
        </w:rPr>
        <w:t>Chthulucene</w:t>
      </w:r>
      <w:proofErr w:type="spellEnd"/>
      <w:r>
        <w:rPr>
          <w:rFonts w:eastAsia="Arial Unicode MS" w:cs="Arial Unicode MS"/>
        </w:rPr>
        <w:t>, Durham: Duke University Press, 2016, p. 101.</w:t>
      </w:r>
    </w:p>
  </w:footnote>
  <w:footnote w:id="14">
    <w:p w14:paraId="6B5D70DB" w14:textId="77777777" w:rsidR="00870C18" w:rsidRDefault="00312EAA">
      <w:pPr>
        <w:pStyle w:val="TextA"/>
      </w:pPr>
      <w:r>
        <w:rPr>
          <w:vertAlign w:val="superscript"/>
        </w:rPr>
        <w:footnoteRef/>
      </w:r>
      <w:r>
        <w:rPr>
          <w:sz w:val="20"/>
          <w:szCs w:val="20"/>
          <w:u w:color="000000"/>
          <w:vertAlign w:val="superscript"/>
        </w:rPr>
        <w:t xml:space="preserve"> </w:t>
      </w:r>
      <w:r>
        <w:rPr>
          <w:sz w:val="20"/>
          <w:szCs w:val="20"/>
          <w:u w:color="000000"/>
          <w:lang w:val="it-IT"/>
        </w:rPr>
        <w:t xml:space="preserve">Vernon A. Rosario, </w:t>
      </w:r>
      <w:r>
        <w:rPr>
          <w:i/>
          <w:iCs/>
          <w:sz w:val="20"/>
          <w:szCs w:val="20"/>
          <w:u w:color="000000"/>
        </w:rPr>
        <w:t>Quantum Sex: Intersex and the Molecular Deconstruction of Sex</w:t>
      </w:r>
      <w:r>
        <w:rPr>
          <w:sz w:val="20"/>
          <w:szCs w:val="20"/>
          <w:u w:color="000000"/>
        </w:rPr>
        <w:t xml:space="preserve">, Durham: Duke University Press, 2009. </w:t>
      </w:r>
    </w:p>
  </w:footnote>
  <w:footnote w:id="15">
    <w:p w14:paraId="7ABF63C9" w14:textId="6C72A14E" w:rsidR="00870C18" w:rsidRDefault="00312EAA">
      <w:pPr>
        <w:pStyle w:val="TextA"/>
      </w:pPr>
      <w:r>
        <w:rPr>
          <w:vertAlign w:val="superscript"/>
        </w:rPr>
        <w:footnoteRef/>
      </w:r>
      <w:r>
        <w:rPr>
          <w:rFonts w:eastAsia="Arial Unicode MS" w:cs="Arial Unicode MS"/>
          <w:sz w:val="20"/>
          <w:szCs w:val="20"/>
          <w:u w:color="000000"/>
        </w:rPr>
        <w:t xml:space="preserve"> Karen Barad, ‘Quantum Entanglements and Hauntological Relations of Inheritance: Dis/continuities, </w:t>
      </w:r>
      <w:proofErr w:type="spellStart"/>
      <w:r>
        <w:rPr>
          <w:rFonts w:eastAsia="Arial Unicode MS" w:cs="Arial Unicode MS"/>
          <w:sz w:val="20"/>
          <w:szCs w:val="20"/>
          <w:u w:color="000000"/>
        </w:rPr>
        <w:t>SpaceTime</w:t>
      </w:r>
      <w:proofErr w:type="spellEnd"/>
      <w:r>
        <w:rPr>
          <w:rFonts w:eastAsia="Arial Unicode MS" w:cs="Arial Unicode MS"/>
          <w:sz w:val="20"/>
          <w:szCs w:val="20"/>
          <w:u w:color="000000"/>
        </w:rPr>
        <w:t xml:space="preserve"> </w:t>
      </w:r>
      <w:proofErr w:type="spellStart"/>
      <w:r>
        <w:rPr>
          <w:rFonts w:eastAsia="Arial Unicode MS" w:cs="Arial Unicode MS"/>
          <w:sz w:val="20"/>
          <w:szCs w:val="20"/>
          <w:u w:color="000000"/>
        </w:rPr>
        <w:t>Enfoldings</w:t>
      </w:r>
      <w:proofErr w:type="spellEnd"/>
      <w:r>
        <w:rPr>
          <w:rFonts w:eastAsia="Arial Unicode MS" w:cs="Arial Unicode MS"/>
          <w:sz w:val="20"/>
          <w:szCs w:val="20"/>
          <w:u w:color="000000"/>
        </w:rPr>
        <w:t xml:space="preserve">, and Justice-to-Come’, </w:t>
      </w:r>
      <w:r>
        <w:rPr>
          <w:rFonts w:eastAsia="Arial Unicode MS" w:cs="Arial Unicode MS"/>
          <w:i/>
          <w:iCs/>
          <w:sz w:val="20"/>
          <w:szCs w:val="20"/>
          <w:u w:color="000000"/>
        </w:rPr>
        <w:t xml:space="preserve">Derrida Today </w:t>
      </w:r>
      <w:r>
        <w:rPr>
          <w:rFonts w:eastAsia="Arial Unicode MS" w:cs="Arial Unicode MS"/>
          <w:sz w:val="20"/>
          <w:szCs w:val="20"/>
          <w:u w:color="000000"/>
        </w:rPr>
        <w:t>3.2</w:t>
      </w:r>
      <w:r w:rsidRPr="002F626B">
        <w:rPr>
          <w:rFonts w:eastAsia="Arial Unicode MS" w:cs="Arial Unicode MS"/>
          <w:sz w:val="20"/>
          <w:szCs w:val="20"/>
          <w:u w:color="000000"/>
        </w:rPr>
        <w:t xml:space="preserve">, </w:t>
      </w:r>
      <w:r>
        <w:rPr>
          <w:rFonts w:eastAsia="Arial Unicode MS" w:cs="Arial Unicode MS"/>
          <w:sz w:val="20"/>
          <w:szCs w:val="20"/>
          <w:u w:color="000000"/>
        </w:rPr>
        <w:t>2010</w:t>
      </w:r>
      <w:r w:rsidR="003A1968">
        <w:rPr>
          <w:rFonts w:eastAsia="Arial Unicode MS" w:cs="Arial Unicode MS"/>
          <w:sz w:val="20"/>
          <w:szCs w:val="20"/>
          <w:u w:color="000000"/>
        </w:rPr>
        <w:t>:</w:t>
      </w:r>
      <w:r w:rsidRPr="002F626B">
        <w:rPr>
          <w:rFonts w:eastAsia="Arial Unicode MS" w:cs="Arial Unicode MS"/>
          <w:sz w:val="20"/>
          <w:szCs w:val="20"/>
          <w:u w:color="000000"/>
        </w:rPr>
        <w:t xml:space="preserve"> </w:t>
      </w:r>
      <w:r>
        <w:rPr>
          <w:rFonts w:eastAsia="Arial Unicode MS" w:cs="Arial Unicode MS"/>
          <w:sz w:val="20"/>
          <w:szCs w:val="20"/>
          <w:u w:color="000000"/>
        </w:rPr>
        <w:t>240-268, p. 246ff</w:t>
      </w:r>
      <w:r w:rsidR="003A1968">
        <w:rPr>
          <w:rFonts w:eastAsia="Arial Unicode MS" w:cs="Arial Unicode MS"/>
          <w:sz w:val="20"/>
          <w:szCs w:val="20"/>
          <w:u w:color="000000"/>
        </w:rPr>
        <w:t>.</w:t>
      </w:r>
      <w:r>
        <w:rPr>
          <w:rFonts w:eastAsia="Arial Unicode MS" w:cs="Arial Unicode MS"/>
          <w:sz w:val="20"/>
          <w:szCs w:val="20"/>
          <w:u w:color="000000"/>
        </w:rPr>
        <w:t xml:space="preserve">; Haraway, </w:t>
      </w:r>
      <w:r>
        <w:rPr>
          <w:rFonts w:eastAsia="Arial Unicode MS" w:cs="Arial Unicode MS"/>
          <w:i/>
          <w:iCs/>
          <w:sz w:val="20"/>
          <w:szCs w:val="20"/>
          <w:u w:color="000000"/>
        </w:rPr>
        <w:t>Simians, Cyborgs, and Women</w:t>
      </w:r>
      <w:r>
        <w:rPr>
          <w:rFonts w:eastAsia="Arial Unicode MS" w:cs="Arial Unicode MS"/>
          <w:sz w:val="20"/>
          <w:szCs w:val="20"/>
          <w:u w:color="000000"/>
        </w:rPr>
        <w:t>.</w:t>
      </w:r>
    </w:p>
  </w:footnote>
  <w:footnote w:id="16">
    <w:p w14:paraId="1B641B52" w14:textId="4959110D" w:rsidR="00870C18" w:rsidRDefault="00312EAA">
      <w:pPr>
        <w:pStyle w:val="TextA"/>
      </w:pPr>
      <w:r>
        <w:rPr>
          <w:vertAlign w:val="superscript"/>
          <w:lang w:val="de-DE"/>
        </w:rPr>
        <w:footnoteRef/>
      </w:r>
      <w:r>
        <w:rPr>
          <w:sz w:val="20"/>
          <w:szCs w:val="20"/>
          <w:u w:color="000000"/>
          <w:vertAlign w:val="superscript"/>
          <w:lang w:val="de-DE"/>
        </w:rPr>
        <w:t xml:space="preserve"> </w:t>
      </w:r>
      <w:r>
        <w:rPr>
          <w:sz w:val="20"/>
          <w:szCs w:val="20"/>
          <w:u w:color="000000"/>
          <w:lang w:val="de-DE"/>
        </w:rPr>
        <w:t xml:space="preserve">Karen </w:t>
      </w:r>
      <w:proofErr w:type="spellStart"/>
      <w:r>
        <w:rPr>
          <w:sz w:val="20"/>
          <w:szCs w:val="20"/>
          <w:u w:color="000000"/>
          <w:lang w:val="de-DE"/>
        </w:rPr>
        <w:t>Barad</w:t>
      </w:r>
      <w:proofErr w:type="spellEnd"/>
      <w:r>
        <w:rPr>
          <w:sz w:val="20"/>
          <w:szCs w:val="20"/>
          <w:u w:color="000000"/>
          <w:lang w:val="de-DE"/>
        </w:rPr>
        <w:t>, ‘Berühren</w:t>
      </w:r>
      <w:r w:rsidR="00722FFD">
        <w:rPr>
          <w:sz w:val="20"/>
          <w:szCs w:val="20"/>
          <w:u w:color="000000"/>
          <w:lang w:val="de-DE"/>
        </w:rPr>
        <w:t xml:space="preserve"> – </w:t>
      </w:r>
      <w:r>
        <w:rPr>
          <w:sz w:val="20"/>
          <w:szCs w:val="20"/>
          <w:u w:color="000000"/>
          <w:lang w:val="de-DE"/>
        </w:rPr>
        <w:t xml:space="preserve">das Nicht-Menschliche, das ich also bin (V.1.1)’, in Kerstin </w:t>
      </w:r>
      <w:proofErr w:type="spellStart"/>
      <w:r>
        <w:rPr>
          <w:sz w:val="20"/>
          <w:szCs w:val="20"/>
          <w:u w:color="000000"/>
          <w:lang w:val="de-DE"/>
        </w:rPr>
        <w:t>Stakemeier</w:t>
      </w:r>
      <w:proofErr w:type="spellEnd"/>
      <w:r>
        <w:rPr>
          <w:sz w:val="20"/>
          <w:szCs w:val="20"/>
          <w:u w:color="000000"/>
          <w:lang w:val="de-DE"/>
        </w:rPr>
        <w:t xml:space="preserve"> and Susanne </w:t>
      </w:r>
      <w:proofErr w:type="spellStart"/>
      <w:r>
        <w:rPr>
          <w:sz w:val="20"/>
          <w:szCs w:val="20"/>
          <w:u w:color="000000"/>
          <w:lang w:val="de-DE"/>
        </w:rPr>
        <w:t>Witzgall</w:t>
      </w:r>
      <w:proofErr w:type="spellEnd"/>
      <w:r>
        <w:rPr>
          <w:sz w:val="20"/>
          <w:szCs w:val="20"/>
          <w:u w:color="000000"/>
          <w:lang w:val="de-DE"/>
        </w:rPr>
        <w:t xml:space="preserve"> (</w:t>
      </w:r>
      <w:proofErr w:type="spellStart"/>
      <w:r>
        <w:rPr>
          <w:sz w:val="20"/>
          <w:szCs w:val="20"/>
          <w:u w:color="000000"/>
          <w:lang w:val="de-DE"/>
        </w:rPr>
        <w:t>eds</w:t>
      </w:r>
      <w:proofErr w:type="spellEnd"/>
      <w:r>
        <w:rPr>
          <w:sz w:val="20"/>
          <w:szCs w:val="20"/>
          <w:u w:color="000000"/>
          <w:lang w:val="de-DE"/>
        </w:rPr>
        <w:t xml:space="preserve">) </w:t>
      </w:r>
      <w:r>
        <w:rPr>
          <w:i/>
          <w:iCs/>
          <w:sz w:val="20"/>
          <w:szCs w:val="20"/>
          <w:u w:color="000000"/>
          <w:lang w:val="de-DE"/>
        </w:rPr>
        <w:t>Macht des Materials</w:t>
      </w:r>
      <w:r w:rsidR="00722FFD">
        <w:rPr>
          <w:i/>
          <w:iCs/>
          <w:sz w:val="20"/>
          <w:szCs w:val="20"/>
          <w:u w:color="000000"/>
          <w:lang w:val="de-DE"/>
        </w:rPr>
        <w:t xml:space="preserve"> – </w:t>
      </w:r>
      <w:r>
        <w:rPr>
          <w:i/>
          <w:iCs/>
          <w:sz w:val="20"/>
          <w:szCs w:val="20"/>
          <w:u w:color="000000"/>
          <w:lang w:val="de-DE"/>
        </w:rPr>
        <w:t>Politik der Materialität</w:t>
      </w:r>
      <w:r>
        <w:rPr>
          <w:sz w:val="20"/>
          <w:szCs w:val="20"/>
          <w:u w:color="000000"/>
          <w:lang w:val="de-DE"/>
        </w:rPr>
        <w:t xml:space="preserve">, Berlin: diaphanes, 2014, pp. 163-176. </w:t>
      </w:r>
      <w:r w:rsidRPr="002F626B">
        <w:rPr>
          <w:sz w:val="20"/>
          <w:szCs w:val="20"/>
          <w:u w:color="000000"/>
        </w:rPr>
        <w:t xml:space="preserve">Translation by author. </w:t>
      </w:r>
    </w:p>
  </w:footnote>
  <w:footnote w:id="17">
    <w:p w14:paraId="6A78D1A8" w14:textId="0EC852A7" w:rsidR="00870C18" w:rsidRDefault="00312EAA">
      <w:pPr>
        <w:pStyle w:val="TextA"/>
      </w:pPr>
      <w:r>
        <w:rPr>
          <w:vertAlign w:val="superscript"/>
        </w:rPr>
        <w:footnoteRef/>
      </w:r>
      <w:r>
        <w:rPr>
          <w:rFonts w:eastAsia="Arial Unicode MS" w:cs="Arial Unicode MS"/>
          <w:sz w:val="20"/>
          <w:szCs w:val="20"/>
          <w:u w:color="000000"/>
        </w:rPr>
        <w:t xml:space="preserve"> </w:t>
      </w:r>
      <w:proofErr w:type="spellStart"/>
      <w:r w:rsidR="00EB78B6">
        <w:rPr>
          <w:sz w:val="20"/>
          <w:szCs w:val="20"/>
          <w:u w:color="000000"/>
          <w:lang w:val="de-DE"/>
        </w:rPr>
        <w:t>Barad</w:t>
      </w:r>
      <w:proofErr w:type="spellEnd"/>
      <w:r w:rsidR="00EB78B6">
        <w:rPr>
          <w:sz w:val="20"/>
          <w:szCs w:val="20"/>
          <w:u w:color="000000"/>
          <w:lang w:val="de-DE"/>
        </w:rPr>
        <w:t>, ‘Berühren</w:t>
      </w:r>
      <w:r w:rsidR="00EB78B6">
        <w:rPr>
          <w:sz w:val="20"/>
          <w:szCs w:val="20"/>
          <w:u w:color="000000"/>
          <w:lang w:val="de-DE"/>
        </w:rPr>
        <w:t>’</w:t>
      </w:r>
      <w:r>
        <w:rPr>
          <w:rFonts w:eastAsia="Arial Unicode MS" w:cs="Arial Unicode MS"/>
          <w:sz w:val="20"/>
          <w:szCs w:val="20"/>
          <w:u w:color="000000"/>
        </w:rPr>
        <w:t>.</w:t>
      </w:r>
    </w:p>
  </w:footnote>
  <w:footnote w:id="18">
    <w:p w14:paraId="38101510" w14:textId="592227D9" w:rsidR="00870C18" w:rsidRDefault="00312EAA">
      <w:pPr>
        <w:pStyle w:val="TextA"/>
      </w:pPr>
      <w:r>
        <w:rPr>
          <w:vertAlign w:val="superscript"/>
        </w:rPr>
        <w:footnoteRef/>
      </w:r>
      <w:r>
        <w:rPr>
          <w:rFonts w:eastAsia="Arial Unicode MS" w:cs="Arial Unicode MS"/>
          <w:sz w:val="20"/>
          <w:szCs w:val="20"/>
          <w:u w:color="000000"/>
        </w:rPr>
        <w:t xml:space="preserve"> </w:t>
      </w:r>
      <w:proofErr w:type="spellStart"/>
      <w:r w:rsidR="00EB78B6">
        <w:rPr>
          <w:sz w:val="20"/>
          <w:szCs w:val="20"/>
          <w:u w:color="000000"/>
          <w:lang w:val="de-DE"/>
        </w:rPr>
        <w:t>Barad</w:t>
      </w:r>
      <w:proofErr w:type="spellEnd"/>
      <w:r w:rsidR="00EB78B6">
        <w:rPr>
          <w:sz w:val="20"/>
          <w:szCs w:val="20"/>
          <w:u w:color="000000"/>
          <w:lang w:val="de-DE"/>
        </w:rPr>
        <w:t>, ‘Berühren</w:t>
      </w:r>
      <w:r w:rsidR="00EB78B6">
        <w:rPr>
          <w:sz w:val="20"/>
          <w:szCs w:val="20"/>
          <w:u w:color="000000"/>
          <w:lang w:val="de-DE"/>
        </w:rPr>
        <w:t>’</w:t>
      </w:r>
      <w:r>
        <w:rPr>
          <w:rFonts w:eastAsia="Arial Unicode MS" w:cs="Arial Unicode MS"/>
          <w:sz w:val="20"/>
          <w:szCs w:val="20"/>
          <w:u w:color="000000"/>
        </w:rPr>
        <w:t>.</w:t>
      </w:r>
    </w:p>
  </w:footnote>
  <w:footnote w:id="19">
    <w:p w14:paraId="5C04EA64" w14:textId="77777777" w:rsidR="00870C18" w:rsidRDefault="00312EAA">
      <w:pPr>
        <w:pStyle w:val="TextA"/>
      </w:pPr>
      <w:r>
        <w:rPr>
          <w:vertAlign w:val="superscript"/>
        </w:rPr>
        <w:footnoteRef/>
      </w:r>
      <w:r>
        <w:rPr>
          <w:rFonts w:eastAsia="Arial Unicode MS" w:cs="Arial Unicode MS"/>
          <w:sz w:val="20"/>
          <w:szCs w:val="20"/>
          <w:u w:color="000000"/>
        </w:rPr>
        <w:t xml:space="preserve"> </w:t>
      </w:r>
      <w:proofErr w:type="spellStart"/>
      <w:r>
        <w:rPr>
          <w:rFonts w:eastAsia="Arial Unicode MS" w:cs="Arial Unicode MS"/>
          <w:sz w:val="20"/>
          <w:szCs w:val="20"/>
          <w:u w:color="000000"/>
        </w:rPr>
        <w:t>Guattari</w:t>
      </w:r>
      <w:proofErr w:type="spellEnd"/>
      <w:r>
        <w:rPr>
          <w:rFonts w:eastAsia="Arial Unicode MS" w:cs="Arial Unicode MS"/>
          <w:sz w:val="20"/>
          <w:szCs w:val="20"/>
          <w:u w:color="000000"/>
        </w:rPr>
        <w:t xml:space="preserve">, </w:t>
      </w:r>
      <w:r>
        <w:rPr>
          <w:rFonts w:eastAsia="Arial Unicode MS" w:cs="Arial Unicode MS"/>
          <w:i/>
          <w:iCs/>
          <w:sz w:val="20"/>
          <w:szCs w:val="20"/>
          <w:u w:color="000000"/>
        </w:rPr>
        <w:t>Molecular Revolution</w:t>
      </w:r>
      <w:r>
        <w:rPr>
          <w:rFonts w:eastAsia="Arial Unicode MS" w:cs="Arial Unicode MS"/>
          <w:sz w:val="20"/>
          <w:szCs w:val="20"/>
          <w:u w:color="000000"/>
        </w:rPr>
        <w:t>, p. 9.</w:t>
      </w:r>
    </w:p>
  </w:footnote>
  <w:footnote w:id="20">
    <w:p w14:paraId="43A0E787" w14:textId="77777777" w:rsidR="00870C18" w:rsidRDefault="00312EAA">
      <w:pPr>
        <w:pStyle w:val="TextA"/>
      </w:pPr>
      <w:r>
        <w:rPr>
          <w:vertAlign w:val="superscript"/>
        </w:rPr>
        <w:footnoteRef/>
      </w:r>
      <w:r>
        <w:rPr>
          <w:rFonts w:eastAsia="Arial Unicode MS" w:cs="Arial Unicode MS"/>
          <w:sz w:val="20"/>
          <w:szCs w:val="20"/>
          <w:u w:color="000000"/>
        </w:rPr>
        <w:t xml:space="preserve"> Karen Barad, ‘Quantum Entanglements and Hauntological Relations of Inheritance’, p. 261.</w:t>
      </w:r>
    </w:p>
  </w:footnote>
  <w:footnote w:id="21">
    <w:p w14:paraId="0EDF00C9" w14:textId="7A4C113D" w:rsidR="00870C18" w:rsidRDefault="00312EAA">
      <w:pPr>
        <w:pStyle w:val="TextA"/>
      </w:pPr>
      <w:r>
        <w:rPr>
          <w:vertAlign w:val="superscript"/>
        </w:rPr>
        <w:footnoteRef/>
      </w:r>
      <w:r>
        <w:rPr>
          <w:rFonts w:eastAsia="Arial Unicode MS" w:cs="Arial Unicode MS"/>
          <w:sz w:val="20"/>
          <w:szCs w:val="20"/>
        </w:rPr>
        <w:t xml:space="preserve"> </w:t>
      </w:r>
      <w:r>
        <w:rPr>
          <w:rFonts w:eastAsia="Arial Unicode MS" w:cs="Arial Unicode MS"/>
          <w:sz w:val="20"/>
          <w:szCs w:val="20"/>
          <w:u w:color="000000"/>
        </w:rPr>
        <w:t>Barad, ‘</w:t>
      </w:r>
      <w:proofErr w:type="spellStart"/>
      <w:r>
        <w:rPr>
          <w:rFonts w:eastAsia="Arial Unicode MS" w:cs="Arial Unicode MS"/>
          <w:sz w:val="20"/>
          <w:szCs w:val="20"/>
          <w:u w:color="000000"/>
        </w:rPr>
        <w:t>Berühren</w:t>
      </w:r>
      <w:proofErr w:type="spellEnd"/>
      <w:r>
        <w:rPr>
          <w:rFonts w:eastAsia="Arial Unicode MS" w:cs="Arial Unicode MS"/>
          <w:sz w:val="20"/>
          <w:szCs w:val="20"/>
          <w:u w:color="000000"/>
        </w:rPr>
        <w:t>’, p. 170. Translation by author.</w:t>
      </w:r>
    </w:p>
  </w:footnote>
  <w:footnote w:id="22">
    <w:p w14:paraId="1C2DD139" w14:textId="77777777" w:rsidR="00870C18" w:rsidRDefault="00312EAA">
      <w:pPr>
        <w:pStyle w:val="TextA"/>
      </w:pPr>
      <w:r>
        <w:rPr>
          <w:vertAlign w:val="superscript"/>
        </w:rPr>
        <w:footnoteRef/>
      </w:r>
      <w:r>
        <w:rPr>
          <w:sz w:val="20"/>
          <w:szCs w:val="20"/>
          <w:u w:color="000000"/>
        </w:rPr>
        <w:t xml:space="preserve"> Donna Haraway, ‘Awash in Urine: DES and Premarin in Multispecies Response-ability’</w:t>
      </w:r>
      <w:r>
        <w:rPr>
          <w:sz w:val="20"/>
          <w:szCs w:val="20"/>
          <w:u w:color="000000"/>
          <w:lang w:val="it-IT"/>
        </w:rPr>
        <w:t xml:space="preserve">, in </w:t>
      </w:r>
      <w:r>
        <w:rPr>
          <w:i/>
          <w:iCs/>
          <w:sz w:val="20"/>
          <w:szCs w:val="20"/>
          <w:u w:color="000000"/>
        </w:rPr>
        <w:t>Staying with the Trouble</w:t>
      </w:r>
      <w:r>
        <w:rPr>
          <w:sz w:val="20"/>
          <w:szCs w:val="20"/>
          <w:u w:color="000000"/>
        </w:rPr>
        <w:t>, pp. 104-110.</w:t>
      </w:r>
    </w:p>
  </w:footnote>
  <w:footnote w:id="23">
    <w:p w14:paraId="24C04602" w14:textId="747A6D34" w:rsidR="00870C18" w:rsidRPr="002F626B" w:rsidRDefault="00312EAA">
      <w:pPr>
        <w:pStyle w:val="TextA"/>
        <w:rPr>
          <w:lang w:val="da-DK"/>
        </w:rPr>
      </w:pPr>
      <w:r>
        <w:rPr>
          <w:vertAlign w:val="superscript"/>
        </w:rPr>
        <w:footnoteRef/>
      </w:r>
      <w:r w:rsidRPr="002F626B">
        <w:rPr>
          <w:sz w:val="20"/>
          <w:szCs w:val="20"/>
          <w:u w:color="000000"/>
          <w:lang w:val="da-DK"/>
        </w:rPr>
        <w:t xml:space="preserve"> Karen Barad, ‘Nature’s Queer Performativity’, in </w:t>
      </w:r>
      <w:r w:rsidRPr="002F626B">
        <w:rPr>
          <w:i/>
          <w:iCs/>
          <w:sz w:val="20"/>
          <w:szCs w:val="20"/>
          <w:u w:color="000000"/>
          <w:lang w:val="da-DK"/>
        </w:rPr>
        <w:t xml:space="preserve">Kvinder Køn &amp; Forskning, </w:t>
      </w:r>
      <w:r w:rsidRPr="002F626B">
        <w:rPr>
          <w:sz w:val="20"/>
          <w:szCs w:val="20"/>
          <w:u w:color="000000"/>
          <w:lang w:val="da-DK"/>
        </w:rPr>
        <w:t>2012, pp.</w:t>
      </w:r>
      <w:r w:rsidR="002F626B">
        <w:rPr>
          <w:sz w:val="20"/>
          <w:szCs w:val="20"/>
          <w:u w:color="000000"/>
          <w:lang w:val="da-DK"/>
        </w:rPr>
        <w:t xml:space="preserve"> </w:t>
      </w:r>
      <w:r w:rsidRPr="002F626B">
        <w:rPr>
          <w:sz w:val="20"/>
          <w:szCs w:val="20"/>
          <w:u w:color="000000"/>
          <w:lang w:val="da-DK"/>
        </w:rPr>
        <w:t>25-53, p.</w:t>
      </w:r>
      <w:r w:rsidR="002F626B">
        <w:rPr>
          <w:sz w:val="20"/>
          <w:szCs w:val="20"/>
          <w:u w:color="000000"/>
          <w:lang w:val="da-DK"/>
        </w:rPr>
        <w:t xml:space="preserve"> </w:t>
      </w:r>
      <w:r w:rsidRPr="002F626B">
        <w:rPr>
          <w:sz w:val="20"/>
          <w:szCs w:val="20"/>
          <w:u w:color="000000"/>
          <w:lang w:val="da-DK"/>
        </w:rPr>
        <w:t xml:space="preserve">31. </w:t>
      </w:r>
    </w:p>
  </w:footnote>
  <w:footnote w:id="24">
    <w:p w14:paraId="7F4A8D72" w14:textId="77777777" w:rsidR="00870C18" w:rsidRDefault="00312EAA">
      <w:pPr>
        <w:pStyle w:val="TextA"/>
      </w:pPr>
      <w:r>
        <w:rPr>
          <w:vertAlign w:val="superscript"/>
        </w:rPr>
        <w:footnoteRef/>
      </w:r>
      <w:r>
        <w:rPr>
          <w:rFonts w:eastAsia="Arial Unicode MS" w:cs="Arial Unicode MS"/>
          <w:sz w:val="20"/>
          <w:szCs w:val="20"/>
          <w:u w:color="000000"/>
        </w:rPr>
        <w:t xml:space="preserve"> My use of ‘</w:t>
      </w:r>
      <w:proofErr w:type="spellStart"/>
      <w:r>
        <w:rPr>
          <w:rFonts w:eastAsia="Arial Unicode MS" w:cs="Arial Unicode MS"/>
          <w:sz w:val="20"/>
          <w:szCs w:val="20"/>
          <w:u w:color="000000"/>
        </w:rPr>
        <w:t>undercommoning</w:t>
      </w:r>
      <w:proofErr w:type="spellEnd"/>
      <w:r>
        <w:rPr>
          <w:rFonts w:eastAsia="Arial Unicode MS" w:cs="Arial Unicode MS"/>
          <w:sz w:val="20"/>
          <w:szCs w:val="20"/>
          <w:u w:color="000000"/>
        </w:rPr>
        <w:t xml:space="preserve">’ comes after Stefano Harney and Fred Moten’s </w:t>
      </w:r>
      <w:r>
        <w:rPr>
          <w:rFonts w:eastAsia="Arial Unicode MS" w:cs="Arial Unicode MS"/>
          <w:i/>
          <w:iCs/>
          <w:sz w:val="20"/>
          <w:szCs w:val="20"/>
          <w:u w:color="000000"/>
        </w:rPr>
        <w:t xml:space="preserve">The </w:t>
      </w:r>
      <w:proofErr w:type="spellStart"/>
      <w:r>
        <w:rPr>
          <w:rFonts w:eastAsia="Arial Unicode MS" w:cs="Arial Unicode MS"/>
          <w:i/>
          <w:iCs/>
          <w:sz w:val="20"/>
          <w:szCs w:val="20"/>
          <w:u w:color="000000"/>
        </w:rPr>
        <w:t>Undercommons</w:t>
      </w:r>
      <w:proofErr w:type="spellEnd"/>
      <w:r>
        <w:rPr>
          <w:rFonts w:eastAsia="Arial Unicode MS" w:cs="Arial Unicode MS"/>
          <w:i/>
          <w:iCs/>
          <w:sz w:val="20"/>
          <w:szCs w:val="20"/>
          <w:u w:color="000000"/>
        </w:rPr>
        <w:t>. Fugitive Planning and Black Study</w:t>
      </w:r>
      <w:r>
        <w:rPr>
          <w:rFonts w:eastAsia="Arial Unicode MS" w:cs="Arial Unicode MS"/>
          <w:sz w:val="20"/>
          <w:szCs w:val="20"/>
          <w:u w:color="000000"/>
        </w:rPr>
        <w:t xml:space="preserve">, New York: </w:t>
      </w:r>
      <w:proofErr w:type="spellStart"/>
      <w:r>
        <w:rPr>
          <w:rFonts w:eastAsia="Arial Unicode MS" w:cs="Arial Unicode MS"/>
          <w:sz w:val="20"/>
          <w:szCs w:val="20"/>
          <w:u w:color="000000"/>
        </w:rPr>
        <w:t>Autonomedia</w:t>
      </w:r>
      <w:proofErr w:type="spellEnd"/>
      <w:r>
        <w:rPr>
          <w:rFonts w:eastAsia="Arial Unicode MS" w:cs="Arial Unicode MS"/>
          <w:sz w:val="20"/>
          <w:szCs w:val="20"/>
          <w:u w:color="000000"/>
        </w:rPr>
        <w:t>, 2013.</w:t>
      </w:r>
    </w:p>
  </w:footnote>
  <w:footnote w:id="25">
    <w:p w14:paraId="6A213CA2" w14:textId="77777777" w:rsidR="00870C18" w:rsidRDefault="00312EAA">
      <w:pPr>
        <w:pStyle w:val="TextA"/>
      </w:pPr>
      <w:r>
        <w:rPr>
          <w:vertAlign w:val="superscript"/>
        </w:rPr>
        <w:footnoteRef/>
      </w:r>
      <w:r>
        <w:rPr>
          <w:sz w:val="20"/>
          <w:szCs w:val="20"/>
          <w:u w:color="000000"/>
          <w:vertAlign w:val="superscript"/>
        </w:rPr>
        <w:t xml:space="preserve"> </w:t>
      </w:r>
      <w:r>
        <w:rPr>
          <w:sz w:val="20"/>
          <w:szCs w:val="20"/>
          <w:u w:color="000000"/>
          <w:lang w:val="nl-NL"/>
        </w:rPr>
        <w:t>Gilles Deleuze and F</w:t>
      </w:r>
      <w:r>
        <w:rPr>
          <w:sz w:val="20"/>
          <w:szCs w:val="20"/>
          <w:u w:color="000000"/>
        </w:rPr>
        <w:t>é</w:t>
      </w:r>
      <w:r>
        <w:rPr>
          <w:sz w:val="20"/>
          <w:szCs w:val="20"/>
          <w:u w:color="000000"/>
          <w:lang w:val="it-IT"/>
        </w:rPr>
        <w:t xml:space="preserve">lix Guattari, </w:t>
      </w:r>
      <w:r>
        <w:rPr>
          <w:i/>
          <w:iCs/>
          <w:sz w:val="20"/>
          <w:szCs w:val="20"/>
          <w:u w:color="000000"/>
        </w:rPr>
        <w:t>A Thousand Plateaus</w:t>
      </w:r>
      <w:r>
        <w:rPr>
          <w:sz w:val="20"/>
          <w:szCs w:val="20"/>
          <w:u w:color="000000"/>
        </w:rPr>
        <w:t xml:space="preserve">, Minneapolis: University of Minnesota Press, 1987; </w:t>
      </w:r>
      <w:proofErr w:type="spellStart"/>
      <w:r>
        <w:rPr>
          <w:sz w:val="20"/>
          <w:szCs w:val="20"/>
          <w:u w:color="000000"/>
        </w:rPr>
        <w:t>Jordana</w:t>
      </w:r>
      <w:proofErr w:type="spellEnd"/>
      <w:r>
        <w:rPr>
          <w:sz w:val="20"/>
          <w:szCs w:val="20"/>
          <w:u w:color="000000"/>
        </w:rPr>
        <w:t xml:space="preserve"> Rosenberg, ‘The Molecularization of Sexuality: On Some Primitivisms of the Present’, </w:t>
      </w:r>
      <w:r>
        <w:rPr>
          <w:i/>
          <w:iCs/>
          <w:sz w:val="20"/>
          <w:szCs w:val="20"/>
          <w:u w:color="000000"/>
        </w:rPr>
        <w:t>Theory &amp; Event</w:t>
      </w:r>
      <w:r>
        <w:rPr>
          <w:sz w:val="20"/>
          <w:szCs w:val="20"/>
          <w:u w:color="000000"/>
        </w:rPr>
        <w:t xml:space="preserve"> 17.2 (2014), https://www.muse.jhu.edu/article/546470.</w:t>
      </w:r>
    </w:p>
  </w:footnote>
  <w:footnote w:id="26">
    <w:p w14:paraId="181FF430" w14:textId="77777777" w:rsidR="00870C18" w:rsidRDefault="00312EAA">
      <w:pPr>
        <w:pStyle w:val="TextA"/>
      </w:pPr>
      <w:r>
        <w:rPr>
          <w:vertAlign w:val="superscript"/>
        </w:rPr>
        <w:footnoteRef/>
      </w:r>
      <w:r>
        <w:rPr>
          <w:rFonts w:eastAsia="Arial Unicode MS" w:cs="Arial Unicode MS"/>
          <w:sz w:val="20"/>
          <w:szCs w:val="20"/>
          <w:u w:color="000000"/>
        </w:rPr>
        <w:t xml:space="preserve"> Rosenberg, ‘The Molecularization of Sexuality’.</w:t>
      </w:r>
    </w:p>
  </w:footnote>
  <w:footnote w:id="27">
    <w:p w14:paraId="1CE7870B" w14:textId="77777777" w:rsidR="00870C18" w:rsidRDefault="00312EAA">
      <w:pPr>
        <w:pStyle w:val="TextA"/>
      </w:pPr>
      <w:r>
        <w:rPr>
          <w:vertAlign w:val="superscript"/>
        </w:rPr>
        <w:footnoteRef/>
      </w:r>
      <w:r>
        <w:rPr>
          <w:sz w:val="20"/>
          <w:szCs w:val="20"/>
          <w:u w:color="000000"/>
          <w:lang w:val="it-IT"/>
        </w:rPr>
        <w:t xml:space="preserve"> Guattari, </w:t>
      </w:r>
      <w:r>
        <w:rPr>
          <w:i/>
          <w:iCs/>
          <w:sz w:val="20"/>
          <w:szCs w:val="20"/>
          <w:u w:color="000000"/>
        </w:rPr>
        <w:t>Molecular Revolution</w:t>
      </w:r>
      <w:r>
        <w:rPr>
          <w:sz w:val="20"/>
          <w:szCs w:val="20"/>
          <w:u w:color="000000"/>
        </w:rPr>
        <w:t>, p. 5.</w:t>
      </w:r>
    </w:p>
  </w:footnote>
  <w:footnote w:id="28">
    <w:p w14:paraId="79346DE9" w14:textId="2BB7D0E7" w:rsidR="00870C18" w:rsidRDefault="00312EAA">
      <w:pPr>
        <w:pStyle w:val="TextA"/>
      </w:pPr>
      <w:r>
        <w:rPr>
          <w:vertAlign w:val="superscript"/>
        </w:rPr>
        <w:footnoteRef/>
      </w:r>
      <w:r>
        <w:rPr>
          <w:rFonts w:eastAsia="Arial Unicode MS" w:cs="Arial Unicode MS"/>
          <w:sz w:val="20"/>
          <w:szCs w:val="20"/>
          <w:u w:color="000000"/>
          <w:vertAlign w:val="superscript"/>
        </w:rPr>
        <w:t xml:space="preserve"> </w:t>
      </w:r>
      <w:proofErr w:type="spellStart"/>
      <w:r w:rsidR="00EB78B6">
        <w:rPr>
          <w:sz w:val="20"/>
          <w:szCs w:val="20"/>
          <w:u w:color="000000"/>
          <w:lang w:val="it-IT"/>
        </w:rPr>
        <w:t>Guattari</w:t>
      </w:r>
      <w:proofErr w:type="spellEnd"/>
      <w:r w:rsidR="00EB78B6">
        <w:rPr>
          <w:sz w:val="20"/>
          <w:szCs w:val="20"/>
          <w:u w:color="000000"/>
          <w:lang w:val="it-IT"/>
        </w:rPr>
        <w:t xml:space="preserve">, </w:t>
      </w:r>
      <w:r w:rsidR="00EB78B6">
        <w:rPr>
          <w:i/>
          <w:iCs/>
          <w:sz w:val="20"/>
          <w:szCs w:val="20"/>
          <w:u w:color="000000"/>
        </w:rPr>
        <w:t>Molecular Revolution</w:t>
      </w:r>
      <w:bookmarkStart w:id="0" w:name="_GoBack"/>
      <w:bookmarkEnd w:id="0"/>
      <w:r>
        <w:rPr>
          <w:rFonts w:eastAsia="Arial Unicode MS" w:cs="Arial Unicode MS"/>
          <w:sz w:val="20"/>
          <w:szCs w:val="20"/>
          <w:u w:color="000000"/>
        </w:rPr>
        <w:t>.</w:t>
      </w:r>
    </w:p>
  </w:footnote>
  <w:footnote w:id="29">
    <w:p w14:paraId="6B697755" w14:textId="77777777" w:rsidR="00870C18" w:rsidRDefault="00312EAA">
      <w:pPr>
        <w:pStyle w:val="TextA"/>
      </w:pPr>
      <w:r>
        <w:rPr>
          <w:vertAlign w:val="superscript"/>
        </w:rPr>
        <w:footnoteRef/>
      </w:r>
      <w:r>
        <w:rPr>
          <w:sz w:val="20"/>
          <w:szCs w:val="20"/>
          <w:u w:color="000000"/>
        </w:rPr>
        <w:t xml:space="preserve"> Haraway, </w:t>
      </w:r>
      <w:r>
        <w:rPr>
          <w:i/>
          <w:iCs/>
          <w:sz w:val="20"/>
          <w:szCs w:val="20"/>
          <w:u w:color="000000"/>
        </w:rPr>
        <w:t>Simians, Cyborgs, and Women</w:t>
      </w:r>
      <w:r>
        <w:rPr>
          <w:sz w:val="20"/>
          <w:szCs w:val="20"/>
          <w:u w:color="000000"/>
        </w:rPr>
        <w:t>; Kirksey, ‘</w:t>
      </w:r>
      <w:r>
        <w:rPr>
          <w:sz w:val="20"/>
          <w:szCs w:val="20"/>
          <w:u w:color="000000"/>
          <w:lang w:val="nl-NL"/>
        </w:rPr>
        <w:t>Queer Love</w:t>
      </w:r>
      <w:r>
        <w:rPr>
          <w:sz w:val="20"/>
          <w:szCs w:val="20"/>
          <w:u w:color="000000"/>
        </w:rPr>
        <w:t xml:space="preserve">’, p. 18. </w:t>
      </w:r>
    </w:p>
  </w:footnote>
  <w:footnote w:id="30">
    <w:p w14:paraId="4813E31A" w14:textId="77777777" w:rsidR="00870C18" w:rsidRDefault="00312EAA">
      <w:pPr>
        <w:pStyle w:val="TextA"/>
      </w:pPr>
      <w:r>
        <w:rPr>
          <w:vertAlign w:val="superscript"/>
        </w:rPr>
        <w:footnoteRef/>
      </w:r>
      <w:r>
        <w:rPr>
          <w:rFonts w:eastAsia="Arial Unicode MS" w:cs="Arial Unicode MS"/>
          <w:sz w:val="20"/>
          <w:szCs w:val="20"/>
          <w:u w:color="000000"/>
          <w:vertAlign w:val="superscript"/>
        </w:rPr>
        <w:t xml:space="preserve"> </w:t>
      </w:r>
      <w:r>
        <w:rPr>
          <w:rFonts w:eastAsia="Arial Unicode MS" w:cs="Arial Unicode MS"/>
          <w:sz w:val="20"/>
          <w:szCs w:val="20"/>
          <w:u w:color="000000"/>
        </w:rPr>
        <w:t>Davis, ‘Imperceptibility and Accumulation’, p. 189.</w:t>
      </w:r>
    </w:p>
  </w:footnote>
  <w:footnote w:id="31">
    <w:p w14:paraId="3DFC3396" w14:textId="77777777" w:rsidR="00870C18" w:rsidRDefault="00312EAA">
      <w:pPr>
        <w:pStyle w:val="TextA"/>
      </w:pPr>
      <w:r>
        <w:rPr>
          <w:vertAlign w:val="superscript"/>
        </w:rPr>
        <w:footnoteRef/>
      </w:r>
      <w:r>
        <w:rPr>
          <w:sz w:val="20"/>
          <w:szCs w:val="20"/>
          <w:u w:color="000000"/>
        </w:rPr>
        <w:t xml:space="preserve"> Kirksey, ‘</w:t>
      </w:r>
      <w:r>
        <w:rPr>
          <w:sz w:val="20"/>
          <w:szCs w:val="20"/>
          <w:u w:color="000000"/>
          <w:lang w:val="nl-NL"/>
        </w:rPr>
        <w:t>Queer Love</w:t>
      </w:r>
      <w:r>
        <w:rPr>
          <w:sz w:val="20"/>
          <w:szCs w:val="20"/>
          <w:u w:color="000000"/>
        </w:rPr>
        <w:t xml:space="preserve">’, p. 18. </w:t>
      </w:r>
    </w:p>
  </w:footnote>
  <w:footnote w:id="32">
    <w:p w14:paraId="0F53E4DA" w14:textId="77777777" w:rsidR="00870C18" w:rsidRDefault="00312EAA">
      <w:pPr>
        <w:pStyle w:val="TextA"/>
      </w:pPr>
      <w:r>
        <w:rPr>
          <w:vertAlign w:val="superscript"/>
        </w:rPr>
        <w:footnoteRef/>
      </w:r>
      <w:r>
        <w:rPr>
          <w:rFonts w:eastAsia="Arial Unicode MS" w:cs="Arial Unicode MS"/>
          <w:sz w:val="20"/>
          <w:szCs w:val="20"/>
          <w:u w:color="000000"/>
        </w:rPr>
        <w:t xml:space="preserve"> Davis, ‘Imperceptibility and Accumulation’, p. 191.</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4AB990" w14:textId="77777777" w:rsidR="00870C18" w:rsidRDefault="00870C18">
    <w:pPr>
      <w:pStyle w:val="Kopf-undFuzeilen"/>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isplayBackgroundShape/>
  <w:proofState w:spelling="clean"/>
  <w:defaultTabStop w:val="708"/>
  <w:hyphenationZone w:val="425"/>
  <w:characterSpacingControl w:val="doNotCompress"/>
  <w:footnotePr>
    <w:footnote w:id="-1"/>
    <w:footnote w:id="0"/>
    <w:footnote w:id="1"/>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C18"/>
    <w:rsid w:val="000E673A"/>
    <w:rsid w:val="000F02B3"/>
    <w:rsid w:val="001D289A"/>
    <w:rsid w:val="002F626B"/>
    <w:rsid w:val="00312EAA"/>
    <w:rsid w:val="00394381"/>
    <w:rsid w:val="003A1968"/>
    <w:rsid w:val="00580F47"/>
    <w:rsid w:val="00672F0C"/>
    <w:rsid w:val="006C7AFC"/>
    <w:rsid w:val="00722FFD"/>
    <w:rsid w:val="00765B2F"/>
    <w:rsid w:val="00780CF0"/>
    <w:rsid w:val="007C2650"/>
    <w:rsid w:val="00870C18"/>
    <w:rsid w:val="00905B8F"/>
    <w:rsid w:val="00BB2815"/>
    <w:rsid w:val="00BD7B7F"/>
    <w:rsid w:val="00C0633D"/>
    <w:rsid w:val="00C4396A"/>
    <w:rsid w:val="00CA0DD2"/>
    <w:rsid w:val="00D52193"/>
    <w:rsid w:val="00E774A1"/>
    <w:rsid w:val="00EB78B6"/>
    <w:rsid w:val="00EE30E0"/>
    <w:rsid w:val="00F753E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15B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pPr>
    <w:rPr>
      <w:rFonts w:cs="Arial Unicode MS"/>
      <w:color w:val="000000"/>
      <w:sz w:val="24"/>
      <w:szCs w:val="24"/>
      <w:u w:color="00000A"/>
      <w:lang w:val="en-US"/>
    </w:rPr>
  </w:style>
  <w:style w:type="paragraph" w:styleId="Heading1">
    <w:name w:val="heading 1"/>
    <w:next w:val="Normal"/>
    <w:uiPriority w:val="9"/>
    <w:qFormat/>
    <w:pPr>
      <w:keepNext/>
      <w:keepLines/>
      <w:spacing w:before="240"/>
      <w:outlineLvl w:val="0"/>
    </w:pPr>
    <w:rPr>
      <w:rFonts w:cs="Arial Unicode MS"/>
      <w:b/>
      <w:bCs/>
      <w:color w:val="000000"/>
      <w:sz w:val="24"/>
      <w:szCs w:val="24"/>
      <w:u w:color="000000"/>
      <w:lang w:val="en-US"/>
    </w:rPr>
  </w:style>
  <w:style w:type="paragraph" w:styleId="Heading2">
    <w:name w:val="heading 2"/>
    <w:next w:val="TextA"/>
    <w:uiPriority w:val="9"/>
    <w:unhideWhenUsed/>
    <w:qFormat/>
    <w:rsid w:val="00780CF0"/>
    <w:pPr>
      <w:keepNext/>
      <w:keepLines/>
      <w:spacing w:before="40"/>
      <w:outlineLvl w:val="1"/>
    </w:pPr>
    <w:rPr>
      <w:rFonts w:cs="Arial Unicode MS"/>
      <w:b/>
      <w:color w:val="000000"/>
      <w:sz w:val="24"/>
      <w:szCs w:val="24"/>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rPr>
  </w:style>
  <w:style w:type="paragraph" w:customStyle="1" w:styleId="TextA">
    <w:name w:val="Text A"/>
    <w:pPr>
      <w:keepNext/>
    </w:pPr>
    <w:rPr>
      <w:rFonts w:eastAsia="Times New Roman"/>
      <w:color w:val="000000"/>
      <w:sz w:val="24"/>
      <w:szCs w:val="24"/>
      <w:u w:color="00000A"/>
      <w:lang w:val="en-US"/>
    </w:rPr>
  </w:style>
  <w:style w:type="paragraph" w:styleId="FootnoteText">
    <w:name w:val="footnote text"/>
    <w:pPr>
      <w:keepNext/>
    </w:pPr>
    <w:rPr>
      <w:rFonts w:eastAsia="Times New Roman"/>
      <w:color w:val="000000"/>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cs="Arial Unicode MS"/>
      <w:color w:val="000000"/>
      <w:u w:color="00000A"/>
      <w:lang w:val="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F626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626B"/>
    <w:rPr>
      <w:rFonts w:ascii="Segoe UI" w:hAnsi="Segoe UI" w:cs="Segoe UI"/>
      <w:color w:val="000000"/>
      <w:sz w:val="18"/>
      <w:szCs w:val="18"/>
      <w:u w:color="00000A"/>
      <w:lang w:val="en-US"/>
    </w:rPr>
  </w:style>
  <w:style w:type="paragraph" w:styleId="CommentSubject">
    <w:name w:val="annotation subject"/>
    <w:basedOn w:val="CommentText"/>
    <w:next w:val="CommentText"/>
    <w:link w:val="CommentSubjectChar"/>
    <w:uiPriority w:val="99"/>
    <w:semiHidden/>
    <w:unhideWhenUsed/>
    <w:rsid w:val="00BD7B7F"/>
    <w:rPr>
      <w:b/>
      <w:bCs/>
    </w:rPr>
  </w:style>
  <w:style w:type="character" w:customStyle="1" w:styleId="CommentSubjectChar">
    <w:name w:val="Comment Subject Char"/>
    <w:basedOn w:val="CommentTextChar"/>
    <w:link w:val="CommentSubject"/>
    <w:uiPriority w:val="99"/>
    <w:semiHidden/>
    <w:rsid w:val="00BD7B7F"/>
    <w:rPr>
      <w:rFonts w:cs="Arial Unicode MS"/>
      <w:b/>
      <w:bCs/>
      <w:color w:val="000000"/>
      <w:u w:color="00000A"/>
      <w:lang w:val="en-US"/>
    </w:rPr>
  </w:style>
  <w:style w:type="paragraph" w:styleId="Caption">
    <w:name w:val="caption"/>
    <w:basedOn w:val="Normal"/>
    <w:next w:val="Normal"/>
    <w:uiPriority w:val="35"/>
    <w:unhideWhenUsed/>
    <w:qFormat/>
    <w:rsid w:val="00EE30E0"/>
    <w:rPr>
      <w:iCs/>
      <w:color w:val="auto"/>
      <w:sz w:val="20"/>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pPr>
    <w:rPr>
      <w:rFonts w:cs="Arial Unicode MS"/>
      <w:color w:val="000000"/>
      <w:sz w:val="24"/>
      <w:szCs w:val="24"/>
      <w:u w:color="00000A"/>
      <w:lang w:val="en-US"/>
    </w:rPr>
  </w:style>
  <w:style w:type="paragraph" w:styleId="Heading1">
    <w:name w:val="heading 1"/>
    <w:next w:val="Normal"/>
    <w:uiPriority w:val="9"/>
    <w:qFormat/>
    <w:pPr>
      <w:keepNext/>
      <w:keepLines/>
      <w:spacing w:before="240"/>
      <w:outlineLvl w:val="0"/>
    </w:pPr>
    <w:rPr>
      <w:rFonts w:cs="Arial Unicode MS"/>
      <w:b/>
      <w:bCs/>
      <w:color w:val="000000"/>
      <w:sz w:val="24"/>
      <w:szCs w:val="24"/>
      <w:u w:color="000000"/>
      <w:lang w:val="en-US"/>
    </w:rPr>
  </w:style>
  <w:style w:type="paragraph" w:styleId="Heading2">
    <w:name w:val="heading 2"/>
    <w:next w:val="TextA"/>
    <w:uiPriority w:val="9"/>
    <w:unhideWhenUsed/>
    <w:qFormat/>
    <w:rsid w:val="00780CF0"/>
    <w:pPr>
      <w:keepNext/>
      <w:keepLines/>
      <w:spacing w:before="40"/>
      <w:outlineLvl w:val="1"/>
    </w:pPr>
    <w:rPr>
      <w:rFonts w:cs="Arial Unicode MS"/>
      <w:b/>
      <w:color w:val="000000"/>
      <w:sz w:val="24"/>
      <w:szCs w:val="24"/>
      <w:u w:color="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Kopf-undFuzeilen">
    <w:name w:val="Kopf- und Fußzeilen"/>
    <w:pPr>
      <w:tabs>
        <w:tab w:val="right" w:pos="9020"/>
      </w:tabs>
    </w:pPr>
    <w:rPr>
      <w:rFonts w:ascii="Helvetica Neue" w:hAnsi="Helvetica Neue" w:cs="Arial Unicode MS"/>
      <w:color w:val="000000"/>
      <w:sz w:val="24"/>
      <w:szCs w:val="24"/>
    </w:rPr>
  </w:style>
  <w:style w:type="paragraph" w:customStyle="1" w:styleId="TextA">
    <w:name w:val="Text A"/>
    <w:pPr>
      <w:keepNext/>
    </w:pPr>
    <w:rPr>
      <w:rFonts w:eastAsia="Times New Roman"/>
      <w:color w:val="000000"/>
      <w:sz w:val="24"/>
      <w:szCs w:val="24"/>
      <w:u w:color="00000A"/>
      <w:lang w:val="en-US"/>
    </w:rPr>
  </w:style>
  <w:style w:type="paragraph" w:styleId="FootnoteText">
    <w:name w:val="footnote text"/>
    <w:pPr>
      <w:keepNext/>
    </w:pPr>
    <w:rPr>
      <w:rFonts w:eastAsia="Times New Roman"/>
      <w:color w:val="000000"/>
      <w:u w:color="000000"/>
      <w:lang w:val="en-US"/>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cs="Arial Unicode MS"/>
      <w:color w:val="000000"/>
      <w:u w:color="00000A"/>
      <w:lang w:val="en-US"/>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F626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626B"/>
    <w:rPr>
      <w:rFonts w:ascii="Segoe UI" w:hAnsi="Segoe UI" w:cs="Segoe UI"/>
      <w:color w:val="000000"/>
      <w:sz w:val="18"/>
      <w:szCs w:val="18"/>
      <w:u w:color="00000A"/>
      <w:lang w:val="en-US"/>
    </w:rPr>
  </w:style>
  <w:style w:type="paragraph" w:styleId="CommentSubject">
    <w:name w:val="annotation subject"/>
    <w:basedOn w:val="CommentText"/>
    <w:next w:val="CommentText"/>
    <w:link w:val="CommentSubjectChar"/>
    <w:uiPriority w:val="99"/>
    <w:semiHidden/>
    <w:unhideWhenUsed/>
    <w:rsid w:val="00BD7B7F"/>
    <w:rPr>
      <w:b/>
      <w:bCs/>
    </w:rPr>
  </w:style>
  <w:style w:type="character" w:customStyle="1" w:styleId="CommentSubjectChar">
    <w:name w:val="Comment Subject Char"/>
    <w:basedOn w:val="CommentTextChar"/>
    <w:link w:val="CommentSubject"/>
    <w:uiPriority w:val="99"/>
    <w:semiHidden/>
    <w:rsid w:val="00BD7B7F"/>
    <w:rPr>
      <w:rFonts w:cs="Arial Unicode MS"/>
      <w:b/>
      <w:bCs/>
      <w:color w:val="000000"/>
      <w:u w:color="00000A"/>
      <w:lang w:val="en-US"/>
    </w:rPr>
  </w:style>
  <w:style w:type="paragraph" w:styleId="Caption">
    <w:name w:val="caption"/>
    <w:basedOn w:val="Normal"/>
    <w:next w:val="Normal"/>
    <w:uiPriority w:val="35"/>
    <w:unhideWhenUsed/>
    <w:qFormat/>
    <w:rsid w:val="00EE30E0"/>
    <w:rPr>
      <w:iCs/>
      <w:color w:val="auto"/>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4066</Words>
  <Characters>20823</Characters>
  <Application>Microsoft Macintosh Word</Application>
  <DocSecurity>0</DocSecurity>
  <Lines>433</Lines>
  <Paragraphs>56</Paragraphs>
  <ScaleCrop>false</ScaleCrop>
  <Company/>
  <LinksUpToDate>false</LinksUpToDate>
  <CharactersWithSpaces>24833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Miriam Rasch</cp:lastModifiedBy>
  <cp:revision>18</cp:revision>
  <dcterms:created xsi:type="dcterms:W3CDTF">2019-10-23T09:27:00Z</dcterms:created>
  <dcterms:modified xsi:type="dcterms:W3CDTF">2019-12-04T12:39:00Z</dcterms:modified>
</cp:coreProperties>
</file>