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AUTHORISED INDIVIDUAL APPLICATION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APPLICATION GUIDELINES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confirm that I have carefully read and understood the guidelines: undefined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DIFC DISCLOSURE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 you consent to the disclosure of information in this application by the DFSA to the DIFCA?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FIRM INFORMATION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Firm Name: undefined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Firm Number: undefined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REQUESTOR INFORMATION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Name of person making the submission: undefined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Position / Title: undefined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Email address: undefined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Contact Telephone Number: undefined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AUTHORISED INDIVIDUAL INFORMATION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is the name of proposed Authorised Individual? undefined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APPLICANT INFORMATION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Is the Candidate applying on behalf of a Representative Office?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7. CANDIDATE IDENTITY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Has the candidate previously applied or held Authorised Individual status with the DFSA?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8. CANDIDATE PASSPORT DETAILS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9. CANDIDATE OTHER NAMES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Has the candidate ever used other names or changed names?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10. CANDIDATE CITIZENSHIP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11. CANDIDATE ADDRESS AND CONTACT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Address: undefined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Postcode / PO box: undefined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Country: undefined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Mobile telephone number: undefined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Contact Email Address: undefined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For how long has the candidate resided at the above address? undefined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12. PREVIOUS ADDRESS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13. LICENSED FUNCTIONS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14. CANDIDATE POSITION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What is the candidate's proposed job title? undefined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Do you have proposed starting date? No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Please explain: undefined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Does the candidate hold or has previously held, in a personal capacity, any licence, registration or equivalent with any Financial Services Regulator?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Will the candidate applying for Principal Representative also be appointed as the MLRO?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15. REGULATORY HISTORY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Document Generated: 2025-12-18T06:15:36.285Z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Template Version: 1.0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