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r>
        <w:rPr>
          <w:rFonts w:ascii="Arial" w:cs="Arial" w:eastAsia="Arial" w:hAnsi="Arial"/>
          <w:sz w:val="20"/>
          <w:szCs w:val="20"/>
        </w:rPr>
        <w:t xml:space="preserve"/>
      </w:r>
    </w:p>
    <w:p>
      <w:pPr>
        <w:spacing w:after="120"/>
        <w:jc w:val="center"/>
      </w:pPr>
      <w:r>
        <w:rPr>
          <w:rFonts w:ascii="Arial" w:cs="Arial" w:eastAsia="Arial" w:hAnsi="Arial"/>
          <w:b/>
          <w:bCs/>
          <w:caps/>
          <w:color w:val="4A7FA8"/>
          <w:sz w:val="28"/>
          <w:szCs w:val="28"/>
        </w:rPr>
        <w:t xml:space="preserve">STC BANK</w:t>
      </w:r>
    </w:p>
    <w:p>
      <w:pPr>
        <w:spacing w:after="480"/>
        <w:jc w:val="center"/>
      </w:pPr>
      <w:r>
        <w:rPr>
          <w:rFonts w:ascii="Arial" w:cs="Arial" w:eastAsia="Arial" w:hAnsi="Arial"/>
          <w:caps/>
          <w:color w:val="4A7FA8"/>
          <w:sz w:val="22"/>
          <w:szCs w:val="22"/>
        </w:rPr>
        <w:t xml:space="preserve">TECHNOLOGY UNIT</w:t>
      </w:r>
    </w:p>
    <w:p>
      <w:pPr>
        <w:spacing w:after="240"/>
        <w:jc w:val="center"/>
      </w:pPr>
      <w:r>
        <w:rPr>
          <w:rFonts w:ascii="Arial" w:cs="Arial" w:eastAsia="Arial" w:hAnsi="Arial"/>
          <w:b/>
          <w:bCs/>
          <w:color w:val="1E3A5F"/>
          <w:sz w:val="48"/>
          <w:szCs w:val="48"/>
        </w:rPr>
        <w:t xml:space="preserve">GPRC Platform — Work.Scope4.0 (DWS.03)</w:t>
      </w:r>
    </w:p>
    <w:p>
      <w:pPr>
        <w:spacing w:after="800"/>
        <w:jc w:val="center"/>
      </w:pPr>
      <w:r>
        <w:rPr>
          <w:rFonts w:ascii="Arial" w:cs="Arial" w:eastAsia="Arial" w:hAnsi="Arial"/>
          <w:color w:val="2E5F8A"/>
          <w:sz w:val="32"/>
          <w:szCs w:val="32"/>
        </w:rPr>
        <w:t xml:space="preserve">High Level Architecture Design</w:t>
      </w:r>
    </w:p>
    <w:p>
      <w:pPr>
        <w:pBdr>
          <w:bottom w:val="single" w:color="1E3A5F" w:sz="12" w:space="1"/>
        </w:pBdr>
        <w:spacing w:after="400"/>
      </w:pPr>
      <w:r>
        <w:rPr>
          <w:rFonts w:ascii="Arial" w:cs="Arial" w:eastAsia="Arial" w:hAnsi="Arial"/>
          <w:sz w:val="20"/>
          <w:szCs w:val="20"/>
        </w:rP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tblGrid>
      <w:tr>
        <w:tc>
          <w:tcPr>
            <w:tcW w:type="dxa" w:w="1800"/>
            <w:tcBorders>
              <w:top w:val="none" w:color="FFFFFF" w:sz="0"/>
              <w:left w:val="none" w:color="FFFFFF" w:sz="0"/>
              <w:bottom w:val="none" w:color="FFFFFF" w:sz="0"/>
              <w:right w:val="none" w:color="FFFFFF" w:sz="0"/>
            </w:tcBorders>
            <w:shd w:fill="FFFFFF" w:val="clear"/>
            <w:tcMar>
              <w:top w:type="dxa" w:w="60"/>
              <w:left w:type="dxa" w:w="0"/>
              <w:bottom w:type="dxa" w:w="60"/>
              <w:right w:type="dxa" w:w="120"/>
            </w:tcMar>
          </w:tcPr>
          <w:p>
            <w:pPr>
              <w:spacing w:after="0"/>
            </w:pPr>
            <w:r>
              <w:rPr>
                <w:rFonts w:ascii="Arial" w:cs="Arial" w:eastAsia="Arial" w:hAnsi="Arial"/>
                <w:b/>
                <w:bCs/>
                <w:color w:val="2E5F8A"/>
                <w:sz w:val="20"/>
                <w:szCs w:val="20"/>
              </w:rPr>
              <w:t xml:space="preserve">Version</w:t>
            </w:r>
          </w:p>
        </w:tc>
        <w:tc>
          <w:tcPr>
            <w:tcW w:type="dxa" w:w="320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0"/>
            </w:pPr>
            <w:r>
              <w:rPr>
                <w:rFonts w:ascii="Arial" w:cs="Arial" w:eastAsia="Arial" w:hAnsi="Arial"/>
                <w:sz w:val="20"/>
                <w:szCs w:val="20"/>
              </w:rPr>
              <w:t xml:space="preserve">0.1 (Draft)</w:t>
            </w:r>
          </w:p>
        </w:tc>
      </w:tr>
      <w:tr>
        <w:tc>
          <w:tcPr>
            <w:tcW w:type="dxa" w:w="1800"/>
            <w:tcBorders>
              <w:top w:val="none" w:color="FFFFFF" w:sz="0"/>
              <w:left w:val="none" w:color="FFFFFF" w:sz="0"/>
              <w:bottom w:val="none" w:color="FFFFFF" w:sz="0"/>
              <w:right w:val="none" w:color="FFFFFF" w:sz="0"/>
            </w:tcBorders>
            <w:shd w:fill="FFFFFF" w:val="clear"/>
            <w:tcMar>
              <w:top w:type="dxa" w:w="60"/>
              <w:left w:type="dxa" w:w="0"/>
              <w:bottom w:type="dxa" w:w="60"/>
              <w:right w:type="dxa" w:w="120"/>
            </w:tcMar>
          </w:tcPr>
          <w:p>
            <w:pPr>
              <w:spacing w:after="0"/>
            </w:pPr>
            <w:r>
              <w:rPr>
                <w:rFonts w:ascii="Arial" w:cs="Arial" w:eastAsia="Arial" w:hAnsi="Arial"/>
                <w:b/>
                <w:bCs/>
                <w:color w:val="2E5F8A"/>
                <w:sz w:val="20"/>
                <w:szCs w:val="20"/>
              </w:rPr>
              <w:t xml:space="preserve">Date</w:t>
            </w:r>
          </w:p>
        </w:tc>
        <w:tc>
          <w:tcPr>
            <w:tcW w:type="dxa" w:w="320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0"/>
            </w:pPr>
            <w:r>
              <w:rPr>
                <w:rFonts w:ascii="Arial" w:cs="Arial" w:eastAsia="Arial" w:hAnsi="Arial"/>
                <w:sz w:val="20"/>
                <w:szCs w:val="20"/>
              </w:rPr>
              <w:t xml:space="preserve">2026-05-19</w:t>
            </w:r>
          </w:p>
        </w:tc>
      </w:tr>
      <w:tr>
        <w:tc>
          <w:tcPr>
            <w:tcW w:type="dxa" w:w="1800"/>
            <w:tcBorders>
              <w:top w:val="none" w:color="FFFFFF" w:sz="0"/>
              <w:left w:val="none" w:color="FFFFFF" w:sz="0"/>
              <w:bottom w:val="none" w:color="FFFFFF" w:sz="0"/>
              <w:right w:val="none" w:color="FFFFFF" w:sz="0"/>
            </w:tcBorders>
            <w:shd w:fill="FFFFFF" w:val="clear"/>
            <w:tcMar>
              <w:top w:type="dxa" w:w="60"/>
              <w:left w:type="dxa" w:w="0"/>
              <w:bottom w:type="dxa" w:w="60"/>
              <w:right w:type="dxa" w:w="120"/>
            </w:tcMar>
          </w:tcPr>
          <w:p>
            <w:pPr>
              <w:spacing w:after="0"/>
            </w:pPr>
            <w:r>
              <w:rPr>
                <w:rFonts w:ascii="Arial" w:cs="Arial" w:eastAsia="Arial" w:hAnsi="Arial"/>
                <w:b/>
                <w:bCs/>
                <w:color w:val="2E5F8A"/>
                <w:sz w:val="20"/>
                <w:szCs w:val="20"/>
              </w:rPr>
              <w:t xml:space="preserve">Status</w:t>
            </w:r>
          </w:p>
        </w:tc>
        <w:tc>
          <w:tcPr>
            <w:tcW w:type="dxa" w:w="320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0"/>
            </w:pPr>
            <w:r>
              <w:rPr>
                <w:rFonts w:ascii="Arial" w:cs="Arial" w:eastAsia="Arial" w:hAnsi="Arial"/>
                <w:sz w:val="20"/>
                <w:szCs w:val="20"/>
              </w:rPr>
              <w:t xml:space="preserve">Draft — Confidential</w:t>
            </w:r>
          </w:p>
        </w:tc>
      </w:tr>
      <w:tr>
        <w:tc>
          <w:tcPr>
            <w:tcW w:type="dxa" w:w="1800"/>
            <w:tcBorders>
              <w:top w:val="none" w:color="FFFFFF" w:sz="0"/>
              <w:left w:val="none" w:color="FFFFFF" w:sz="0"/>
              <w:bottom w:val="none" w:color="FFFFFF" w:sz="0"/>
              <w:right w:val="none" w:color="FFFFFF" w:sz="0"/>
            </w:tcBorders>
            <w:shd w:fill="FFFFFF" w:val="clear"/>
            <w:tcMar>
              <w:top w:type="dxa" w:w="60"/>
              <w:left w:type="dxa" w:w="0"/>
              <w:bottom w:type="dxa" w:w="60"/>
              <w:right w:type="dxa" w:w="120"/>
            </w:tcMar>
          </w:tcPr>
          <w:p>
            <w:pPr>
              <w:spacing w:after="0"/>
            </w:pPr>
            <w:r>
              <w:rPr>
                <w:rFonts w:ascii="Arial" w:cs="Arial" w:eastAsia="Arial" w:hAnsi="Arial"/>
                <w:b/>
                <w:bCs/>
                <w:color w:val="2E5F8A"/>
                <w:sz w:val="20"/>
                <w:szCs w:val="20"/>
              </w:rPr>
              <w:t xml:space="preserve">Platform ID</w:t>
            </w:r>
          </w:p>
        </w:tc>
        <w:tc>
          <w:tcPr>
            <w:tcW w:type="dxa" w:w="320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0"/>
            </w:pPr>
            <w:r>
              <w:rPr>
                <w:rFonts w:ascii="Arial" w:cs="Arial" w:eastAsia="Arial" w:hAnsi="Arial"/>
                <w:sz w:val="20"/>
                <w:szCs w:val="20"/>
              </w:rPr>
              <w:t xml:space="preserve">DWS.03</w:t>
            </w:r>
          </w:p>
        </w:tc>
      </w:tr>
      <w:tr>
        <w:tc>
          <w:tcPr>
            <w:tcW w:type="dxa" w:w="1800"/>
            <w:tcBorders>
              <w:top w:val="none" w:color="FFFFFF" w:sz="0"/>
              <w:left w:val="none" w:color="FFFFFF" w:sz="0"/>
              <w:bottom w:val="none" w:color="FFFFFF" w:sz="0"/>
              <w:right w:val="none" w:color="FFFFFF" w:sz="0"/>
            </w:tcBorders>
            <w:shd w:fill="FFFFFF" w:val="clear"/>
            <w:tcMar>
              <w:top w:type="dxa" w:w="60"/>
              <w:left w:type="dxa" w:w="0"/>
              <w:bottom w:type="dxa" w:w="60"/>
              <w:right w:type="dxa" w:w="120"/>
            </w:tcMar>
          </w:tcPr>
          <w:p>
            <w:pPr>
              <w:spacing w:after="0"/>
            </w:pPr>
            <w:r>
              <w:rPr>
                <w:rFonts w:ascii="Arial" w:cs="Arial" w:eastAsia="Arial" w:hAnsi="Arial"/>
                <w:b/>
                <w:bCs/>
                <w:color w:val="2E5F8A"/>
                <w:sz w:val="20"/>
                <w:szCs w:val="20"/>
              </w:rPr>
              <w:t xml:space="preserve">Client</w:t>
            </w:r>
          </w:p>
        </w:tc>
        <w:tc>
          <w:tcPr>
            <w:tcW w:type="dxa" w:w="320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0"/>
            </w:pPr>
            <w:r>
              <w:rPr>
                <w:rFonts w:ascii="Arial" w:cs="Arial" w:eastAsia="Arial" w:hAnsi="Arial"/>
                <w:sz w:val="20"/>
                <w:szCs w:val="20"/>
              </w:rPr>
              <w:t xml:space="preserve">STC Bank — Technology Unit</w:t>
            </w:r>
          </w:p>
        </w:tc>
      </w:tr>
      <w:tr>
        <w:tc>
          <w:tcPr>
            <w:tcW w:type="dxa" w:w="1800"/>
            <w:tcBorders>
              <w:top w:val="none" w:color="FFFFFF" w:sz="0"/>
              <w:left w:val="none" w:color="FFFFFF" w:sz="0"/>
              <w:bottom w:val="none" w:color="FFFFFF" w:sz="0"/>
              <w:right w:val="none" w:color="FFFFFF" w:sz="0"/>
            </w:tcBorders>
            <w:shd w:fill="FFFFFF" w:val="clear"/>
            <w:tcMar>
              <w:top w:type="dxa" w:w="60"/>
              <w:left w:type="dxa" w:w="0"/>
              <w:bottom w:type="dxa" w:w="60"/>
              <w:right w:type="dxa" w:w="120"/>
            </w:tcMar>
          </w:tcPr>
          <w:p>
            <w:pPr>
              <w:spacing w:after="0"/>
            </w:pPr>
            <w:r>
              <w:rPr>
                <w:rFonts w:ascii="Arial" w:cs="Arial" w:eastAsia="Arial" w:hAnsi="Arial"/>
                <w:b/>
                <w:bCs/>
                <w:color w:val="2E5F8A"/>
                <w:sz w:val="20"/>
                <w:szCs w:val="20"/>
              </w:rPr>
              <w:t xml:space="preserve">Prepared by</w:t>
            </w:r>
          </w:p>
        </w:tc>
        <w:tc>
          <w:tcPr>
            <w:tcW w:type="dxa" w:w="320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0"/>
            </w:pPr>
            <w:r>
              <w:rPr>
                <w:rFonts w:ascii="Arial" w:cs="Arial" w:eastAsia="Arial" w:hAnsi="Arial"/>
                <w:sz w:val="20"/>
                <w:szCs w:val="20"/>
              </w:rPr>
              <w:t xml:space="preserve">DQ</w:t>
            </w:r>
          </w:p>
        </w:tc>
      </w:tr>
    </w:tbl>
    <w:p>
      <w:pPr>
        <w:spacing w:after="400"/>
      </w:pPr>
      <w:r>
        <w:rPr>
          <w:rFonts w:ascii="Arial" w:cs="Arial" w:eastAsia="Arial" w:hAnsi="Arial"/>
          <w:sz w:val="20"/>
          <w:szCs w:val="20"/>
        </w:rPr>
        <w:t xml:space="preserve"/>
      </w:r>
    </w:p>
    <w:p>
      <w:pPr>
        <w:jc w:val="center"/>
      </w:pPr>
      <w:r>
        <w:rPr>
          <w:rFonts w:ascii="Arial" w:cs="Arial" w:eastAsia="Arial" w:hAnsi="Arial"/>
          <w:i/>
          <w:iCs/>
          <w:color w:val="888888"/>
          <w:sz w:val="18"/>
          <w:szCs w:val="18"/>
        </w:rPr>
        <w:t xml:space="preserve">CONFIDENTIAL — DQ &amp; STC Bank only</w:t>
      </w:r>
    </w:p>
    <w:p>
      <w:pPr>
        <w:sectPr>
          <w:pgSz w:w="11906" w:h="16838" w:orient="portrait"/>
          <w:pgMar w:top="1260" w:right="1260" w:bottom="1260" w:left="1260" w:header="708" w:footer="708" w:gutter="0"/>
          <w:pgNumType/>
          <w:docGrid w:linePitch="360"/>
        </w:sectPr>
      </w:pPr>
    </w:p>
    <w:p>
      <w:pPr>
        <w:pStyle w:val="Heading1"/>
        <w:pageBreakBefore/>
        <w:spacing w:after="200" w:before="0"/>
      </w:pPr>
      <w:r>
        <w:rPr>
          <w:rFonts w:ascii="Arial" w:cs="Arial" w:eastAsia="Arial" w:hAnsi="Arial"/>
          <w:b/>
          <w:bCs/>
          <w:color w:val="1E3A5F"/>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spacing w:after="200" w:before="480"/>
      </w:pPr>
      <w:r>
        <w:rPr>
          <w:rFonts w:ascii="Arial" w:cs="Arial" w:eastAsia="Arial" w:hAnsi="Arial"/>
          <w:b/>
          <w:bCs/>
          <w:color w:val="1E3A5F"/>
          <w:sz w:val="36"/>
          <w:szCs w:val="36"/>
        </w:rPr>
        <w:t xml:space="preserve">1.  Introduction</w:t>
      </w:r>
    </w:p>
    <w:p>
      <w:pPr>
        <w:spacing w:after="160" w:before="60"/>
      </w:pPr>
      <w:r>
        <w:rPr>
          <w:rFonts w:ascii="Arial" w:cs="Arial" w:eastAsia="Arial" w:hAnsi="Arial"/>
          <w:sz w:val="20"/>
          <w:szCs w:val="20"/>
        </w:rPr>
        <w:t xml:space="preserve">This document is the High Level Architecture Design (HLAD) for the GPRC Platform (Work.Scope4.0, DWS.03) — a unified governance, performance, risk, and compliance platform being built by DQ for STC Bank's Technology Unit. The platform unifies seven operational domains across a shared data model and serves eight user segments from board-level oversight to external portal access. This section establishes the business context, platform vision, and the governing architecture principles that all delivery workstreams must observe.</w:t>
      </w:r>
    </w:p>
    <w:p>
      <w:pPr>
        <w:pStyle w:val="Heading2"/>
        <w:pBdr>
          <w:bottom w:val="single" w:color="BDD0E5" w:sz="4" w:space="2"/>
        </w:pBdr>
        <w:spacing w:after="160" w:before="320"/>
      </w:pPr>
      <w:r>
        <w:rPr>
          <w:rFonts w:ascii="Arial" w:cs="Arial" w:eastAsia="Arial" w:hAnsi="Arial"/>
          <w:b/>
          <w:bCs/>
          <w:color w:val="2E5F8A"/>
          <w:sz w:val="28"/>
          <w:szCs w:val="28"/>
        </w:rPr>
        <w:t xml:space="preserve">1.1  Business Context</w:t>
      </w:r>
    </w:p>
    <w:p>
      <w:pPr>
        <w:spacing w:after="160" w:before="60"/>
      </w:pPr>
      <w:r>
        <w:rPr>
          <w:rFonts w:ascii="Arial" w:cs="Arial" w:eastAsia="Arial" w:hAnsi="Arial"/>
          <w:sz w:val="20"/>
          <w:szCs w:val="20"/>
        </w:rPr>
        <w:t xml:space="preserve">STC Bank's Technology Unit operates without a unified system for governance, performance, risk, and compliance management. GRC activity is distributed across spreadsheets, email, and point tools — with no single system of record and no live view of regulatory posture. The GPRC Platform addresses this gap with a modular, seven-domain system designed for SAMA ITGF compliance from go-live and airgapped on-premises deployment in STC Bank's own data centre.</w:t>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500"/>
        <w:gridCol w:w="2000"/>
        <w:gridCol w:w="6886"/>
      </w:tblGrid>
      <w:tr>
        <w:trPr>
          <w:tblHeader/>
        </w:trPr>
        <w:tc>
          <w:tcPr>
            <w:tcW w:type="dxa" w:w="5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20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Title</w:t>
            </w:r>
          </w:p>
        </w:tc>
        <w:tc>
          <w:tcPr>
            <w:tcW w:type="dxa" w:w="6886"/>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5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01</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Strategic Objectives</w:t>
            </w:r>
          </w:p>
        </w:tc>
        <w:tc>
          <w:tcPr>
            <w:tcW w:type="dxa" w:w="68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Establish a unified GPRC operating capability for STC Bank's Technology Unit. Replace fragmented manual processes with a single platform that delivers SAMA ITGF L3 compliance from go-live, board-level real-time visibility, and a live compliance posture against all mandatory regulatory frameworks. Support Saudi Vision 2030 FSDP obligations including ESG reporting and Saudisation compliance.</w:t>
            </w:r>
          </w:p>
        </w:tc>
      </w:tr>
      <w:tr>
        <w:tc>
          <w:tcPr>
            <w:tcW w:type="dxa" w:w="5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02</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Market Dynamics</w:t>
            </w:r>
          </w:p>
        </w:tc>
        <w:tc>
          <w:tcPr>
            <w:tcW w:type="dxa" w:w="68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STC Bank is a fully digital, SAMA-licensed fintech bank operating in Saudi Arabia's regulated financial sector under Vision 2030's Financial Sector Development Programme. SAMA ITGF, NCA ECC, PDPL, and AML/CFT requirements are mandatory and actively enforced. Regulatory examination frequency is increasing. The digital bank is scaling product and customer volume, proportionally increasing risk and compliance exposure without a governed operating model.</w:t>
            </w:r>
          </w:p>
        </w:tc>
      </w:tr>
      <w:tr>
        <w:tc>
          <w:tcPr>
            <w:tcW w:type="dxa" w:w="5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03</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Stakeholder Segments</w:t>
            </w:r>
          </w:p>
        </w:tc>
        <w:tc>
          <w:tcPr>
            <w:tcW w:type="dxa" w:w="68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Eight segments: Board and Oversight (periodic, read and approve); Executive Leadership (exception-driven, cross-domain); Domain Leaders (daily operational, domain-scoped); Business Unit Owners (daily to weekly, entity-scoped); GRC and Assurance Practitioners (daily, specialist domain); Change and Delivery Practitioners (daily, D1 and D3); Vendors and Third Parties (on-request, portal only); Regulators and External Auditors (audit-cycle, scoped read and finding-write).</w:t>
            </w:r>
          </w:p>
        </w:tc>
      </w:tr>
      <w:tr>
        <w:tc>
          <w:tcPr>
            <w:tcW w:type="dxa" w:w="5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04</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Current Challenges</w:t>
            </w:r>
          </w:p>
        </w:tc>
        <w:tc>
          <w:tcPr>
            <w:tcW w:type="dxa" w:w="68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SAMA ITGF L3 policies and procedures are not in a governed, evidenced system and cannot sustain regulatory examination. Evidence is scrambled before audits rather than collected continuously. Board packs are assembled manually and are stale before presentation. Change decisions are made without governance records. Risk posture has no single authoritative view. The current approach cannot scale with STC Bank's growth trajectory.</w:t>
            </w:r>
          </w:p>
        </w:tc>
      </w:tr>
    </w:tbl>
    <w:p>
      <w:pPr>
        <w:spacing w:after="160"/>
      </w:pPr>
      <w:r>
        <w:rPr>
          <w:rFonts w:ascii="Arial" w:cs="Arial" w:eastAsia="Arial" w:hAnsi="Arial"/>
          <w:sz w:val="20"/>
          <w:szCs w:val="20"/>
        </w:rPr>
        <w:t xml:space="preserve"/>
      </w:r>
    </w:p>
    <w:p>
      <w:pPr>
        <w:pStyle w:val="Heading2"/>
        <w:pBdr>
          <w:bottom w:val="single" w:color="BDD0E5" w:sz="4" w:space="2"/>
        </w:pBdr>
        <w:spacing w:after="160" w:before="320"/>
      </w:pPr>
      <w:r>
        <w:rPr>
          <w:rFonts w:ascii="Arial" w:cs="Arial" w:eastAsia="Arial" w:hAnsi="Arial"/>
          <w:b/>
          <w:bCs/>
          <w:color w:val="2E5F8A"/>
          <w:sz w:val="28"/>
          <w:szCs w:val="28"/>
        </w:rPr>
        <w:t xml:space="preserve">1.2  Platform Vision</w:t>
      </w:r>
    </w:p>
    <w:p>
      <w:pPr>
        <w:spacing w:after="160" w:before="60"/>
      </w:pPr>
      <w:r>
        <w:rPr>
          <w:rFonts w:ascii="Arial" w:cs="Arial" w:eastAsia="Arial" w:hAnsi="Arial"/>
          <w:sz w:val="20"/>
          <w:szCs w:val="20"/>
        </w:rPr>
        <w:t xml:space="preserve">The GPRC Platform delivers a comprehensive, modular governance, performance, risk, and compliance system covering the full enterprise management lifecycle — from strategy definition through to compliance assurance — in a single system with a shared data model. It is sector-agnostic by design and activated per deployment; the STC Bank engagement is the first activation of the DWS.03 platform, with SAMA ITGF, PDPL, and airgapped on-prem deployment as configuration and activation scope, not as platform-defining constraints.</w:t>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500"/>
        <w:gridCol w:w="2000"/>
        <w:gridCol w:w="6886"/>
      </w:tblGrid>
      <w:tr>
        <w:trPr>
          <w:tblHeader/>
        </w:trPr>
        <w:tc>
          <w:tcPr>
            <w:tcW w:type="dxa" w:w="5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20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Title</w:t>
            </w:r>
          </w:p>
        </w:tc>
        <w:tc>
          <w:tcPr>
            <w:tcW w:type="dxa" w:w="6886"/>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5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01</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Platform Objective</w:t>
            </w:r>
          </w:p>
        </w:tc>
        <w:tc>
          <w:tcPr>
            <w:tcW w:type="dxa" w:w="68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Deliver a unified system that manages all seven GPRC domains — Strategy, Governance, Change, Risk, Compliance, Resilience, and Platform Intelligence — through a single shared data model. Cross-domain linkages are structural, not integrations. Every risk links to a strategic objective; every control links to an obligation and a risk; every change triggers a risk assessment.</w:t>
            </w:r>
          </w:p>
        </w:tc>
      </w:tr>
      <w:tr>
        <w:tc>
          <w:tcPr>
            <w:tcW w:type="dxa" w:w="5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02</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Platform Strategy</w:t>
            </w:r>
          </w:p>
        </w:tc>
        <w:tc>
          <w:tcPr>
            <w:tcW w:type="dxa" w:w="68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Build a composable, modular platform where domains activate independently. Foundation services (IAM, workflows, audit trail, analytics) are shared and never reimplemented per domain. The platform is reusable across any enterprise that requires GPRC management — sector-specific compliance streams are configuration, not architecture.</w:t>
            </w:r>
          </w:p>
        </w:tc>
      </w:tr>
      <w:tr>
        <w:tc>
          <w:tcPr>
            <w:tcW w:type="dxa" w:w="5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03</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Platform Technology</w:t>
            </w:r>
          </w:p>
        </w:tc>
        <w:tc>
          <w:tcPr>
            <w:tcW w:type="dxa" w:w="68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Web frontend built on React and Next.js with server-side rendering. API Gateway and domain services on Express.js with a Backend-for-Frontend (BFF) pattern. Background work and AI features in a separate Node.js worker process. PostgreSQL as the unified system of record with schema-level domain separation and Row-Level Security. Redis for session state and read-through cache.</w:t>
            </w:r>
          </w:p>
        </w:tc>
      </w:tr>
      <w:tr>
        <w:tc>
          <w:tcPr>
            <w:tcW w:type="dxa" w:w="5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04</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Platform Architecture</w:t>
            </w:r>
          </w:p>
        </w:tc>
        <w:tc>
          <w:tcPr>
            <w:tcW w:type="dxa" w:w="68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 three-tier application architecture: Client Tier (Next.js and React), Application and Integration Layer (Express.js services and Node.js workers), Data and Intelligence Layer (PostgreSQL and Redis). All cross-tier communication is via explicit API contracts. No business logic in the Client Tier. RLS enforced at the database layer independently of the application tier.</w:t>
            </w:r>
          </w:p>
        </w:tc>
      </w:tr>
      <w:tr>
        <w:tc>
          <w:tcPr>
            <w:tcW w:type="dxa" w:w="5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05</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Platform Implementation</w:t>
            </w:r>
          </w:p>
        </w:tc>
        <w:tc>
          <w:tcPr>
            <w:tcW w:type="dxa" w:w="68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Delivered in two MVPs by DQ for STC Bank. MVP 1 (target Month 3, committed Month 4 — Sep 2026) delivers the full platform: all four stages, nineteen features, SAMA ITGF loaded, and Compliance Dashboard live. MVP 2 (target Month 5, committed Month 6 — Nov 2026) delivers enhancements from UAT 1 feedback and Compliance Forums activation.</w:t>
            </w:r>
          </w:p>
        </w:tc>
      </w:tr>
      <w:tr>
        <w:tc>
          <w:tcPr>
            <w:tcW w:type="dxa" w:w="5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06</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Platform Deployment</w:t>
            </w:r>
          </w:p>
        </w:tc>
        <w:tc>
          <w:tcPr>
            <w:tcW w:type="dxa" w:w="68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Airgapped, on-premises deployment in STC Bank's own data centre. No external cloud dependencies for production data. DQ offshore team accesses the environment via VPN. All platform dependencies are vendored. SAMA ITGF data loaded via file import — test data before UAT 1, production data before UAT 2.</w:t>
            </w:r>
          </w:p>
        </w:tc>
      </w:tr>
    </w:tbl>
    <w:p>
      <w:pPr>
        <w:spacing w:after="160"/>
      </w:pPr>
      <w:r>
        <w:rPr>
          <w:rFonts w:ascii="Arial" w:cs="Arial" w:eastAsia="Arial" w:hAnsi="Arial"/>
          <w:sz w:val="20"/>
          <w:szCs w:val="20"/>
        </w:rPr>
        <w:t xml:space="preserve"/>
      </w:r>
    </w:p>
    <w:p>
      <w:pPr>
        <w:pStyle w:val="Heading2"/>
        <w:pBdr>
          <w:bottom w:val="single" w:color="BDD0E5" w:sz="4" w:space="2"/>
        </w:pBdr>
        <w:spacing w:after="160" w:before="320"/>
      </w:pPr>
      <w:r>
        <w:rPr>
          <w:rFonts w:ascii="Arial" w:cs="Arial" w:eastAsia="Arial" w:hAnsi="Arial"/>
          <w:b/>
          <w:bCs/>
          <w:color w:val="2E5F8A"/>
          <w:sz w:val="28"/>
          <w:szCs w:val="28"/>
        </w:rPr>
        <w:t xml:space="preserve">1.3  Architecture Principles</w:t>
      </w:r>
    </w:p>
    <w:p>
      <w:pPr>
        <w:spacing w:after="160" w:before="60"/>
      </w:pPr>
      <w:r>
        <w:rPr>
          <w:rFonts w:ascii="Arial" w:cs="Arial" w:eastAsia="Arial" w:hAnsi="Arial"/>
          <w:sz w:val="20"/>
          <w:szCs w:val="20"/>
        </w:rPr>
        <w:t xml:space="preserve">The following architecture principles govern all design decisions for the GPRC Platform. Every delivery workstream must observe these principles. Deviations require an Architectural Decision record (AD-NN) in §6.1.</w:t>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00"/>
        <w:gridCol w:w="1200"/>
        <w:gridCol w:w="2000"/>
        <w:gridCol w:w="5786"/>
      </w:tblGrid>
      <w:tr>
        <w:trPr>
          <w:tblHeader/>
        </w:trPr>
        <w:tc>
          <w:tcPr>
            <w:tcW w:type="dxa" w:w="4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12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20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Principle</w:t>
            </w:r>
          </w:p>
        </w:tc>
        <w:tc>
          <w:tcPr>
            <w:tcW w:type="dxa" w:w="5786"/>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01</w:t>
            </w:r>
          </w:p>
        </w:tc>
        <w:tc>
          <w:tcPr>
            <w:tcW w:type="dxa" w:w="1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AP-01</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API-First Architecture</w:t>
            </w:r>
          </w:p>
        </w:tc>
        <w:tc>
          <w:tcPr>
            <w:tcW w:type="dxa" w:w="57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All cross-tier communication is expressed as explicit REST API contracts. No direct database access from the Client Tier. Every container boundary is an API contract — no silent in-process coupling between deployable units.</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02</w:t>
            </w:r>
          </w:p>
        </w:tc>
        <w:tc>
          <w:tcPr>
            <w:tcW w:type="dxa" w:w="1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AP-02</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Zero-Trust Access Control</w:t>
            </w:r>
          </w:p>
        </w:tc>
        <w:tc>
          <w:tcPr>
            <w:tcW w:type="dxa" w:w="57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All requests are authenticated and authorised at the API Gateway regardless of origin. RBAC is enforced at the record level. Entity scoping is applied at the database layer via session variables. No bypass access paths exist for any user role or service account.</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03</w:t>
            </w:r>
          </w:p>
        </w:tc>
        <w:tc>
          <w:tcPr>
            <w:tcW w:type="dxa" w:w="1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AP-03</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Data Integrity at the Database Layer</w:t>
            </w:r>
          </w:p>
        </w:tc>
        <w:tc>
          <w:tcPr>
            <w:tcW w:type="dxa" w:w="57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Row-Level Security is enforced at the PostgreSQL layer independently of the application tier. Application-tier RBAC is defence-in-depth; RLS is the non-negotiable enforcement boundary. Every transaction must set app.user_id, app.org_id, and app.entity_scope session variables before any query executes.</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04</w:t>
            </w:r>
          </w:p>
        </w:tc>
        <w:tc>
          <w:tcPr>
            <w:tcW w:type="dxa" w:w="1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AP-04</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Stateless Application Containers</w:t>
            </w:r>
          </w:p>
        </w:tc>
        <w:tc>
          <w:tcPr>
            <w:tcW w:type="dxa" w:w="57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All application containers (Web Application, Portal, API Gateway, Domain Services, Workflow Engine, Integration Service) are stateless. Session state is held exclusively in Redis. No in-memory state persists across requests. Any instance can serve any request.</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05</w:t>
            </w:r>
          </w:p>
        </w:tc>
        <w:tc>
          <w:tcPr>
            <w:tcW w:type="dxa" w:w="1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AP-05</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Foundation Never Reimplemented</w:t>
            </w:r>
          </w:p>
        </w:tc>
        <w:tc>
          <w:tcPr>
            <w:tcW w:type="dxa" w:w="57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IAM, audit trail, notification engine, workflow engine, file storage, and analytics pipeline are Foundation services shared across all seven domains. Domain services consume Foundation services via API. No domain reimplements or extends these capabilities in isolation.</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06</w:t>
            </w:r>
          </w:p>
        </w:tc>
        <w:tc>
          <w:tcPr>
            <w:tcW w:type="dxa" w:w="1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AP-06</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Human Authority Over AI</w:t>
            </w:r>
          </w:p>
        </w:tc>
        <w:tc>
          <w:tcPr>
            <w:tcW w:type="dxa" w:w="57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AI features surface, classify, and draft. No AI function approves, signs off, or takes material action without explicit human review and confirmation. Every AI output is overridable. Override events are logged with rationale.</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07</w:t>
            </w:r>
          </w:p>
        </w:tc>
        <w:tc>
          <w:tcPr>
            <w:tcW w:type="dxa" w:w="1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AP-07</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Airgap Compliance</w:t>
            </w:r>
          </w:p>
        </w:tc>
        <w:tc>
          <w:tcPr>
            <w:tcW w:type="dxa" w:w="57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No production data leaves the STCB on-premises boundary. All external feeds are inbound-only pull operations — scheduled batch or event-driven. The Integration Service is the only container with outbound reach; it writes only to the Platform Database.</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08</w:t>
            </w:r>
          </w:p>
        </w:tc>
        <w:tc>
          <w:tcPr>
            <w:tcW w:type="dxa" w:w="1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AP-08</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Configuration Over Code</w:t>
            </w:r>
          </w:p>
        </w:tc>
        <w:tc>
          <w:tcPr>
            <w:tcW w:type="dxa" w:w="57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New entities, BU structures, compliance frameworks, role configurations, and regulatory obligations are activated through configuration, not code change. Schema dependency enforces this: s4_regulatory -&gt; s3_ops -&gt; s2_account -&gt; s1_discovery -&gt; platform.</w:t>
            </w:r>
          </w:p>
        </w:tc>
      </w:tr>
    </w:tbl>
    <w:p>
      <w:pPr>
        <w:pStyle w:val="Heading1"/>
        <w:pageBreakBefore/>
        <w:spacing w:after="200" w:before="480"/>
      </w:pPr>
      <w:r>
        <w:rPr>
          <w:rFonts w:ascii="Arial" w:cs="Arial" w:eastAsia="Arial" w:hAnsi="Arial"/>
          <w:b/>
          <w:bCs/>
          <w:color w:val="1E3A5F"/>
          <w:sz w:val="36"/>
          <w:szCs w:val="36"/>
        </w:rPr>
        <w:t xml:space="preserve">2.  Solution Architecture</w:t>
      </w:r>
    </w:p>
    <w:p>
      <w:pPr>
        <w:spacing w:after="160" w:before="60"/>
      </w:pPr>
      <w:r>
        <w:rPr>
          <w:rFonts w:ascii="Arial" w:cs="Arial" w:eastAsia="Arial" w:hAnsi="Arial"/>
          <w:sz w:val="20"/>
          <w:szCs w:val="20"/>
        </w:rPr>
        <w:t xml:space="preserve">This section presents the platform-level architecture context — the three technology layers that implement the GPRC Platform and the strategic model they serve. The three layers — Client Tier, Data and Intelligence Layer, and Application and Integration Layer — are the organising structure for all capability delivery. Subsequent sections elaborate the specific architecture for DWS.03 as instantiated for STC Bank.</w:t>
      </w:r>
    </w:p>
    <w:p>
      <w:pPr>
        <w:pStyle w:val="Heading2"/>
        <w:pBdr>
          <w:bottom w:val="single" w:color="BDD0E5" w:sz="4" w:space="2"/>
        </w:pBdr>
        <w:spacing w:after="160" w:before="320"/>
      </w:pPr>
      <w:r>
        <w:rPr>
          <w:rFonts w:ascii="Arial" w:cs="Arial" w:eastAsia="Arial" w:hAnsi="Arial"/>
          <w:b/>
          <w:bCs/>
          <w:color w:val="2E5F8A"/>
          <w:sz w:val="28"/>
          <w:szCs w:val="28"/>
        </w:rPr>
        <w:t xml:space="preserve">2.1  Platform Context</w:t>
      </w:r>
    </w:p>
    <w:p>
      <w:pPr>
        <w:spacing w:after="160" w:before="60"/>
      </w:pPr>
      <w:r>
        <w:rPr>
          <w:rFonts w:ascii="Arial" w:cs="Arial" w:eastAsia="Arial" w:hAnsi="Arial"/>
          <w:sz w:val="20"/>
          <w:szCs w:val="20"/>
        </w:rPr>
        <w:t xml:space="preserve">The GPRC Platform is built on DQ's three-tier Digital Business Platform (DBP) architecture model, which separates user experience, business logic, and data concerns into distinct technology layers with explicit API boundaries between them. DWS.03 instantiates the model with GPRC-specific domain services, a seven-domain data schema, and an airgapped on-premises deployment topology.</w:t>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00"/>
        <w:gridCol w:w="2400"/>
        <w:gridCol w:w="6586"/>
      </w:tblGrid>
      <w:tr>
        <w:trPr>
          <w:tblHeader/>
        </w:trPr>
        <w:tc>
          <w:tcPr>
            <w:tcW w:type="dxa" w:w="4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24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Layer</w:t>
            </w:r>
          </w:p>
        </w:tc>
        <w:tc>
          <w:tcPr>
            <w:tcW w:type="dxa" w:w="6586"/>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Role</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01</w:t>
            </w:r>
          </w:p>
        </w:tc>
        <w:tc>
          <w:tcPr>
            <w:tcW w:type="dxa" w:w="2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Client Tier</w:t>
            </w:r>
          </w:p>
        </w:tc>
        <w:tc>
          <w:tcPr>
            <w:tcW w:type="dxa" w:w="65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The digital engagement and experience layer. Web application (React and Next.js with SSR) and external portal serve all eight user segments. No business logic resides in the client — the Client Tier renders UI and makes API calls only. Role-personalised dashboard composition is driven by server-side rendering from the API.</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02</w:t>
            </w:r>
          </w:p>
        </w:tc>
        <w:tc>
          <w:tcPr>
            <w:tcW w:type="dxa" w:w="2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Data and Intelligence Layer</w:t>
            </w:r>
          </w:p>
        </w:tc>
        <w:tc>
          <w:tcPr>
            <w:tcW w:type="dxa" w:w="65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The data and analytics backbone. PostgreSQL is the unified system of record with schema-level domain separation and RLS enforcement. Redis provides session state and read-through cache. The analytics pipeline processes cross-domain signals to produce the intelligence layer views consumed by Segments 1 and 2.</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03</w:t>
            </w:r>
          </w:p>
        </w:tc>
        <w:tc>
          <w:tcPr>
            <w:tcW w:type="dxa" w:w="2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Application and Integration Layer</w:t>
            </w:r>
          </w:p>
        </w:tc>
        <w:tc>
          <w:tcPr>
            <w:tcW w:type="dxa" w:w="65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The integration and operational foundation. Express.js API Gateway (BFF pattern), domain services, Workflow and AI Engine, and Integration Service all live in this layer. Business logic, orchestration, validation, access control, and external system adapters are owned here.</w:t>
            </w:r>
          </w:p>
        </w:tc>
      </w:tr>
    </w:tbl>
    <w:p>
      <w:pPr>
        <w:spacing w:after="160"/>
      </w:pPr>
      <w:r>
        <w:rPr>
          <w:rFonts w:ascii="Arial" w:cs="Arial" w:eastAsia="Arial" w:hAnsi="Arial"/>
          <w:sz w:val="20"/>
          <w:szCs w:val="20"/>
        </w:rPr>
        <w:t xml:space="preserve"/>
      </w:r>
    </w:p>
    <w:p>
      <w:pPr>
        <w:pStyle w:val="Heading2"/>
        <w:pBdr>
          <w:bottom w:val="single" w:color="BDD0E5" w:sz="4" w:space="2"/>
        </w:pBdr>
        <w:spacing w:after="160" w:before="320"/>
      </w:pPr>
      <w:r>
        <w:rPr>
          <w:rFonts w:ascii="Arial" w:cs="Arial" w:eastAsia="Arial" w:hAnsi="Arial"/>
          <w:b/>
          <w:bCs/>
          <w:color w:val="2E5F8A"/>
          <w:sz w:val="28"/>
          <w:szCs w:val="28"/>
        </w:rPr>
        <w:t xml:space="preserve">2.2  Client Tier</w:t>
      </w:r>
    </w:p>
    <w:p>
      <w:pPr>
        <w:spacing w:after="160" w:before="60"/>
      </w:pPr>
      <w:r>
        <w:rPr>
          <w:rFonts w:ascii="Arial" w:cs="Arial" w:eastAsia="Arial" w:hAnsi="Arial"/>
          <w:sz w:val="20"/>
          <w:szCs w:val="20"/>
        </w:rPr>
        <w:t xml:space="preserve">The Client Tier is the user-facing boundary of the platform — responsible for rendering the segment-personalised experience across web and portal channels while enforcing the constraint that no business logic executes in the client. Both the Web Application and External Portal are server-side rendered using Next.js. Arabic RTL and English LTR layout modes are both supported throughout.</w:t>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00"/>
        <w:gridCol w:w="2400"/>
        <w:gridCol w:w="6586"/>
      </w:tblGrid>
      <w:tr>
        <w:trPr>
          <w:tblHeader/>
        </w:trPr>
        <w:tc>
          <w:tcPr>
            <w:tcW w:type="dxa" w:w="4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24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Feature</w:t>
            </w:r>
          </w:p>
        </w:tc>
        <w:tc>
          <w:tcPr>
            <w:tcW w:type="dxa" w:w="6586"/>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01</w:t>
            </w:r>
          </w:p>
        </w:tc>
        <w:tc>
          <w:tcPr>
            <w:tcW w:type="dxa" w:w="2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Segment-Personalised Dashboards</w:t>
            </w:r>
          </w:p>
        </w:tc>
        <w:tc>
          <w:tcPr>
            <w:tcW w:type="dxa" w:w="65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Each of the eight segments lands on a dashboard populated with widgets relevant to their role. Dashboard composition is resolved server-side at login based on the authenticated user's role claims — no client-side configuration required.</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02</w:t>
            </w:r>
          </w:p>
        </w:tc>
        <w:tc>
          <w:tcPr>
            <w:tcW w:type="dxa" w:w="2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Navigation Layer</w:t>
            </w:r>
          </w:p>
        </w:tc>
        <w:tc>
          <w:tcPr>
            <w:tcW w:type="dxa" w:w="65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Surfaces only the domains the authenticated user is authorised for. Domain Leaders see their owned domain. BU Owners see entity-scoped views across D1, D2, D4, and D5. Board sees Intelligence layer only. Portal users see their scoped portal only.</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03</w:t>
            </w:r>
          </w:p>
        </w:tc>
        <w:tc>
          <w:tcPr>
            <w:tcW w:type="dxa" w:w="2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Global Workspace Layer</w:t>
            </w:r>
          </w:p>
        </w:tc>
        <w:tc>
          <w:tcPr>
            <w:tcW w:type="dxa" w:w="65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My Work, My Approvals, Notifications, Search, and Workflow Centre are always-visible global components rendered outside the domain navigation hierarchy.</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04</w:t>
            </w:r>
          </w:p>
        </w:tc>
        <w:tc>
          <w:tcPr>
            <w:tcW w:type="dxa" w:w="2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Server-Side Rendering (Next.js)</w:t>
            </w:r>
          </w:p>
        </w:tc>
        <w:tc>
          <w:tcPr>
            <w:tcW w:type="dxa" w:w="65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All pages are server-side rendered for initial load performance. Dashboard widgets are pre-populated server-side. Target: dashboards for Segments 1 and 2 load in under 2 seconds.</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05</w:t>
            </w:r>
          </w:p>
        </w:tc>
        <w:tc>
          <w:tcPr>
            <w:tcW w:type="dxa" w:w="2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Accessibility and Internationalisation</w:t>
            </w:r>
          </w:p>
        </w:tc>
        <w:tc>
          <w:tcPr>
            <w:tcW w:type="dxa" w:w="65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WCAG 2.1 AA compliance enforced at component level. Full keyboard navigability. ARIA labels on all interactive elements. Colour contrast at 4.5:1 minimum. Arabic RTL and English LTR layout modes supported.</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06</w:t>
            </w:r>
          </w:p>
        </w:tc>
        <w:tc>
          <w:tcPr>
            <w:tcW w:type="dxa" w:w="2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External Portal</w:t>
            </w:r>
          </w:p>
        </w:tc>
        <w:tc>
          <w:tcPr>
            <w:tcW w:type="dxa" w:w="65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Separate Next.js application (separate deployable) with portal-scoped JWT claims. Segment 7 (Vendors) access is invitation-only. Segment 8 (Regulators/Auditors) access provisioned per engagement. No route access to core domain records.</w:t>
            </w:r>
          </w:p>
        </w:tc>
      </w:tr>
    </w:tbl>
    <w:p>
      <w:pPr>
        <w:spacing w:after="160"/>
      </w:pPr>
      <w:r>
        <w:rPr>
          <w:rFonts w:ascii="Arial" w:cs="Arial" w:eastAsia="Arial" w:hAnsi="Arial"/>
          <w:sz w:val="20"/>
          <w:szCs w:val="20"/>
        </w:rPr>
        <w:t xml:space="preserve"/>
      </w:r>
    </w:p>
    <w:p>
      <w:pPr>
        <w:pStyle w:val="Heading2"/>
        <w:pBdr>
          <w:bottom w:val="single" w:color="BDD0E5" w:sz="4" w:space="2"/>
        </w:pBdr>
        <w:spacing w:after="160" w:before="320"/>
      </w:pPr>
      <w:r>
        <w:rPr>
          <w:rFonts w:ascii="Arial" w:cs="Arial" w:eastAsia="Arial" w:hAnsi="Arial"/>
          <w:b/>
          <w:bCs/>
          <w:color w:val="2E5F8A"/>
          <w:sz w:val="28"/>
          <w:szCs w:val="28"/>
        </w:rPr>
        <w:t xml:space="preserve">2.3  Data and Intelligence Layer</w:t>
      </w:r>
    </w:p>
    <w:p>
      <w:pPr>
        <w:spacing w:after="160" w:before="60"/>
      </w:pPr>
      <w:r>
        <w:rPr>
          <w:rFonts w:ascii="Arial" w:cs="Arial" w:eastAsia="Arial" w:hAnsi="Arial"/>
          <w:sz w:val="20"/>
          <w:szCs w:val="20"/>
        </w:rPr>
        <w:t xml:space="preserve">The Data and Intelligence Layer is the data backbone of the platform — responsible for durable storage, access enforcement, session state, and analytics processing that powers cross-domain intelligence views. PostgreSQL serves as the unified system of record. Redis holds session tokens and read-through cache only — no business logic or durable state is stored in Redis.</w:t>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00"/>
        <w:gridCol w:w="2600"/>
        <w:gridCol w:w="6386"/>
      </w:tblGrid>
      <w:tr>
        <w:trPr>
          <w:tblHeader/>
        </w:trPr>
        <w:tc>
          <w:tcPr>
            <w:tcW w:type="dxa" w:w="4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26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Feature</w:t>
            </w:r>
          </w:p>
        </w:tc>
        <w:tc>
          <w:tcPr>
            <w:tcW w:type="dxa" w:w="6386"/>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01</w:t>
            </w:r>
          </w:p>
        </w:tc>
        <w:tc>
          <w:tcPr>
            <w:tcW w:type="dxa" w:w="26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PostgreSQL — Unified System of Record</w:t>
            </w:r>
          </w:p>
        </w:tc>
        <w:tc>
          <w:tcPr>
            <w:tcW w:type="dxa" w:w="63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Single PostgreSQL database with five schema layers: platform (Foundation tables), s1_discovery (taxonomy and catalogues), s2_account (domain records), s3_ops (workflow and operational records), s4_regulatory (SAMA ITGF, PDPL, and specialist compliance data).</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02</w:t>
            </w:r>
          </w:p>
        </w:tc>
        <w:tc>
          <w:tcPr>
            <w:tcW w:type="dxa" w:w="26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Row-Level Security (RLS)</w:t>
            </w:r>
          </w:p>
        </w:tc>
        <w:tc>
          <w:tcPr>
            <w:tcW w:type="dxa" w:w="63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RLS policies defined at the PostgreSQL layer for every multi-tenant and entity-scoped table. Session variables app.user_id, app.org_id, and app.entity_scope set at the start of every transaction. RLS is independent of application-tier access control.</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03</w:t>
            </w:r>
          </w:p>
        </w:tc>
        <w:tc>
          <w:tcPr>
            <w:tcW w:type="dxa" w:w="26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Schema Dependency Enforcement</w:t>
            </w:r>
          </w:p>
        </w:tc>
        <w:tc>
          <w:tcPr>
            <w:tcW w:type="dxa" w:w="63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Foreign-key dependencies flow one direction only: s4_regulatory -&gt; s3_ops -&gt; s2_account -&gt; s1_discovery -&gt; platform. Lower schemas never reference upper schemas. Migrations must enforce this — circular or upward references are rejected.</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04</w:t>
            </w:r>
          </w:p>
        </w:tc>
        <w:tc>
          <w:tcPr>
            <w:tcW w:type="dxa" w:w="26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Redis — Session and Cache Store</w:t>
            </w:r>
          </w:p>
        </w:tc>
        <w:tc>
          <w:tcPr>
            <w:tcW w:type="dxa" w:w="63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JWT session state and read-through cache for high-frequency domain catalogue reads. Not used for business logic or durable state. Cache TTLs defined per data type. Redis flush = users re-authenticate; no domain data is lost.</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05</w:t>
            </w:r>
          </w:p>
        </w:tc>
        <w:tc>
          <w:tcPr>
            <w:tcW w:type="dxa" w:w="26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Analytics Pipeline</w:t>
            </w:r>
          </w:p>
        </w:tc>
        <w:tc>
          <w:tcPr>
            <w:tcW w:type="dxa" w:w="63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Processes cross-domain events and computes aggregate signals: strategy-risk correlation, change-incident patterns, culture-compliance linkage, and KRI trend analysis. Outputs stored in s3_ops analytics tables.</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06</w:t>
            </w:r>
          </w:p>
        </w:tc>
        <w:tc>
          <w:tcPr>
            <w:tcW w:type="dxa" w:w="26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Immutable Audit Trail</w:t>
            </w:r>
          </w:p>
        </w:tc>
        <w:tc>
          <w:tcPr>
            <w:tcW w:type="dxa" w:w="63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Every record mutation writes an immutable audit log entry to the platform schema. Records contain: type, ID, user, action, previous value, new value, and timestamp. Cannot be modified or deleted under any permission level.</w:t>
            </w:r>
          </w:p>
        </w:tc>
      </w:tr>
    </w:tbl>
    <w:p>
      <w:pPr>
        <w:spacing w:after="160"/>
      </w:pPr>
      <w:r>
        <w:rPr>
          <w:rFonts w:ascii="Arial" w:cs="Arial" w:eastAsia="Arial" w:hAnsi="Arial"/>
          <w:sz w:val="20"/>
          <w:szCs w:val="20"/>
        </w:rPr>
        <w:t xml:space="preserve"/>
      </w:r>
    </w:p>
    <w:p>
      <w:pPr>
        <w:pStyle w:val="Heading2"/>
        <w:pBdr>
          <w:bottom w:val="single" w:color="BDD0E5" w:sz="4" w:space="2"/>
        </w:pBdr>
        <w:spacing w:after="160" w:before="320"/>
      </w:pPr>
      <w:r>
        <w:rPr>
          <w:rFonts w:ascii="Arial" w:cs="Arial" w:eastAsia="Arial" w:hAnsi="Arial"/>
          <w:b/>
          <w:bCs/>
          <w:color w:val="2E5F8A"/>
          <w:sz w:val="28"/>
          <w:szCs w:val="28"/>
        </w:rPr>
        <w:t xml:space="preserve">2.4  Application and Integration Layer</w:t>
      </w:r>
    </w:p>
    <w:p>
      <w:pPr>
        <w:spacing w:after="160" w:before="60"/>
      </w:pPr>
      <w:r>
        <w:rPr>
          <w:rFonts w:ascii="Arial" w:cs="Arial" w:eastAsia="Arial" w:hAnsi="Arial"/>
          <w:sz w:val="20"/>
          <w:szCs w:val="20"/>
        </w:rPr>
        <w:t xml:space="preserve">The Application and Integration Layer owns business logic, orchestration, validation, external system adapters, and AI-assisted features across all seven domains. It contains four deployable service units: API Gateway (BFF), Domain Services, Workflow and AI Engine, and Integration Service. All units are stateless.</w:t>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00"/>
        <w:gridCol w:w="2400"/>
        <w:gridCol w:w="6586"/>
      </w:tblGrid>
      <w:tr>
        <w:trPr>
          <w:tblHeader/>
        </w:trPr>
        <w:tc>
          <w:tcPr>
            <w:tcW w:type="dxa" w:w="4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24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Feature</w:t>
            </w:r>
          </w:p>
        </w:tc>
        <w:tc>
          <w:tcPr>
            <w:tcW w:type="dxa" w:w="6586"/>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01</w:t>
            </w:r>
          </w:p>
        </w:tc>
        <w:tc>
          <w:tcPr>
            <w:tcW w:type="dxa" w:w="2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API Gateway (BFF)</w:t>
            </w:r>
          </w:p>
        </w:tc>
        <w:tc>
          <w:tcPr>
            <w:tcW w:type="dxa" w:w="65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Single entry point for all traffic from the Web Application and External Portal. Validates JWT, enforces RBAC, applies rate limiting, and routes requests to the appropriate service. All auth and routing decisions are logged. Portal-scoped tokens validated here before any downstream service is reached.</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02</w:t>
            </w:r>
          </w:p>
        </w:tc>
        <w:tc>
          <w:tcPr>
            <w:tcW w:type="dxa" w:w="2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Services</w:t>
            </w:r>
          </w:p>
        </w:tc>
        <w:tc>
          <w:tcPr>
            <w:tcW w:type="dxa" w:w="65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Seven-domain GPRC business logic in a single Express.js service with domain-namespaced route groups. Service pattern: Routes → Controllers → Services → Repositories. The Repository layer is the only layer with database access. Deployed as a single container at MVP1.</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03</w:t>
            </w:r>
          </w:p>
        </w:tc>
        <w:tc>
          <w:tcPr>
            <w:tcW w:type="dxa" w:w="2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Workflow and AI Engine</w:t>
            </w:r>
          </w:p>
        </w:tc>
        <w:tc>
          <w:tcPr>
            <w:tcW w:type="dxa" w:w="65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Node.js worker executing approval chains, escalation rules, deadline triggers, and AI-assisted features (AI-01 incident classification, AI-02 evidence gap detection, AI-03 KRI anomaly detection). Stateless — all workflow state persisted to the Platform Database. AI features are feature-flagged and default-off at MVP1 go-live.</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04</w:t>
            </w:r>
          </w:p>
        </w:tc>
        <w:tc>
          <w:tcPr>
            <w:tcW w:type="dxa" w:w="2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Integration Service</w:t>
            </w:r>
          </w:p>
        </w:tc>
        <w:tc>
          <w:tcPr>
            <w:tcW w:type="dxa" w:w="65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Scheduled and event-driven adapters for five external integrations: HRMS, Finance System, SIEM, SAMA ITGF Repository, External Intelligence Feeds. Only container with outbound network reach.</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05</w:t>
            </w:r>
          </w:p>
        </w:tc>
        <w:tc>
          <w:tcPr>
            <w:tcW w:type="dxa" w:w="2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Configurable Workflow Engine</w:t>
            </w:r>
          </w:p>
        </w:tc>
        <w:tc>
          <w:tcPr>
            <w:tcW w:type="dxa" w:w="65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Supports sequential, parallel, and conditional approval chains with auto-escalation for overdue items. Workflows configurable without code through the Domain 7 administration interface. Approval outcomes are immutable once recorded.</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06</w:t>
            </w:r>
          </w:p>
        </w:tc>
        <w:tc>
          <w:tcPr>
            <w:tcW w:type="dxa" w:w="2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AI-Assisted Features (Bounded)</w:t>
            </w:r>
          </w:p>
        </w:tc>
        <w:tc>
          <w:tcPr>
            <w:tcW w:type="dxa" w:w="65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AI-01, AI-02, AI-03 built for MVP1 but activated post-MVP1 via feature flags. All AI outputs require human review before assurance-grade acceptance. No AI function approves or takes material action. Override events logged with rationale.</w:t>
            </w:r>
          </w:p>
        </w:tc>
      </w:tr>
    </w:tbl>
    <w:p>
      <w:pPr>
        <w:pStyle w:val="Heading1"/>
        <w:pageBreakBefore/>
        <w:spacing w:after="200" w:before="480"/>
      </w:pPr>
      <w:r>
        <w:rPr>
          <w:rFonts w:ascii="Arial" w:cs="Arial" w:eastAsia="Arial" w:hAnsi="Arial"/>
          <w:b/>
          <w:bCs/>
          <w:color w:val="1E3A5F"/>
          <w:sz w:val="36"/>
          <w:szCs w:val="36"/>
        </w:rPr>
        <w:t xml:space="preserve">3.  Architecture Spec — Context</w:t>
      </w:r>
    </w:p>
    <w:p>
      <w:pPr>
        <w:spacing w:after="160" w:before="60"/>
      </w:pPr>
      <w:r>
        <w:rPr>
          <w:rFonts w:ascii="Arial" w:cs="Arial" w:eastAsia="Arial" w:hAnsi="Arial"/>
          <w:sz w:val="20"/>
          <w:szCs w:val="20"/>
        </w:rPr>
        <w:t xml:space="preserve">This section establishes the platform's capability architecture at the context level. It presents the full GPRC capability canvas and the DWS.03 variant that scopes delivery for STC Bank. The capability canvas provides the basis for the architecture views in §5 — each architecture view traces to one or more capability areas defined here.</w:t>
      </w:r>
    </w:p>
    <w:p>
      <w:pPr>
        <w:pStyle w:val="Heading2"/>
        <w:pBdr>
          <w:bottom w:val="single" w:color="BDD0E5" w:sz="4" w:space="2"/>
        </w:pBdr>
        <w:spacing w:after="160" w:before="320"/>
      </w:pPr>
      <w:r>
        <w:rPr>
          <w:rFonts w:ascii="Arial" w:cs="Arial" w:eastAsia="Arial" w:hAnsi="Arial"/>
          <w:b/>
          <w:bCs/>
          <w:color w:val="2E5F8A"/>
          <w:sz w:val="28"/>
          <w:szCs w:val="28"/>
        </w:rPr>
        <w:t xml:space="preserve">3.1  Capability Canvas</w:t>
      </w:r>
    </w:p>
    <w:p>
      <w:pPr>
        <w:spacing w:after="160" w:before="60"/>
      </w:pPr>
      <w:r>
        <w:rPr>
          <w:rFonts w:ascii="Arial" w:cs="Arial" w:eastAsia="Arial" w:hAnsi="Arial"/>
          <w:sz w:val="20"/>
          <w:szCs w:val="20"/>
        </w:rPr>
        <w:t xml:space="preserve">The GPRC Platform's capability architecture spans seven operational domains and one enabling domain, each covering a distinct slice of the enterprise management lifecycle. Capabilities within domains are structurally linked through the shared data model rather than point-to-point integrations.</w:t>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00"/>
        <w:gridCol w:w="2000"/>
        <w:gridCol w:w="4000"/>
        <w:gridCol w:w="2986"/>
      </w:tblGrid>
      <w:tr>
        <w:trPr>
          <w:tblHeader/>
        </w:trPr>
        <w:tc>
          <w:tcPr>
            <w:tcW w:type="dxa" w:w="4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20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Capability Area</w:t>
            </w:r>
          </w:p>
        </w:tc>
        <w:tc>
          <w:tcPr>
            <w:tcW w:type="dxa" w:w="40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2986"/>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Responsible Component</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01</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Strategy and Performance</w:t>
            </w:r>
          </w:p>
        </w:tc>
        <w:tc>
          <w:tcPr>
            <w:tcW w:type="dxa" w:w="4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Strategy definition and cascade, OKR and KPI management, project and portfolio management, performance scorecards, benefits realisation, and strategic risk linkage.</w:t>
            </w:r>
          </w:p>
        </w:tc>
        <w:tc>
          <w:tcPr>
            <w:tcW w:type="dxa" w:w="29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1 Services</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02</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Governance</w:t>
            </w:r>
          </w:p>
        </w:tc>
        <w:tc>
          <w:tcPr>
            <w:tcW w:type="dxa" w:w="4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Governance structure design, policy lifecycle, delegation of authority enforcement, committee management, board accountability, regulatory change management.</w:t>
            </w:r>
          </w:p>
        </w:tc>
        <w:tc>
          <w:tcPr>
            <w:tcW w:type="dxa" w:w="29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2 Services</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03</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Enterprise Change</w:t>
            </w:r>
          </w:p>
        </w:tc>
        <w:tc>
          <w:tcPr>
            <w:tcW w:type="dxa" w:w="4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Change governance and oversight, change risk assessment, innovation pipeline management, digital transformation programme management, transformation portfolio visibility.</w:t>
            </w:r>
          </w:p>
        </w:tc>
        <w:tc>
          <w:tcPr>
            <w:tcW w:type="dxa" w:w="29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3 Services</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04</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Risk Management</w:t>
            </w:r>
          </w:p>
        </w:tc>
        <w:tc>
          <w:tcPr>
            <w:tcW w:type="dxa" w:w="4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Enterprise risk framework, risk taxonomy, inherent and residual scoring, risk appetite framework, scenario analysis, KRI management, IT and cyber risk, third-party risk.</w:t>
            </w:r>
          </w:p>
        </w:tc>
        <w:tc>
          <w:tcPr>
            <w:tcW w:type="dxa" w:w="29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4 Services</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05</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Compliance and Assurance</w:t>
            </w:r>
          </w:p>
        </w:tc>
        <w:tc>
          <w:tcPr>
            <w:tcW w:type="dxa" w:w="4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Control library and framework management, compliance testing, multi-framework mapping, evidence management, audit management, specialised streams (SAMA ITGF, PDPL, SOX, ESG, Culture and Conduct).</w:t>
            </w:r>
          </w:p>
        </w:tc>
        <w:tc>
          <w:tcPr>
            <w:tcW w:type="dxa" w:w="29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5 Services</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06</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Resilience and Response</w:t>
            </w:r>
          </w:p>
        </w:tc>
        <w:tc>
          <w:tcPr>
            <w:tcW w:type="dxa" w:w="4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Incident classification and triage, issue and exception management, case management, remediation workflow, business continuity planning, crisis management.</w:t>
            </w:r>
          </w:p>
        </w:tc>
        <w:tc>
          <w:tcPr>
            <w:tcW w:type="dxa" w:w="29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6 Services</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07</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Platform and Intelligence</w:t>
            </w:r>
          </w:p>
        </w:tc>
        <w:tc>
          <w:tcPr>
            <w:tcW w:type="dxa" w:w="4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Integration ecosystem, scalability, workflow orchestration, AI-assisted intelligence, data classification, enterprise analytics, external intelligence feeds.</w:t>
            </w:r>
          </w:p>
        </w:tc>
        <w:tc>
          <w:tcPr>
            <w:tcW w:type="dxa" w:w="29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7 — Platform Services</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08</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Identity and Access Management</w:t>
            </w:r>
          </w:p>
        </w:tc>
        <w:tc>
          <w:tcPr>
            <w:tcW w:type="dxa" w:w="4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Authentication (MFA), RBAC, session management, delegation of authority enforcement at the API layer, entity scoping.</w:t>
            </w:r>
          </w:p>
        </w:tc>
        <w:tc>
          <w:tcPr>
            <w:tcW w:type="dxa" w:w="29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Foundation — IAM Service</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09</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Audit and Traceability</w:t>
            </w:r>
          </w:p>
        </w:tc>
        <w:tc>
          <w:tcPr>
            <w:tcW w:type="dxa" w:w="4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Immutable audit trail for all record mutations, approval decisions, and AI override events. Regulatory-defensible change history.</w:t>
            </w:r>
          </w:p>
        </w:tc>
        <w:tc>
          <w:tcPr>
            <w:tcW w:type="dxa" w:w="29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Foundation — Audit Trail Engine</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10</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Workflow Orchestration</w:t>
            </w:r>
          </w:p>
        </w:tc>
        <w:tc>
          <w:tcPr>
            <w:tcW w:type="dxa" w:w="4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Configurable approval chains, escalation rules, deadline enforcement, and conditional routing across all domains.</w:t>
            </w:r>
          </w:p>
        </w:tc>
        <w:tc>
          <w:tcPr>
            <w:tcW w:type="dxa" w:w="29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Foundation — Workflow Engine</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11</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Notifications and Alerts</w:t>
            </w:r>
          </w:p>
        </w:tc>
        <w:tc>
          <w:tcPr>
            <w:tcW w:type="dxa" w:w="4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In-platform and email notifications for tasks, approvals, KRI breaches, obligation due dates, and escalations.</w:t>
            </w:r>
          </w:p>
        </w:tc>
        <w:tc>
          <w:tcPr>
            <w:tcW w:type="dxa" w:w="29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Foundation — Notification Engine</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12</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Document and Evidence Repository</w:t>
            </w:r>
          </w:p>
        </w:tc>
        <w:tc>
          <w:tcPr>
            <w:tcW w:type="dxa" w:w="4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Versioned, access-controlled central repository for all GRC documents, evidence files, and audit artefacts.</w:t>
            </w:r>
          </w:p>
        </w:tc>
        <w:tc>
          <w:tcPr>
            <w:tcW w:type="dxa" w:w="29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Foundation — File Storage Service</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13</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Enterprise Analytics</w:t>
            </w:r>
          </w:p>
        </w:tc>
        <w:tc>
          <w:tcPr>
            <w:tcW w:type="dxa" w:w="4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Native cross-domain analytics pipeline: strategy-risk correlation, change-incident patterns, culture-compliance linkage. No data exports required.</w:t>
            </w:r>
          </w:p>
        </w:tc>
        <w:tc>
          <w:tcPr>
            <w:tcW w:type="dxa" w:w="29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Foundation — Analytics Pipeline</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14</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External Portal</w:t>
            </w:r>
          </w:p>
        </w:tc>
        <w:tc>
          <w:tcPr>
            <w:tcW w:type="dxa" w:w="4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Scoped portal interface for Segment 7 (Vendors) and Segment 8 (Regulators and Auditors). Separate deployable from core Web Application.</w:t>
            </w:r>
          </w:p>
        </w:tc>
        <w:tc>
          <w:tcPr>
            <w:tcW w:type="dxa" w:w="29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Client Tier — External Portal</w:t>
            </w:r>
          </w:p>
        </w:tc>
      </w:tr>
    </w:tbl>
    <w:p>
      <w:pPr>
        <w:spacing w:after="160"/>
      </w:pPr>
      <w:r>
        <w:rPr>
          <w:rFonts w:ascii="Arial" w:cs="Arial" w:eastAsia="Arial" w:hAnsi="Arial"/>
          <w:sz w:val="20"/>
          <w:szCs w:val="20"/>
        </w:rPr>
        <w:t xml:space="preserve"/>
      </w:r>
    </w:p>
    <w:p>
      <w:pPr>
        <w:pStyle w:val="Heading2"/>
        <w:pBdr>
          <w:bottom w:val="single" w:color="BDD0E5" w:sz="4" w:space="2"/>
        </w:pBdr>
        <w:spacing w:after="160" w:before="320"/>
      </w:pPr>
      <w:r>
        <w:rPr>
          <w:rFonts w:ascii="Arial" w:cs="Arial" w:eastAsia="Arial" w:hAnsi="Arial"/>
          <w:b/>
          <w:bCs/>
          <w:color w:val="2E5F8A"/>
          <w:sz w:val="28"/>
          <w:szCs w:val="28"/>
        </w:rPr>
        <w:t xml:space="preserve">3.2  Capability Canvas — GPRC Platform (DWS.03) Variant</w:t>
      </w:r>
    </w:p>
    <w:p>
      <w:pPr>
        <w:spacing w:after="160" w:before="60"/>
      </w:pPr>
      <w:r>
        <w:rPr>
          <w:rFonts w:ascii="Arial" w:cs="Arial" w:eastAsia="Arial" w:hAnsi="Arial"/>
          <w:sz w:val="20"/>
          <w:szCs w:val="20"/>
        </w:rPr>
        <w:t xml:space="preserve">The DWS.03 activation for STC Bank focuses on the priority delivery areas that address the immediate regulatory and operational drivers identified in the BRD. This variant scopes the first two MVPs and identifies the Foundation capabilities and domain capabilities activated at MVP1 go-live.</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4A7FA8" w:sz="8"/>
              <w:left w:val="single" w:color="4A7FA8" w:sz="8"/>
              <w:bottom w:val="single" w:color="4A7FA8" w:sz="8"/>
              <w:right w:val="single" w:color="4A7FA8" w:sz="8"/>
            </w:tcBorders>
            <w:shd w:fill="E0EBF5" w:val="clear"/>
            <w:tcMar>
              <w:top w:type="dxa" w:w="200"/>
              <w:left w:type="dxa" w:w="360"/>
              <w:bottom w:type="dxa" w:w="200"/>
              <w:right w:type="dxa" w:w="360"/>
            </w:tcMar>
          </w:tcPr>
          <w:p>
            <w:pPr>
              <w:spacing w:after="80"/>
              <w:jc w:val="center"/>
            </w:pPr>
            <w:r>
              <w:rPr>
                <w:rFonts w:ascii="Arial" w:cs="Arial" w:eastAsia="Arial" w:hAnsi="Arial"/>
                <w:b/>
                <w:bCs/>
                <w:color w:val="1E3A5F"/>
                <w:sz w:val="20"/>
                <w:szCs w:val="20"/>
              </w:rPr>
              <w:t xml:space="preserve">Diagram: Capability Activation — MVP Phasing</w:t>
            </w:r>
          </w:p>
          <w:p>
            <w:pPr>
              <w:spacing w:after="0"/>
              <w:jc w:val="center"/>
            </w:pPr>
            <w:r>
              <w:rPr>
                <w:rFonts w:ascii="Arial" w:cs="Arial" w:eastAsia="Arial" w:hAnsi="Arial"/>
                <w:i/>
                <w:iCs/>
                <w:color w:val="666666"/>
                <w:sz w:val="18"/>
                <w:szCs w:val="18"/>
              </w:rPr>
              <w:t xml:space="preserve">Mermaid source — see STCB_GPRC_HLAD.md §3.2</w:t>
            </w:r>
          </w:p>
        </w:tc>
      </w:tr>
    </w:tbl>
    <w:p>
      <w:pPr>
        <w:spacing w:after="160"/>
      </w:pPr>
      <w:r>
        <w:rPr>
          <w:rFonts w:ascii="Arial" w:cs="Arial" w:eastAsia="Arial" w:hAnsi="Arial"/>
          <w:sz w:val="20"/>
          <w:szCs w:val="20"/>
        </w:rP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380"/>
        <w:gridCol w:w="2000"/>
        <w:gridCol w:w="3200"/>
        <w:gridCol w:w="2000"/>
        <w:gridCol w:w="1806"/>
      </w:tblGrid>
      <w:tr>
        <w:trPr>
          <w:tblHeader/>
        </w:trPr>
        <w:tc>
          <w:tcPr>
            <w:tcW w:type="dxa" w:w="38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20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Capability Area</w:t>
            </w:r>
          </w:p>
        </w:tc>
        <w:tc>
          <w:tcPr>
            <w:tcW w:type="dxa" w:w="32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20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Responsible Component</w:t>
            </w:r>
          </w:p>
        </w:tc>
        <w:tc>
          <w:tcPr>
            <w:tcW w:type="dxa" w:w="1806"/>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MVP</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01</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Foundation Services</w:t>
            </w:r>
          </w:p>
        </w:tc>
        <w:tc>
          <w:tcPr>
            <w:tcW w:type="dxa" w:w="3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IAM, audit trail, workflow engine, notifications, file storage, and analytics pipeline. Deployed first; all domains depend on these.</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Foundation</w:t>
            </w:r>
          </w:p>
        </w:tc>
        <w:tc>
          <w:tcPr>
            <w:tcW w:type="dxa" w:w="18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MVP 1</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02</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Stage 0 — Dashboards</w:t>
            </w:r>
          </w:p>
        </w:tc>
        <w:tc>
          <w:tcPr>
            <w:tcW w:type="dxa" w:w="3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Segment-personalised dashboards and role-based entry routing for all eight segments.</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Web Application — Stage 0</w:t>
            </w:r>
          </w:p>
        </w:tc>
        <w:tc>
          <w:tcPr>
            <w:tcW w:type="dxa" w:w="18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MVP 1</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03</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Stage 1 — Discovery</w:t>
            </w:r>
          </w:p>
        </w:tc>
        <w:tc>
          <w:tcPr>
            <w:tcW w:type="dxa" w:w="3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entry points, capability catalogues, framework and taxonomy browsing.</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Web Application — Stage 1</w:t>
            </w:r>
          </w:p>
        </w:tc>
        <w:tc>
          <w:tcPr>
            <w:tcW w:type="dxa" w:w="18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MVP 1</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04</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2 — Governance</w:t>
            </w:r>
          </w:p>
        </w:tc>
        <w:tc>
          <w:tcPr>
            <w:tcW w:type="dxa" w:w="3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Policy lifecycle, delegation of authority, committee management, regulatory change register.</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2 Services</w:t>
            </w:r>
          </w:p>
        </w:tc>
        <w:tc>
          <w:tcPr>
            <w:tcW w:type="dxa" w:w="18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MVP 1</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05</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4 — Risk</w:t>
            </w:r>
          </w:p>
        </w:tc>
        <w:tc>
          <w:tcPr>
            <w:tcW w:type="dxa" w:w="3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Enterprise risk register, risk appetite, KRI management, IT and cyber risk, third-party risk.</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4 Services</w:t>
            </w:r>
          </w:p>
        </w:tc>
        <w:tc>
          <w:tcPr>
            <w:tcW w:type="dxa" w:w="18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MVP 1</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06</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5 — Controls and Assurance</w:t>
            </w:r>
          </w:p>
        </w:tc>
        <w:tc>
          <w:tcPr>
            <w:tcW w:type="dxa" w:w="3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Control library, testing, multi-framework mapping, evidence management, audit management, SAMA ITGF module.</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5 Services</w:t>
            </w:r>
          </w:p>
        </w:tc>
        <w:tc>
          <w:tcPr>
            <w:tcW w:type="dxa" w:w="18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MVP 1</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07</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6 — Incident and Issue</w:t>
            </w:r>
          </w:p>
        </w:tc>
        <w:tc>
          <w:tcPr>
            <w:tcW w:type="dxa" w:w="3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Incident classification, issue and exception management, remediation workflow.</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6 Services</w:t>
            </w:r>
          </w:p>
        </w:tc>
        <w:tc>
          <w:tcPr>
            <w:tcW w:type="dxa" w:w="18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MVP 1</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08</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Stage 4 — SAMA ITGF Module</w:t>
            </w:r>
          </w:p>
        </w:tc>
        <w:tc>
          <w:tcPr>
            <w:tcW w:type="dxa" w:w="3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SAMA ITGF L1–L3 control data loaded, compliance posture dashboard, regulatory submission support.</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5 — Stage 4</w:t>
            </w:r>
          </w:p>
        </w:tc>
        <w:tc>
          <w:tcPr>
            <w:tcW w:type="dxa" w:w="18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MVP 1</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09</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1 — Strategy</w:t>
            </w:r>
          </w:p>
        </w:tc>
        <w:tc>
          <w:tcPr>
            <w:tcW w:type="dxa" w:w="3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Strategy register, OKR and KPI management, project and portfolio management, performance scorecards.</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1 Services</w:t>
            </w:r>
          </w:p>
        </w:tc>
        <w:tc>
          <w:tcPr>
            <w:tcW w:type="dxa" w:w="18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MVP 2</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10</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3 — Change</w:t>
            </w:r>
          </w:p>
        </w:tc>
        <w:tc>
          <w:tcPr>
            <w:tcW w:type="dxa" w:w="3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Change register, innovation pipeline, transformation portfolio management.</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3 Services</w:t>
            </w:r>
          </w:p>
        </w:tc>
        <w:tc>
          <w:tcPr>
            <w:tcW w:type="dxa" w:w="18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MVP 2</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11</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5 — Specialised</w:t>
            </w:r>
          </w:p>
        </w:tc>
        <w:tc>
          <w:tcPr>
            <w:tcW w:type="dxa" w:w="3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PDPL workflows, ESG obligation register, culture and conduct risk indicators.</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5 — Specialised Streams</w:t>
            </w:r>
          </w:p>
        </w:tc>
        <w:tc>
          <w:tcPr>
            <w:tcW w:type="dxa" w:w="18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MVP 2</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12</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6 — BCM and Crisis</w:t>
            </w:r>
          </w:p>
        </w:tc>
        <w:tc>
          <w:tcPr>
            <w:tcW w:type="dxa" w:w="3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Business continuity planning, crisis management and escalation workflows.</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6 — BCM and Crisis</w:t>
            </w:r>
          </w:p>
        </w:tc>
        <w:tc>
          <w:tcPr>
            <w:tcW w:type="dxa" w:w="18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MVP 2</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13</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AI-Assisted Features</w:t>
            </w:r>
          </w:p>
        </w:tc>
        <w:tc>
          <w:tcPr>
            <w:tcW w:type="dxa" w:w="3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AI-01 incident classification, AI-02 evidence gap detection, AI-03 KRI anomaly detection.</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Workflow and AI Engine</w:t>
            </w:r>
          </w:p>
        </w:tc>
        <w:tc>
          <w:tcPr>
            <w:tcW w:type="dxa" w:w="18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Post-MVP 1</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14</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External Portal</w:t>
            </w:r>
          </w:p>
        </w:tc>
        <w:tc>
          <w:tcPr>
            <w:tcW w:type="dxa" w:w="3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Vendor self-service portal (Segment 7).</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External Portal</w:t>
            </w:r>
          </w:p>
        </w:tc>
        <w:tc>
          <w:tcPr>
            <w:tcW w:type="dxa" w:w="18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MVP 2</w:t>
            </w:r>
          </w:p>
        </w:tc>
      </w:tr>
    </w:tbl>
    <w:p>
      <w:pPr>
        <w:pStyle w:val="Heading1"/>
        <w:pageBreakBefore/>
        <w:spacing w:after="200" w:before="480"/>
      </w:pPr>
      <w:r>
        <w:rPr>
          <w:rFonts w:ascii="Arial" w:cs="Arial" w:eastAsia="Arial" w:hAnsi="Arial"/>
          <w:b/>
          <w:bCs/>
          <w:color w:val="1E3A5F"/>
          <w:sz w:val="36"/>
          <w:szCs w:val="36"/>
        </w:rPr>
        <w:t xml:space="preserve">4.  Architecture Spec — Software</w:t>
      </w:r>
    </w:p>
    <w:p>
      <w:pPr>
        <w:spacing w:after="160" w:before="60"/>
      </w:pPr>
      <w:r>
        <w:rPr>
          <w:rFonts w:ascii="Arial" w:cs="Arial" w:eastAsia="Arial" w:hAnsi="Arial"/>
          <w:sz w:val="20"/>
          <w:szCs w:val="20"/>
        </w:rPr>
        <w:t xml:space="preserve">This section defines the technology stack, module decomposition, and deployment topology that implement the capabilities in §3. Section 4 is an implementation-level specification — it identifies what is built and where it runs. Component internals, API schemas, and detailed data models are specified in system detail design documents.</w:t>
      </w:r>
    </w:p>
    <w:p>
      <w:pPr>
        <w:pStyle w:val="Heading2"/>
        <w:pBdr>
          <w:bottom w:val="single" w:color="BDD0E5" w:sz="4" w:space="2"/>
        </w:pBdr>
        <w:spacing w:after="160" w:before="320"/>
      </w:pPr>
      <w:r>
        <w:rPr>
          <w:rFonts w:ascii="Arial" w:cs="Arial" w:eastAsia="Arial" w:hAnsi="Arial"/>
          <w:b/>
          <w:bCs/>
          <w:color w:val="2E5F8A"/>
          <w:sz w:val="28"/>
          <w:szCs w:val="28"/>
        </w:rPr>
        <w:t xml:space="preserve">4.1  Technology Stack</w:t>
      </w:r>
    </w:p>
    <w:p>
      <w:pPr>
        <w:spacing w:after="160" w:before="60"/>
      </w:pPr>
      <w:r>
        <w:rPr>
          <w:rFonts w:ascii="Arial" w:cs="Arial" w:eastAsia="Arial" w:hAnsi="Arial"/>
          <w:sz w:val="20"/>
          <w:szCs w:val="20"/>
        </w:rPr>
        <w:t xml:space="preserve">The technology stack defines the technology choices by layer for the GPRC Platform, grounded in DQ's DBP canonical stack and extended with STCB-specific deployment constraints (airgapped on-prem, no external cloud services, all dependencies vendored). Deviations from the DQ canonical stack are documented with an Architectural Decision record in §6.1.</w:t>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380"/>
        <w:gridCol w:w="1800"/>
        <w:gridCol w:w="2200"/>
        <w:gridCol w:w="2600"/>
        <w:gridCol w:w="2406"/>
      </w:tblGrid>
      <w:tr>
        <w:trPr>
          <w:tblHeader/>
        </w:trPr>
        <w:tc>
          <w:tcPr>
            <w:tcW w:type="dxa" w:w="38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18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Layer</w:t>
            </w:r>
          </w:p>
        </w:tc>
        <w:tc>
          <w:tcPr>
            <w:tcW w:type="dxa" w:w="22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Technology</w:t>
            </w:r>
          </w:p>
        </w:tc>
        <w:tc>
          <w:tcPr>
            <w:tcW w:type="dxa" w:w="26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Purpose</w:t>
            </w:r>
          </w:p>
        </w:tc>
        <w:tc>
          <w:tcPr>
            <w:tcW w:type="dxa" w:w="2406"/>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01</w:t>
            </w:r>
          </w:p>
        </w:tc>
        <w:tc>
          <w:tcPr>
            <w:tcW w:type="dxa" w:w="1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Client Tier — Web</w:t>
            </w:r>
          </w:p>
        </w:tc>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React 18, Next.js 14 (App Router)</w:t>
            </w:r>
          </w:p>
        </w:tc>
        <w:tc>
          <w:tcPr>
            <w:tcW w:type="dxa" w:w="26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Primary web UI. SSR for performance. Domain-personalised per segment.</w:t>
            </w:r>
          </w:p>
        </w:tc>
        <w:tc>
          <w:tcPr>
            <w:tcW w:type="dxa" w:w="24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G-01 — no business logic in client</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02</w:t>
            </w:r>
          </w:p>
        </w:tc>
        <w:tc>
          <w:tcPr>
            <w:tcW w:type="dxa" w:w="1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Client Tier — External Portal</w:t>
            </w:r>
          </w:p>
        </w:tc>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React 18, Next.js 14 (App Router)</w:t>
            </w:r>
          </w:p>
        </w:tc>
        <w:tc>
          <w:tcPr>
            <w:tcW w:type="dxa" w:w="26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Separate application for Vendor and Regulator portal access.</w:t>
            </w:r>
          </w:p>
        </w:tc>
        <w:tc>
          <w:tcPr>
            <w:tcW w:type="dxa" w:w="24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Separate deployable; portal-scoped JWT only</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03</w:t>
            </w:r>
          </w:p>
        </w:tc>
        <w:tc>
          <w:tcPr>
            <w:tcW w:type="dxa" w:w="1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Client Tier — Design System</w:t>
            </w:r>
          </w:p>
        </w:tc>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Custom React component library</w:t>
            </w:r>
          </w:p>
        </w:tc>
        <w:tc>
          <w:tcPr>
            <w:tcW w:type="dxa" w:w="26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Consistent UX across all screens. Arabic RTL and English LTR layout.</w:t>
            </w:r>
          </w:p>
        </w:tc>
        <w:tc>
          <w:tcPr>
            <w:tcW w:type="dxa" w:w="24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Shared library; not per-domain reimplemented</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04</w:t>
            </w:r>
          </w:p>
        </w:tc>
        <w:tc>
          <w:tcPr>
            <w:tcW w:type="dxa" w:w="1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Application — API Gateway</w:t>
            </w:r>
          </w:p>
        </w:tc>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Express.js, JWT (jose), RBAC middleware</w:t>
            </w:r>
          </w:p>
        </w:tc>
        <w:tc>
          <w:tcPr>
            <w:tcW w:type="dxa" w:w="26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BFF entry point. Auth, RBAC, routing, rate limiting.</w:t>
            </w:r>
          </w:p>
        </w:tc>
        <w:tc>
          <w:tcPr>
            <w:tcW w:type="dxa" w:w="24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Single entry point — G-02 and G-07</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05</w:t>
            </w:r>
          </w:p>
        </w:tc>
        <w:tc>
          <w:tcPr>
            <w:tcW w:type="dxa" w:w="1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Application — Domain Services</w:t>
            </w:r>
          </w:p>
        </w:tc>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Express.js (Routes/Controllers/Services/Repositories)</w:t>
            </w:r>
          </w:p>
        </w:tc>
        <w:tc>
          <w:tcPr>
            <w:tcW w:type="dxa" w:w="26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7-domain GPRC business logic.</w:t>
            </w:r>
          </w:p>
        </w:tc>
        <w:tc>
          <w:tcPr>
            <w:tcW w:type="dxa" w:w="24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Single deployable at MVP1; extractable post-MVP2</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06</w:t>
            </w:r>
          </w:p>
        </w:tc>
        <w:tc>
          <w:tcPr>
            <w:tcW w:type="dxa" w:w="1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Application — Workflow and AI Engine</w:t>
            </w:r>
          </w:p>
        </w:tc>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Node.js worker (Bull MQ), OpenAI SDK (bounded)</w:t>
            </w:r>
          </w:p>
        </w:tc>
        <w:tc>
          <w:tcPr>
            <w:tcW w:type="dxa" w:w="26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Approval workflows, escalation rules, AI-01, AI-02, AI-03.</w:t>
            </w:r>
          </w:p>
        </w:tc>
        <w:tc>
          <w:tcPr>
            <w:tcW w:type="dxa" w:w="24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Stateless worker; all state in PostgreSQL</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07</w:t>
            </w:r>
          </w:p>
        </w:tc>
        <w:tc>
          <w:tcPr>
            <w:tcW w:type="dxa" w:w="1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Application — Integration Service</w:t>
            </w:r>
          </w:p>
        </w:tc>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Express.js, node-cron, Axios</w:t>
            </w:r>
          </w:p>
        </w:tc>
        <w:tc>
          <w:tcPr>
            <w:tcW w:type="dxa" w:w="26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External system adapters: HRMS, Finance, SIEM, SAMA ITGF, Intel Feeds.</w:t>
            </w:r>
          </w:p>
        </w:tc>
        <w:tc>
          <w:tcPr>
            <w:tcW w:type="dxa" w:w="24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Only container with outbound reach</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08</w:t>
            </w:r>
          </w:p>
        </w:tc>
        <w:tc>
          <w:tcPr>
            <w:tcW w:type="dxa" w:w="1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Data — System of Record</w:t>
            </w:r>
          </w:p>
        </w:tc>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PostgreSQL 15</w:t>
            </w:r>
          </w:p>
        </w:tc>
        <w:tc>
          <w:tcPr>
            <w:tcW w:type="dxa" w:w="26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Unified system of record. 5 schemas. RLS enforced.</w:t>
            </w:r>
          </w:p>
        </w:tc>
        <w:tc>
          <w:tcPr>
            <w:tcW w:type="dxa" w:w="24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On-prem. No cloud-hosted DB</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09</w:t>
            </w:r>
          </w:p>
        </w:tc>
        <w:tc>
          <w:tcPr>
            <w:tcW w:type="dxa" w:w="1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Data — Session and Cache</w:t>
            </w:r>
          </w:p>
        </w:tc>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Redis 7</w:t>
            </w:r>
          </w:p>
        </w:tc>
        <w:tc>
          <w:tcPr>
            <w:tcW w:type="dxa" w:w="26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Session state (JWT), read-through cache for catalogue data.</w:t>
            </w:r>
          </w:p>
        </w:tc>
        <w:tc>
          <w:tcPr>
            <w:tcW w:type="dxa" w:w="24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Stateless app tier dependency</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10</w:t>
            </w:r>
          </w:p>
        </w:tc>
        <w:tc>
          <w:tcPr>
            <w:tcW w:type="dxa" w:w="1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Data — File Storage</w:t>
            </w:r>
          </w:p>
        </w:tc>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On-premises object store (MinIO compatible)</w:t>
            </w:r>
          </w:p>
        </w:tc>
        <w:tc>
          <w:tcPr>
            <w:tcW w:type="dxa" w:w="26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Versioned evidence files, GRC documents, audit artefacts.</w:t>
            </w:r>
          </w:p>
        </w:tc>
        <w:tc>
          <w:tcPr>
            <w:tcW w:type="dxa" w:w="24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Airgapped — no S3 or cloud object store</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11</w:t>
            </w:r>
          </w:p>
        </w:tc>
        <w:tc>
          <w:tcPr>
            <w:tcW w:type="dxa" w:w="1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Security — Authentication</w:t>
            </w:r>
          </w:p>
        </w:tc>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Passport.js + TOTP MFA</w:t>
            </w:r>
          </w:p>
        </w:tc>
        <w:tc>
          <w:tcPr>
            <w:tcW w:type="dxa" w:w="26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MFA mandatory for all segments. SAMA ITGF and NCA ECC requirement.</w:t>
            </w:r>
          </w:p>
        </w:tc>
        <w:tc>
          <w:tcPr>
            <w:tcW w:type="dxa" w:w="24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Configurable session TTL per segment</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12</w:t>
            </w:r>
          </w:p>
        </w:tc>
        <w:tc>
          <w:tcPr>
            <w:tcW w:type="dxa" w:w="1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Security — Encryption</w:t>
            </w:r>
          </w:p>
        </w:tc>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AES-256 at rest; TLS 1.3 in transit</w:t>
            </w:r>
          </w:p>
        </w:tc>
        <w:tc>
          <w:tcPr>
            <w:tcW w:type="dxa" w:w="26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SAMA ITGF and NCA ECC encryption requirements.</w:t>
            </w:r>
          </w:p>
        </w:tc>
        <w:tc>
          <w:tcPr>
            <w:tcW w:type="dxa" w:w="24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Enforced at infrastructure level</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13</w:t>
            </w:r>
          </w:p>
        </w:tc>
        <w:tc>
          <w:tcPr>
            <w:tcW w:type="dxa" w:w="1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Testing</w:t>
            </w:r>
          </w:p>
        </w:tc>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Jest (unit), Supertest (API), Playwright (E2E)</w:t>
            </w:r>
          </w:p>
        </w:tc>
        <w:tc>
          <w:tcPr>
            <w:tcW w:type="dxa" w:w="26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Test coverage across all service layers and user flows.</w:t>
            </w:r>
          </w:p>
        </w:tc>
        <w:tc>
          <w:tcPr>
            <w:tcW w:type="dxa" w:w="24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Coverage gates enforced in CI</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14</w:t>
            </w:r>
          </w:p>
        </w:tc>
        <w:tc>
          <w:tcPr>
            <w:tcW w:type="dxa" w:w="1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Build and Tooling</w:t>
            </w:r>
          </w:p>
        </w:tc>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TypeScript, ESLint, Prettier, tsx</w:t>
            </w:r>
          </w:p>
        </w:tc>
        <w:tc>
          <w:tcPr>
            <w:tcW w:type="dxa" w:w="26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Type safety and code quality enforcement.</w:t>
            </w:r>
          </w:p>
        </w:tc>
        <w:tc>
          <w:tcPr>
            <w:tcW w:type="dxa" w:w="24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All services and workers in TypeScript</w:t>
            </w:r>
          </w:p>
        </w:tc>
      </w:tr>
    </w:tbl>
    <w:p>
      <w:pPr>
        <w:spacing w:after="160"/>
      </w:pPr>
      <w:r>
        <w:rPr>
          <w:rFonts w:ascii="Arial" w:cs="Arial" w:eastAsia="Arial" w:hAnsi="Arial"/>
          <w:sz w:val="20"/>
          <w:szCs w:val="20"/>
        </w:rPr>
        <w:t xml:space="preserve"/>
      </w:r>
    </w:p>
    <w:p>
      <w:pPr>
        <w:pStyle w:val="Heading2"/>
        <w:pBdr>
          <w:bottom w:val="single" w:color="BDD0E5" w:sz="4" w:space="2"/>
        </w:pBdr>
        <w:spacing w:after="160" w:before="320"/>
      </w:pPr>
      <w:r>
        <w:rPr>
          <w:rFonts w:ascii="Arial" w:cs="Arial" w:eastAsia="Arial" w:hAnsi="Arial"/>
          <w:b/>
          <w:bCs/>
          <w:color w:val="2E5F8A"/>
          <w:sz w:val="28"/>
          <w:szCs w:val="28"/>
        </w:rPr>
        <w:t xml:space="preserve">4.2  Modules and Functions</w:t>
      </w:r>
    </w:p>
    <w:p>
      <w:pPr>
        <w:spacing w:after="160" w:before="60"/>
      </w:pPr>
      <w:r>
        <w:rPr>
          <w:rFonts w:ascii="Arial" w:cs="Arial" w:eastAsia="Arial" w:hAnsi="Arial"/>
          <w:sz w:val="20"/>
          <w:szCs w:val="20"/>
        </w:rPr>
        <w:t xml:space="preserve">The modules and functions view identifies the logical decomposition of the GPRC Platform's software into named modules delivered by each container. Each module maps to one or more capability areas from §3.</w:t>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380"/>
        <w:gridCol w:w="2800"/>
        <w:gridCol w:w="2800"/>
        <w:gridCol w:w="3406"/>
      </w:tblGrid>
      <w:tr>
        <w:trPr>
          <w:tblHeader/>
        </w:trPr>
        <w:tc>
          <w:tcPr>
            <w:tcW w:type="dxa" w:w="38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28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Module</w:t>
            </w:r>
          </w:p>
        </w:tc>
        <w:tc>
          <w:tcPr>
            <w:tcW w:type="dxa" w:w="28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Function</w:t>
            </w:r>
          </w:p>
        </w:tc>
        <w:tc>
          <w:tcPr>
            <w:tcW w:type="dxa" w:w="3406"/>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Responsible</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01</w:t>
            </w:r>
          </w:p>
        </w:tc>
        <w:tc>
          <w:tcPr>
            <w:tcW w:type="dxa" w:w="2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Web App — Dashboard Module</w:t>
            </w:r>
          </w:p>
        </w:tc>
        <w:tc>
          <w:tcPr>
            <w:tcW w:type="dxa" w:w="2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Segment-personalised entry</w:t>
            </w:r>
          </w:p>
        </w:tc>
        <w:tc>
          <w:tcPr>
            <w:tcW w:type="dxa" w:w="34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Client Tier</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02</w:t>
            </w:r>
          </w:p>
        </w:tc>
        <w:tc>
          <w:tcPr>
            <w:tcW w:type="dxa" w:w="2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Web App — Global Layer Module</w:t>
            </w:r>
          </w:p>
        </w:tc>
        <w:tc>
          <w:tcPr>
            <w:tcW w:type="dxa" w:w="2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My Work, Search, Notifications</w:t>
            </w:r>
          </w:p>
        </w:tc>
        <w:tc>
          <w:tcPr>
            <w:tcW w:type="dxa" w:w="34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Client Tier</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03</w:t>
            </w:r>
          </w:p>
        </w:tc>
        <w:tc>
          <w:tcPr>
            <w:tcW w:type="dxa" w:w="2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Web App — Domain Navigation Module</w:t>
            </w:r>
          </w:p>
        </w:tc>
        <w:tc>
          <w:tcPr>
            <w:tcW w:type="dxa" w:w="2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routing and access gating</w:t>
            </w:r>
          </w:p>
        </w:tc>
        <w:tc>
          <w:tcPr>
            <w:tcW w:type="dxa" w:w="34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Client Tier</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04</w:t>
            </w:r>
          </w:p>
        </w:tc>
        <w:tc>
          <w:tcPr>
            <w:tcW w:type="dxa" w:w="2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API Gateway — Auth Module</w:t>
            </w:r>
          </w:p>
        </w:tc>
        <w:tc>
          <w:tcPr>
            <w:tcW w:type="dxa" w:w="2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JWT validation and RBAC</w:t>
            </w:r>
          </w:p>
        </w:tc>
        <w:tc>
          <w:tcPr>
            <w:tcW w:type="dxa" w:w="34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API Gateway</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05</w:t>
            </w:r>
          </w:p>
        </w:tc>
        <w:tc>
          <w:tcPr>
            <w:tcW w:type="dxa" w:w="2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API Gateway — Routing Module</w:t>
            </w:r>
          </w:p>
        </w:tc>
        <w:tc>
          <w:tcPr>
            <w:tcW w:type="dxa" w:w="2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Request routing to services</w:t>
            </w:r>
          </w:p>
        </w:tc>
        <w:tc>
          <w:tcPr>
            <w:tcW w:type="dxa" w:w="34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API Gateway</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06</w:t>
            </w:r>
          </w:p>
        </w:tc>
        <w:tc>
          <w:tcPr>
            <w:tcW w:type="dxa" w:w="2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Services — Strategy Module</w:t>
            </w:r>
          </w:p>
        </w:tc>
        <w:tc>
          <w:tcPr>
            <w:tcW w:type="dxa" w:w="2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1 business logic</w:t>
            </w:r>
          </w:p>
        </w:tc>
        <w:tc>
          <w:tcPr>
            <w:tcW w:type="dxa" w:w="34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Services</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07</w:t>
            </w:r>
          </w:p>
        </w:tc>
        <w:tc>
          <w:tcPr>
            <w:tcW w:type="dxa" w:w="2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Services — Governance Module</w:t>
            </w:r>
          </w:p>
        </w:tc>
        <w:tc>
          <w:tcPr>
            <w:tcW w:type="dxa" w:w="2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2 business logic</w:t>
            </w:r>
          </w:p>
        </w:tc>
        <w:tc>
          <w:tcPr>
            <w:tcW w:type="dxa" w:w="34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Services</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08</w:t>
            </w:r>
          </w:p>
        </w:tc>
        <w:tc>
          <w:tcPr>
            <w:tcW w:type="dxa" w:w="2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Services — Change Module</w:t>
            </w:r>
          </w:p>
        </w:tc>
        <w:tc>
          <w:tcPr>
            <w:tcW w:type="dxa" w:w="2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3 business logic</w:t>
            </w:r>
          </w:p>
        </w:tc>
        <w:tc>
          <w:tcPr>
            <w:tcW w:type="dxa" w:w="34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Services</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09</w:t>
            </w:r>
          </w:p>
        </w:tc>
        <w:tc>
          <w:tcPr>
            <w:tcW w:type="dxa" w:w="2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Services — Risk Module</w:t>
            </w:r>
          </w:p>
        </w:tc>
        <w:tc>
          <w:tcPr>
            <w:tcW w:type="dxa" w:w="2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4 business logic</w:t>
            </w:r>
          </w:p>
        </w:tc>
        <w:tc>
          <w:tcPr>
            <w:tcW w:type="dxa" w:w="34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Services</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10</w:t>
            </w:r>
          </w:p>
        </w:tc>
        <w:tc>
          <w:tcPr>
            <w:tcW w:type="dxa" w:w="2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Services — Compliance Module</w:t>
            </w:r>
          </w:p>
        </w:tc>
        <w:tc>
          <w:tcPr>
            <w:tcW w:type="dxa" w:w="2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5 business logic</w:t>
            </w:r>
          </w:p>
        </w:tc>
        <w:tc>
          <w:tcPr>
            <w:tcW w:type="dxa" w:w="34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Services</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11</w:t>
            </w:r>
          </w:p>
        </w:tc>
        <w:tc>
          <w:tcPr>
            <w:tcW w:type="dxa" w:w="2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Services — Resilience Module</w:t>
            </w:r>
          </w:p>
        </w:tc>
        <w:tc>
          <w:tcPr>
            <w:tcW w:type="dxa" w:w="2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6 business logic</w:t>
            </w:r>
          </w:p>
        </w:tc>
        <w:tc>
          <w:tcPr>
            <w:tcW w:type="dxa" w:w="34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Services</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12</w:t>
            </w:r>
          </w:p>
        </w:tc>
        <w:tc>
          <w:tcPr>
            <w:tcW w:type="dxa" w:w="2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Services — Platform Admin Module</w:t>
            </w:r>
          </w:p>
        </w:tc>
        <w:tc>
          <w:tcPr>
            <w:tcW w:type="dxa" w:w="2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7 and admin functions</w:t>
            </w:r>
          </w:p>
        </w:tc>
        <w:tc>
          <w:tcPr>
            <w:tcW w:type="dxa" w:w="34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Services</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13</w:t>
            </w:r>
          </w:p>
        </w:tc>
        <w:tc>
          <w:tcPr>
            <w:tcW w:type="dxa" w:w="2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Workflow Engine — Approval Module</w:t>
            </w:r>
          </w:p>
        </w:tc>
        <w:tc>
          <w:tcPr>
            <w:tcW w:type="dxa" w:w="2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Approval chain execution</w:t>
            </w:r>
          </w:p>
        </w:tc>
        <w:tc>
          <w:tcPr>
            <w:tcW w:type="dxa" w:w="34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Workflow and AI Engine</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14</w:t>
            </w:r>
          </w:p>
        </w:tc>
        <w:tc>
          <w:tcPr>
            <w:tcW w:type="dxa" w:w="2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Workflow Engine — AI Module</w:t>
            </w:r>
          </w:p>
        </w:tc>
        <w:tc>
          <w:tcPr>
            <w:tcW w:type="dxa" w:w="2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AI-01/02/03 bounded features</w:t>
            </w:r>
          </w:p>
        </w:tc>
        <w:tc>
          <w:tcPr>
            <w:tcW w:type="dxa" w:w="34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Workflow and AI Engine</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15</w:t>
            </w:r>
          </w:p>
        </w:tc>
        <w:tc>
          <w:tcPr>
            <w:tcW w:type="dxa" w:w="2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Integration — HRMS Adapter</w:t>
            </w:r>
          </w:p>
        </w:tc>
        <w:tc>
          <w:tcPr>
            <w:tcW w:type="dxa" w:w="2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Culture risk data ingestion</w:t>
            </w:r>
          </w:p>
        </w:tc>
        <w:tc>
          <w:tcPr>
            <w:tcW w:type="dxa" w:w="34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Integration Service</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16</w:t>
            </w:r>
          </w:p>
        </w:tc>
        <w:tc>
          <w:tcPr>
            <w:tcW w:type="dxa" w:w="2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Integration — Finance Adapter</w:t>
            </w:r>
          </w:p>
        </w:tc>
        <w:tc>
          <w:tcPr>
            <w:tcW w:type="dxa" w:w="2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KPI actuals ingestion</w:t>
            </w:r>
          </w:p>
        </w:tc>
        <w:tc>
          <w:tcPr>
            <w:tcW w:type="dxa" w:w="34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Integration Service</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17</w:t>
            </w:r>
          </w:p>
        </w:tc>
        <w:tc>
          <w:tcPr>
            <w:tcW w:type="dxa" w:w="2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Integration — SIEM Adapter</w:t>
            </w:r>
          </w:p>
        </w:tc>
        <w:tc>
          <w:tcPr>
            <w:tcW w:type="dxa" w:w="2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Cyber risk event ingestion</w:t>
            </w:r>
          </w:p>
        </w:tc>
        <w:tc>
          <w:tcPr>
            <w:tcW w:type="dxa" w:w="34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Integration Service</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18</w:t>
            </w:r>
          </w:p>
        </w:tc>
        <w:tc>
          <w:tcPr>
            <w:tcW w:type="dxa" w:w="2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Integration — SAMA ITGF Adapter</w:t>
            </w:r>
          </w:p>
        </w:tc>
        <w:tc>
          <w:tcPr>
            <w:tcW w:type="dxa" w:w="2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Compliance framework data load</w:t>
            </w:r>
          </w:p>
        </w:tc>
        <w:tc>
          <w:tcPr>
            <w:tcW w:type="dxa" w:w="34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Integration Service</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19</w:t>
            </w:r>
          </w:p>
        </w:tc>
        <w:tc>
          <w:tcPr>
            <w:tcW w:type="dxa" w:w="2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Integration — Intel Feed Adapter</w:t>
            </w:r>
          </w:p>
        </w:tc>
        <w:tc>
          <w:tcPr>
            <w:tcW w:type="dxa" w:w="2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External intelligence ingestion</w:t>
            </w:r>
          </w:p>
        </w:tc>
        <w:tc>
          <w:tcPr>
            <w:tcW w:type="dxa" w:w="34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Integration Service</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20</w:t>
            </w:r>
          </w:p>
        </w:tc>
        <w:tc>
          <w:tcPr>
            <w:tcW w:type="dxa" w:w="2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Platform DB — Schema Management</w:t>
            </w:r>
          </w:p>
        </w:tc>
        <w:tc>
          <w:tcPr>
            <w:tcW w:type="dxa" w:w="2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Migration control across 5 schemas</w:t>
            </w:r>
          </w:p>
        </w:tc>
        <w:tc>
          <w:tcPr>
            <w:tcW w:type="dxa" w:w="34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Data Layer</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21</w:t>
            </w:r>
          </w:p>
        </w:tc>
        <w:tc>
          <w:tcPr>
            <w:tcW w:type="dxa" w:w="2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Foundation — Audit Trail</w:t>
            </w:r>
          </w:p>
        </w:tc>
        <w:tc>
          <w:tcPr>
            <w:tcW w:type="dxa" w:w="2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Immutable change logging</w:t>
            </w:r>
          </w:p>
        </w:tc>
        <w:tc>
          <w:tcPr>
            <w:tcW w:type="dxa" w:w="34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Foundation</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22</w:t>
            </w:r>
          </w:p>
        </w:tc>
        <w:tc>
          <w:tcPr>
            <w:tcW w:type="dxa" w:w="2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Foundation — Notification Engine</w:t>
            </w:r>
          </w:p>
        </w:tc>
        <w:tc>
          <w:tcPr>
            <w:tcW w:type="dxa" w:w="2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Alert and deadline notifications</w:t>
            </w:r>
          </w:p>
        </w:tc>
        <w:tc>
          <w:tcPr>
            <w:tcW w:type="dxa" w:w="34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Foundation</w:t>
            </w:r>
          </w:p>
        </w:tc>
      </w:tr>
    </w:tbl>
    <w:p>
      <w:pPr>
        <w:spacing w:after="160"/>
      </w:pPr>
      <w:r>
        <w:rPr>
          <w:rFonts w:ascii="Arial" w:cs="Arial" w:eastAsia="Arial" w:hAnsi="Arial"/>
          <w:sz w:val="20"/>
          <w:szCs w:val="20"/>
        </w:rPr>
        <w:t xml:space="preserve"/>
      </w:r>
    </w:p>
    <w:p>
      <w:pPr>
        <w:pStyle w:val="Heading2"/>
        <w:pBdr>
          <w:bottom w:val="single" w:color="BDD0E5" w:sz="4" w:space="2"/>
        </w:pBdr>
        <w:spacing w:after="160" w:before="320"/>
      </w:pPr>
      <w:r>
        <w:rPr>
          <w:rFonts w:ascii="Arial" w:cs="Arial" w:eastAsia="Arial" w:hAnsi="Arial"/>
          <w:b/>
          <w:bCs/>
          <w:color w:val="2E5F8A"/>
          <w:sz w:val="28"/>
          <w:szCs w:val="28"/>
        </w:rPr>
        <w:t xml:space="preserve">4.3  Deployment Stack</w:t>
      </w:r>
    </w:p>
    <w:p>
      <w:pPr>
        <w:spacing w:after="160" w:before="60"/>
      </w:pPr>
      <w:r>
        <w:rPr>
          <w:rFonts w:ascii="Arial" w:cs="Arial" w:eastAsia="Arial" w:hAnsi="Arial"/>
          <w:sz w:val="20"/>
          <w:szCs w:val="20"/>
        </w:rPr>
        <w:t xml:space="preserve">The deployment stack maps the GPRC Platform's components to their target environments and hosting infrastructure within STC Bank's airgapped on-premises data centre. No cloud-hosted services are used for production data or business logic.</w:t>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380"/>
        <w:gridCol w:w="1400"/>
        <w:gridCol w:w="2200"/>
        <w:gridCol w:w="2800"/>
        <w:gridCol w:w="2606"/>
      </w:tblGrid>
      <w:tr>
        <w:trPr>
          <w:tblHeader/>
        </w:trPr>
        <w:tc>
          <w:tcPr>
            <w:tcW w:type="dxa" w:w="38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14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Environment</w:t>
            </w:r>
          </w:p>
        </w:tc>
        <w:tc>
          <w:tcPr>
            <w:tcW w:type="dxa" w:w="22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Component</w:t>
            </w:r>
          </w:p>
        </w:tc>
        <w:tc>
          <w:tcPr>
            <w:tcW w:type="dxa" w:w="28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Deployment Target</w:t>
            </w:r>
          </w:p>
        </w:tc>
        <w:tc>
          <w:tcPr>
            <w:tcW w:type="dxa" w:w="2606"/>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01</w:t>
            </w:r>
          </w:p>
        </w:tc>
        <w:tc>
          <w:tcPr>
            <w:tcW w:type="dxa" w:w="1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Production</w:t>
            </w:r>
          </w:p>
        </w:tc>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Web Application</w:t>
            </w:r>
          </w:p>
        </w:tc>
        <w:tc>
          <w:tcPr>
            <w:tcW w:type="dxa" w:w="2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STC Bank on-prem server (Node.js process)</w:t>
            </w:r>
          </w:p>
        </w:tc>
        <w:tc>
          <w:tcPr>
            <w:tcW w:type="dxa" w:w="26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PM2 or systemd managed. Behind internal load balancer</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02</w:t>
            </w:r>
          </w:p>
        </w:tc>
        <w:tc>
          <w:tcPr>
            <w:tcW w:type="dxa" w:w="1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Production</w:t>
            </w:r>
          </w:p>
        </w:tc>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External Portal</w:t>
            </w:r>
          </w:p>
        </w:tc>
        <w:tc>
          <w:tcPr>
            <w:tcW w:type="dxa" w:w="2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STC Bank on-prem server (Node.js process)</w:t>
            </w:r>
          </w:p>
        </w:tc>
        <w:tc>
          <w:tcPr>
            <w:tcW w:type="dxa" w:w="26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Separate host from Web Application. Isolated network segment</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03</w:t>
            </w:r>
          </w:p>
        </w:tc>
        <w:tc>
          <w:tcPr>
            <w:tcW w:type="dxa" w:w="1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Production</w:t>
            </w:r>
          </w:p>
        </w:tc>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API Gateway</w:t>
            </w:r>
          </w:p>
        </w:tc>
        <w:tc>
          <w:tcPr>
            <w:tcW w:type="dxa" w:w="2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STC Bank on-prem server (Node.js process)</w:t>
            </w:r>
          </w:p>
        </w:tc>
        <w:tc>
          <w:tcPr>
            <w:tcW w:type="dxa" w:w="26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Single entry point. Placed behind TLS termination</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04</w:t>
            </w:r>
          </w:p>
        </w:tc>
        <w:tc>
          <w:tcPr>
            <w:tcW w:type="dxa" w:w="1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Production</w:t>
            </w:r>
          </w:p>
        </w:tc>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Services</w:t>
            </w:r>
          </w:p>
        </w:tc>
        <w:tc>
          <w:tcPr>
            <w:tcW w:type="dxa" w:w="2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STC Bank on-prem server (Node.js process)</w:t>
            </w:r>
          </w:p>
        </w:tc>
        <w:tc>
          <w:tcPr>
            <w:tcW w:type="dxa" w:w="26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Single deployable at MVP1. Internal network only</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05</w:t>
            </w:r>
          </w:p>
        </w:tc>
        <w:tc>
          <w:tcPr>
            <w:tcW w:type="dxa" w:w="1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Production</w:t>
            </w:r>
          </w:p>
        </w:tc>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Workflow and AI Engine</w:t>
            </w:r>
          </w:p>
        </w:tc>
        <w:tc>
          <w:tcPr>
            <w:tcW w:type="dxa" w:w="2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STC Bank on-prem server (Node.js worker)</w:t>
            </w:r>
          </w:p>
        </w:tc>
        <w:tc>
          <w:tcPr>
            <w:tcW w:type="dxa" w:w="26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Bull MQ backed by Redis. Internal network only</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06</w:t>
            </w:r>
          </w:p>
        </w:tc>
        <w:tc>
          <w:tcPr>
            <w:tcW w:type="dxa" w:w="1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Production</w:t>
            </w:r>
          </w:p>
        </w:tc>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Integration Service</w:t>
            </w:r>
          </w:p>
        </w:tc>
        <w:tc>
          <w:tcPr>
            <w:tcW w:type="dxa" w:w="2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STC Bank on-prem server (Node.js process)</w:t>
            </w:r>
          </w:p>
        </w:tc>
        <w:tc>
          <w:tcPr>
            <w:tcW w:type="dxa" w:w="26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Scheduled jobs and event listeners. Internal + limited outbound</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07</w:t>
            </w:r>
          </w:p>
        </w:tc>
        <w:tc>
          <w:tcPr>
            <w:tcW w:type="dxa" w:w="1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Production</w:t>
            </w:r>
          </w:p>
        </w:tc>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Platform Database</w:t>
            </w:r>
          </w:p>
        </w:tc>
        <w:tc>
          <w:tcPr>
            <w:tcW w:type="dxa" w:w="2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STC Bank on-prem PostgreSQL instance</w:t>
            </w:r>
          </w:p>
        </w:tc>
        <w:tc>
          <w:tcPr>
            <w:tcW w:type="dxa" w:w="26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HA replication recommended. Daily backup to on-prem target</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08</w:t>
            </w:r>
          </w:p>
        </w:tc>
        <w:tc>
          <w:tcPr>
            <w:tcW w:type="dxa" w:w="1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Production</w:t>
            </w:r>
          </w:p>
        </w:tc>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Session and Cache Store</w:t>
            </w:r>
          </w:p>
        </w:tc>
        <w:tc>
          <w:tcPr>
            <w:tcW w:type="dxa" w:w="2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STC Bank on-prem Redis instance</w:t>
            </w:r>
          </w:p>
        </w:tc>
        <w:tc>
          <w:tcPr>
            <w:tcW w:type="dxa" w:w="26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Sentinel configuration for HA. Cache data only — flush-safe</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09</w:t>
            </w:r>
          </w:p>
        </w:tc>
        <w:tc>
          <w:tcPr>
            <w:tcW w:type="dxa" w:w="1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Production</w:t>
            </w:r>
          </w:p>
        </w:tc>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File Storage</w:t>
            </w:r>
          </w:p>
        </w:tc>
        <w:tc>
          <w:tcPr>
            <w:tcW w:type="dxa" w:w="2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STC Bank on-prem MinIO-compatible object store</w:t>
            </w:r>
          </w:p>
        </w:tc>
        <w:tc>
          <w:tcPr>
            <w:tcW w:type="dxa" w:w="26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Airgapped. AES-256 at rest</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10</w:t>
            </w:r>
          </w:p>
        </w:tc>
        <w:tc>
          <w:tcPr>
            <w:tcW w:type="dxa" w:w="1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UAT</w:t>
            </w:r>
          </w:p>
        </w:tc>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All components</w:t>
            </w:r>
          </w:p>
        </w:tc>
        <w:tc>
          <w:tcPr>
            <w:tcW w:type="dxa" w:w="2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DQ-hosted environment (pre-UAT 1)</w:t>
            </w:r>
          </w:p>
        </w:tc>
        <w:tc>
          <w:tcPr>
            <w:tcW w:type="dxa" w:w="26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SAMA ITGF test data loaded. VPN access for STC Bank testers</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11</w:t>
            </w:r>
          </w:p>
        </w:tc>
        <w:tc>
          <w:tcPr>
            <w:tcW w:type="dxa" w:w="1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UAT</w:t>
            </w:r>
          </w:p>
        </w:tc>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All components</w:t>
            </w:r>
          </w:p>
        </w:tc>
        <w:tc>
          <w:tcPr>
            <w:tcW w:type="dxa" w:w="2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STC Bank on-prem (pre-UAT 2)</w:t>
            </w:r>
          </w:p>
        </w:tc>
        <w:tc>
          <w:tcPr>
            <w:tcW w:type="dxa" w:w="26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Production SAMA ITGF data loaded. Full UAT 2 scope</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12</w:t>
            </w:r>
          </w:p>
        </w:tc>
        <w:tc>
          <w:tcPr>
            <w:tcW w:type="dxa" w:w="1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DQ Dev</w:t>
            </w:r>
          </w:p>
        </w:tc>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All components</w:t>
            </w:r>
          </w:p>
        </w:tc>
        <w:tc>
          <w:tcPr>
            <w:tcW w:type="dxa" w:w="2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DQ offshore environment</w:t>
            </w:r>
          </w:p>
        </w:tc>
        <w:tc>
          <w:tcPr>
            <w:tcW w:type="dxa" w:w="26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VPN to STC Bank env for integration testing</w:t>
            </w:r>
          </w:p>
        </w:tc>
      </w:tr>
    </w:tbl>
    <w:p>
      <w:pPr>
        <w:pStyle w:val="Heading1"/>
        <w:pageBreakBefore/>
        <w:spacing w:after="200" w:before="480"/>
      </w:pPr>
      <w:r>
        <w:rPr>
          <w:rFonts w:ascii="Arial" w:cs="Arial" w:eastAsia="Arial" w:hAnsi="Arial"/>
          <w:b/>
          <w:bCs/>
          <w:color w:val="1E3A5F"/>
          <w:sz w:val="36"/>
          <w:szCs w:val="36"/>
        </w:rPr>
        <w:t xml:space="preserve">5.  Architecture Views</w:t>
      </w:r>
    </w:p>
    <w:p>
      <w:pPr>
        <w:spacing w:after="160" w:before="60"/>
      </w:pPr>
      <w:r>
        <w:rPr>
          <w:rFonts w:ascii="Arial" w:cs="Arial" w:eastAsia="Arial" w:hAnsi="Arial"/>
          <w:sz w:val="20"/>
          <w:szCs w:val="20"/>
        </w:rPr>
        <w:t xml:space="preserve">This section presents the 13 architecture views that together specify the GPRC Platform's architecture. Views are organised into three groups: Business Specification (§5.1–§5.4), Technology Specification (§5.5–§5.11), and DevOps Specification (§5.12–§5.13). Twelve of the 13 views include a diagram; Source Code and Branching (§5.12) is prose-only.</w:t>
      </w:r>
    </w:p>
    <w:p>
      <w:pPr>
        <w:pStyle w:val="Heading2"/>
        <w:pBdr>
          <w:bottom w:val="single" w:color="BDD0E5" w:sz="4" w:space="2"/>
        </w:pBdr>
        <w:spacing w:after="160" w:before="320"/>
      </w:pPr>
      <w:r>
        <w:rPr>
          <w:rFonts w:ascii="Arial" w:cs="Arial" w:eastAsia="Arial" w:hAnsi="Arial"/>
          <w:b/>
          <w:bCs/>
          <w:color w:val="2E5F8A"/>
          <w:sz w:val="28"/>
          <w:szCs w:val="28"/>
        </w:rPr>
        <w:t xml:space="preserve">5.1  System Context</w:t>
      </w:r>
    </w:p>
    <w:p>
      <w:pPr>
        <w:spacing w:after="160" w:before="60"/>
      </w:pPr>
      <w:r>
        <w:rPr>
          <w:rFonts w:ascii="Arial" w:cs="Arial" w:eastAsia="Arial" w:hAnsi="Arial"/>
          <w:sz w:val="20"/>
          <w:szCs w:val="20"/>
        </w:rPr>
        <w:t xml:space="preserve">The System Context view establishes the GPRC Platform's external boundary — the full set of human actors and external systems that interact with the platform, without exposing any internal structure. This is the correct starting point for stakeholder orientation, integration dependency review, or trust boundary discussion.</w:t>
      </w:r>
    </w:p>
    <w:p>
      <w:pPr>
        <w:pBdr>
          <w:left w:val="single" w:color="2E5F8A" w:sz="12" w:space="6"/>
        </w:pBdr>
        <w:spacing w:after="160" w:before="80"/>
        <w:ind w:left="360"/>
      </w:pPr>
      <w:r>
        <w:rPr>
          <w:rFonts w:ascii="Arial" w:cs="Arial" w:eastAsia="Arial" w:hAnsi="Arial"/>
          <w:b/>
          <w:bCs/>
          <w:color w:val="2E5F8A"/>
          <w:sz w:val="18"/>
          <w:szCs w:val="18"/>
        </w:rPr>
        <w:t xml:space="preserve">NOTE  </w:t>
      </w:r>
      <w:r>
        <w:rPr>
          <w:rFonts w:ascii="Arial" w:cs="Arial" w:eastAsia="Arial" w:hAnsi="Arial"/>
          <w:i/>
          <w:iCs/>
          <w:color w:val="444444"/>
          <w:sz w:val="18"/>
          <w:szCs w:val="18"/>
        </w:rPr>
        <w:t xml:space="preserve">Governing principles: AP-07 — Airgap Compliance (all external system relationships are inbound-only pull); AP-02 — Zero-Trust Access Control.</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4A7FA8" w:sz="8"/>
              <w:left w:val="single" w:color="4A7FA8" w:sz="8"/>
              <w:bottom w:val="single" w:color="4A7FA8" w:sz="8"/>
              <w:right w:val="single" w:color="4A7FA8" w:sz="8"/>
            </w:tcBorders>
            <w:shd w:fill="E0EBF5" w:val="clear"/>
            <w:tcMar>
              <w:top w:type="dxa" w:w="200"/>
              <w:left w:type="dxa" w:w="360"/>
              <w:bottom w:type="dxa" w:w="200"/>
              <w:right w:type="dxa" w:w="360"/>
            </w:tcMar>
          </w:tcPr>
          <w:p>
            <w:pPr>
              <w:spacing w:after="80"/>
              <w:jc w:val="center"/>
            </w:pPr>
            <w:r>
              <w:rPr>
                <w:rFonts w:ascii="Arial" w:cs="Arial" w:eastAsia="Arial" w:hAnsi="Arial"/>
                <w:b/>
                <w:bCs/>
                <w:color w:val="1E3A5F"/>
                <w:sz w:val="20"/>
                <w:szCs w:val="20"/>
              </w:rPr>
              <w:t xml:space="preserve">Diagram: C4 Level 1 — System Context</w:t>
            </w:r>
          </w:p>
          <w:p>
            <w:pPr>
              <w:spacing w:after="0"/>
              <w:jc w:val="center"/>
            </w:pPr>
            <w:r>
              <w:rPr>
                <w:rFonts w:ascii="Arial" w:cs="Arial" w:eastAsia="Arial" w:hAnsi="Arial"/>
                <w:i/>
                <w:iCs/>
                <w:color w:val="666666"/>
                <w:sz w:val="18"/>
                <w:szCs w:val="18"/>
              </w:rPr>
              <w:t xml:space="preserve">Mermaid source — see STCB_GPRC_C4L1_SystemContext.md</w:t>
            </w:r>
          </w:p>
        </w:tc>
      </w:tr>
    </w:tbl>
    <w:p>
      <w:pPr>
        <w:spacing w:after="160"/>
      </w:pPr>
      <w:r>
        <w:rPr>
          <w:rFonts w:ascii="Arial" w:cs="Arial" w:eastAsia="Arial" w:hAnsi="Arial"/>
          <w:sz w:val="20"/>
          <w:szCs w:val="20"/>
        </w:rP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00"/>
        <w:gridCol w:w="1800"/>
        <w:gridCol w:w="7186"/>
      </w:tblGrid>
      <w:tr>
        <w:trPr>
          <w:tblHeader/>
        </w:trPr>
        <w:tc>
          <w:tcPr>
            <w:tcW w:type="dxa" w:w="4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18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Title</w:t>
            </w:r>
          </w:p>
        </w:tc>
        <w:tc>
          <w:tcPr>
            <w:tcW w:type="dxa" w:w="7186"/>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01</w:t>
            </w:r>
          </w:p>
        </w:tc>
        <w:tc>
          <w:tcPr>
            <w:tcW w:type="dxa" w:w="1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Purpose</w:t>
            </w:r>
          </w:p>
        </w:tc>
        <w:tc>
          <w:tcPr>
            <w:tcW w:type="dxa" w:w="71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Establishes the complete external boundary of the GPRC Platform — all human actors and external systems that interact with it.</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02</w:t>
            </w:r>
          </w:p>
        </w:tc>
        <w:tc>
          <w:tcPr>
            <w:tcW w:type="dxa" w:w="1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Scope</w:t>
            </w:r>
          </w:p>
        </w:tc>
        <w:tc>
          <w:tcPr>
            <w:tcW w:type="dxa" w:w="71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GPRC Platform boundary (DWS.03); five actor groups (8 BRD segments consolidated); five external systems.</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03</w:t>
            </w:r>
          </w:p>
        </w:tc>
        <w:tc>
          <w:tcPr>
            <w:tcW w:type="dxa" w:w="1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Key Outputs</w:t>
            </w:r>
          </w:p>
        </w:tc>
        <w:tc>
          <w:tcPr>
            <w:tcW w:type="dxa" w:w="71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Integration dependency list for infrastructure provisioning; trust boundary definition for security architecture; entry point for actor and journey decomposition in §5.2 and §5.4.</w:t>
            </w:r>
          </w:p>
        </w:tc>
      </w:tr>
    </w:tbl>
    <w:p>
      <w:pPr>
        <w:pStyle w:val="Heading2"/>
        <w:pBdr>
          <w:bottom w:val="single" w:color="BDD0E5" w:sz="4" w:space="2"/>
        </w:pBdr>
        <w:spacing w:after="160" w:before="320"/>
      </w:pPr>
      <w:r>
        <w:rPr>
          <w:rFonts w:ascii="Arial" w:cs="Arial" w:eastAsia="Arial" w:hAnsi="Arial"/>
          <w:b/>
          <w:bCs/>
          <w:color w:val="2E5F8A"/>
          <w:sz w:val="28"/>
          <w:szCs w:val="28"/>
        </w:rPr>
        <w:t xml:space="preserve">5.2  System Actors</w:t>
      </w:r>
    </w:p>
    <w:p>
      <w:pPr>
        <w:spacing w:after="160" w:before="60"/>
      </w:pPr>
      <w:r>
        <w:rPr>
          <w:rFonts w:ascii="Arial" w:cs="Arial" w:eastAsia="Arial" w:hAnsi="Arial"/>
          <w:sz w:val="20"/>
          <w:szCs w:val="20"/>
        </w:rPr>
        <w:t xml:space="preserve">The System Actors view decomposes the GPRC Platform's users into their organisational structure — showing the eight user segments, their authority relationships, domain ownership, and the cross-segment delegation and data flows that the platform must support.</w:t>
      </w:r>
    </w:p>
    <w:p>
      <w:pPr>
        <w:pBdr>
          <w:left w:val="single" w:color="2E5F8A" w:sz="12" w:space="6"/>
        </w:pBdr>
        <w:spacing w:after="160" w:before="80"/>
        <w:ind w:left="360"/>
      </w:pPr>
      <w:r>
        <w:rPr>
          <w:rFonts w:ascii="Arial" w:cs="Arial" w:eastAsia="Arial" w:hAnsi="Arial"/>
          <w:b/>
          <w:bCs/>
          <w:color w:val="2E5F8A"/>
          <w:sz w:val="18"/>
          <w:szCs w:val="18"/>
        </w:rPr>
        <w:t xml:space="preserve">NOTE  </w:t>
      </w:r>
      <w:r>
        <w:rPr>
          <w:rFonts w:ascii="Arial" w:cs="Arial" w:eastAsia="Arial" w:hAnsi="Arial"/>
          <w:i/>
          <w:iCs/>
          <w:color w:val="444444"/>
          <w:sz w:val="18"/>
          <w:szCs w:val="18"/>
        </w:rPr>
        <w:t xml:space="preserve">Governing principles: AP-02 — Zero-Trust Access Control (each segment has distinct RBAC role configurations); AP-08 — Configuration Over Code.</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4A7FA8" w:sz="8"/>
              <w:left w:val="single" w:color="4A7FA8" w:sz="8"/>
              <w:bottom w:val="single" w:color="4A7FA8" w:sz="8"/>
              <w:right w:val="single" w:color="4A7FA8" w:sz="8"/>
            </w:tcBorders>
            <w:shd w:fill="E0EBF5" w:val="clear"/>
            <w:tcMar>
              <w:top w:type="dxa" w:w="200"/>
              <w:left w:type="dxa" w:w="360"/>
              <w:bottom w:type="dxa" w:w="200"/>
              <w:right w:type="dxa" w:w="360"/>
            </w:tcMar>
          </w:tcPr>
          <w:p>
            <w:pPr>
              <w:spacing w:after="80"/>
              <w:jc w:val="center"/>
            </w:pPr>
            <w:r>
              <w:rPr>
                <w:rFonts w:ascii="Arial" w:cs="Arial" w:eastAsia="Arial" w:hAnsi="Arial"/>
                <w:b/>
                <w:bCs/>
                <w:color w:val="1E3A5F"/>
                <w:sz w:val="20"/>
                <w:szCs w:val="20"/>
              </w:rPr>
              <w:t xml:space="preserve">Diagram: Actor Map — 8 User Segments</w:t>
            </w:r>
          </w:p>
          <w:p>
            <w:pPr>
              <w:spacing w:after="0"/>
              <w:jc w:val="center"/>
            </w:pPr>
            <w:r>
              <w:rPr>
                <w:rFonts w:ascii="Arial" w:cs="Arial" w:eastAsia="Arial" w:hAnsi="Arial"/>
                <w:i/>
                <w:iCs/>
                <w:color w:val="666666"/>
                <w:sz w:val="18"/>
                <w:szCs w:val="18"/>
              </w:rPr>
              <w:t xml:space="preserve">Mermaid source — see STCB_GPRC_ActorMap.md</w:t>
            </w:r>
          </w:p>
        </w:tc>
      </w:tr>
    </w:tbl>
    <w:p>
      <w:pPr>
        <w:spacing w:after="160"/>
      </w:pPr>
      <w:r>
        <w:rPr>
          <w:rFonts w:ascii="Arial" w:cs="Arial" w:eastAsia="Arial" w:hAnsi="Arial"/>
          <w:sz w:val="20"/>
          <w:szCs w:val="20"/>
        </w:rP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200"/>
        <w:gridCol w:w="1800"/>
        <w:gridCol w:w="1800"/>
        <w:gridCol w:w="3586"/>
      </w:tblGrid>
      <w:tr>
        <w:trPr>
          <w:tblHeader/>
        </w:trPr>
        <w:tc>
          <w:tcPr>
            <w:tcW w:type="dxa" w:w="22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Segment</w:t>
            </w:r>
          </w:p>
        </w:tc>
        <w:tc>
          <w:tcPr>
            <w:tcW w:type="dxa" w:w="18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Primary Domains</w:t>
            </w:r>
          </w:p>
        </w:tc>
        <w:tc>
          <w:tcPr>
            <w:tcW w:type="dxa" w:w="18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Access Pattern</w:t>
            </w:r>
          </w:p>
        </w:tc>
        <w:tc>
          <w:tcPr>
            <w:tcW w:type="dxa" w:w="3586"/>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Permissions</w:t>
            </w:r>
          </w:p>
        </w:tc>
      </w:tr>
      <w:tr>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1 — Board and Oversight</w:t>
            </w:r>
          </w:p>
        </w:tc>
        <w:tc>
          <w:tcPr>
            <w:tcW w:type="dxa" w:w="1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All (intelligence layer)</w:t>
            </w:r>
          </w:p>
        </w:tc>
        <w:tc>
          <w:tcPr>
            <w:tcW w:type="dxa" w:w="1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Periodic — board cycle driven</w:t>
            </w:r>
          </w:p>
        </w:tc>
        <w:tc>
          <w:tcPr>
            <w:tcW w:type="dxa" w:w="35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Read and approve. No data entry</w:t>
            </w:r>
          </w:p>
        </w:tc>
      </w:tr>
      <w:tr>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2 — Executive Leadership</w:t>
            </w:r>
          </w:p>
        </w:tc>
        <w:tc>
          <w:tcPr>
            <w:tcW w:type="dxa" w:w="1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All</w:t>
            </w:r>
          </w:p>
        </w:tc>
        <w:tc>
          <w:tcPr>
            <w:tcW w:type="dxa" w:w="1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Weekly to monthly. Exception-driven</w:t>
            </w:r>
          </w:p>
        </w:tc>
        <w:tc>
          <w:tcPr>
            <w:tcW w:type="dxa" w:w="35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Read all plus executive approval authority</w:t>
            </w:r>
          </w:p>
        </w:tc>
      </w:tr>
      <w:tr>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3 — Domain Leaders</w:t>
            </w:r>
          </w:p>
        </w:tc>
        <w:tc>
          <w:tcPr>
            <w:tcW w:type="dxa" w:w="1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One or more — role-dependent</w:t>
            </w:r>
          </w:p>
        </w:tc>
        <w:tc>
          <w:tcPr>
            <w:tcW w:type="dxa" w:w="1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Daily operational</w:t>
            </w:r>
          </w:p>
        </w:tc>
        <w:tc>
          <w:tcPr>
            <w:tcW w:type="dxa" w:w="35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Full read and write within owned domain(s)</w:t>
            </w:r>
          </w:p>
        </w:tc>
      </w:tr>
      <w:tr>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4 — Business Unit Owners</w:t>
            </w:r>
          </w:p>
        </w:tc>
        <w:tc>
          <w:tcPr>
            <w:tcW w:type="dxa" w:w="1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D1, D2, D4, D5 — entity-scoped</w:t>
            </w:r>
          </w:p>
        </w:tc>
        <w:tc>
          <w:tcPr>
            <w:tcW w:type="dxa" w:w="1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Daily to weekly</w:t>
            </w:r>
          </w:p>
        </w:tc>
        <w:tc>
          <w:tcPr>
            <w:tcW w:type="dxa" w:w="35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Read and write filtered to their entity</w:t>
            </w:r>
          </w:p>
        </w:tc>
      </w:tr>
      <w:tr>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5 — GRC and Assurance Practitioners</w:t>
            </w:r>
          </w:p>
        </w:tc>
        <w:tc>
          <w:tcPr>
            <w:tcW w:type="dxa" w:w="1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One or two — specialist</w:t>
            </w:r>
          </w:p>
        </w:tc>
        <w:tc>
          <w:tcPr>
            <w:tcW w:type="dxa" w:w="1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Daily operational</w:t>
            </w:r>
          </w:p>
        </w:tc>
        <w:tc>
          <w:tcPr>
            <w:tcW w:type="dxa" w:w="35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Read and write within specialist domain</w:t>
            </w:r>
          </w:p>
        </w:tc>
      </w:tr>
      <w:tr>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6 — Change and Delivery Practitioners</w:t>
            </w:r>
          </w:p>
        </w:tc>
        <w:tc>
          <w:tcPr>
            <w:tcW w:type="dxa" w:w="1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D1, D3 primary</w:t>
            </w:r>
          </w:p>
        </w:tc>
        <w:tc>
          <w:tcPr>
            <w:tcW w:type="dxa" w:w="1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Daily operational</w:t>
            </w:r>
          </w:p>
        </w:tc>
        <w:tc>
          <w:tcPr>
            <w:tcW w:type="dxa" w:w="35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Read and write in D1 and D3</w:t>
            </w:r>
          </w:p>
        </w:tc>
      </w:tr>
      <w:tr>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7 — Vendors and Third Parties</w:t>
            </w:r>
          </w:p>
        </w:tc>
        <w:tc>
          <w:tcPr>
            <w:tcW w:type="dxa" w:w="1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Portal only</w:t>
            </w:r>
          </w:p>
        </w:tc>
        <w:tc>
          <w:tcPr>
            <w:tcW w:type="dxa" w:w="1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On-request</w:t>
            </w:r>
          </w:p>
        </w:tc>
        <w:tc>
          <w:tcPr>
            <w:tcW w:type="dxa" w:w="35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Portal only — scoped to own assessment</w:t>
            </w:r>
          </w:p>
        </w:tc>
      </w:tr>
      <w:tr>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8 — Regulators and External Auditors</w:t>
            </w:r>
          </w:p>
        </w:tc>
        <w:tc>
          <w:tcPr>
            <w:tcW w:type="dxa" w:w="1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D5, D6 (scoped)</w:t>
            </w:r>
          </w:p>
        </w:tc>
        <w:tc>
          <w:tcPr>
            <w:tcW w:type="dxa" w:w="1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Audit-cycle driven</w:t>
            </w:r>
          </w:p>
        </w:tc>
        <w:tc>
          <w:tcPr>
            <w:tcW w:type="dxa" w:w="35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Scoped read; finding-write within engagement</w:t>
            </w:r>
          </w:p>
        </w:tc>
      </w:tr>
    </w:tbl>
    <w:p>
      <w:pPr>
        <w:pStyle w:val="Heading2"/>
        <w:pBdr>
          <w:bottom w:val="single" w:color="BDD0E5" w:sz="4" w:space="2"/>
        </w:pBdr>
        <w:spacing w:after="160" w:before="320"/>
      </w:pPr>
      <w:r>
        <w:rPr>
          <w:rFonts w:ascii="Arial" w:cs="Arial" w:eastAsia="Arial" w:hAnsi="Arial"/>
          <w:b/>
          <w:bCs/>
          <w:color w:val="2E5F8A"/>
          <w:sz w:val="28"/>
          <w:szCs w:val="28"/>
        </w:rPr>
        <w:t xml:space="preserve">5.3  System Interfaces</w:t>
      </w:r>
    </w:p>
    <w:p>
      <w:pPr>
        <w:spacing w:after="160" w:before="60"/>
      </w:pPr>
      <w:r>
        <w:rPr>
          <w:rFonts w:ascii="Arial" w:cs="Arial" w:eastAsia="Arial" w:hAnsi="Arial"/>
          <w:sz w:val="20"/>
          <w:szCs w:val="20"/>
        </w:rPr>
        <w:t xml:space="preserve">The System Interfaces view documents all external integration relationships — protocols, modes, data types, and directionality of each interface between the platform and external systems. This is the reference for Integration Service adapter implementation.</w:t>
      </w:r>
    </w:p>
    <w:p>
      <w:pPr>
        <w:pBdr>
          <w:left w:val="single" w:color="2E5F8A" w:sz="12" w:space="6"/>
        </w:pBdr>
        <w:spacing w:after="160" w:before="80"/>
        <w:ind w:left="360"/>
      </w:pPr>
      <w:r>
        <w:rPr>
          <w:rFonts w:ascii="Arial" w:cs="Arial" w:eastAsia="Arial" w:hAnsi="Arial"/>
          <w:b/>
          <w:bCs/>
          <w:color w:val="2E5F8A"/>
          <w:sz w:val="18"/>
          <w:szCs w:val="18"/>
        </w:rPr>
        <w:t xml:space="preserve">NOTE  </w:t>
      </w:r>
      <w:r>
        <w:rPr>
          <w:rFonts w:ascii="Arial" w:cs="Arial" w:eastAsia="Arial" w:hAnsi="Arial"/>
          <w:i/>
          <w:iCs/>
          <w:color w:val="444444"/>
          <w:sz w:val="18"/>
          <w:szCs w:val="18"/>
        </w:rPr>
        <w:t xml:space="preserve">Governing principles: AP-07 — Airgap Compliance (all interfaces are inbound to the platform; no platform data exits); AP-05 — Foundation Never Reimplemented.</w:t>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380"/>
        <w:gridCol w:w="2000"/>
        <w:gridCol w:w="1400"/>
        <w:gridCol w:w="1400"/>
        <w:gridCol w:w="4206"/>
      </w:tblGrid>
      <w:tr>
        <w:trPr>
          <w:tblHeader/>
        </w:trPr>
        <w:tc>
          <w:tcPr>
            <w:tcW w:type="dxa" w:w="38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20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Interface</w:t>
            </w:r>
          </w:p>
        </w:tc>
        <w:tc>
          <w:tcPr>
            <w:tcW w:type="dxa" w:w="14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Protocol</w:t>
            </w:r>
          </w:p>
        </w:tc>
        <w:tc>
          <w:tcPr>
            <w:tcW w:type="dxa" w:w="14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Mode</w:t>
            </w:r>
          </w:p>
        </w:tc>
        <w:tc>
          <w:tcPr>
            <w:tcW w:type="dxa" w:w="4206"/>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Data / Notes</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01</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HRMS Data Feed</w:t>
            </w:r>
          </w:p>
        </w:tc>
        <w:tc>
          <w:tcPr>
            <w:tcW w:type="dxa" w:w="1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REST/HTTPS</w:t>
            </w:r>
          </w:p>
        </w:tc>
        <w:tc>
          <w:tcPr>
            <w:tcW w:type="dxa" w:w="1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Async batch (scheduled)</w:t>
            </w:r>
          </w:p>
        </w:tc>
        <w:tc>
          <w:tcPr>
            <w:tcW w:type="dxa" w:w="42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Training completion and attrition data for culture risk indicators (D5). Pull only. Protocol TBC with STC Bank IT.</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02</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Finance System KPI Feed</w:t>
            </w:r>
          </w:p>
        </w:tc>
        <w:tc>
          <w:tcPr>
            <w:tcW w:type="dxa" w:w="1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REST/HTTPS</w:t>
            </w:r>
          </w:p>
        </w:tc>
        <w:tc>
          <w:tcPr>
            <w:tcW w:type="dxa" w:w="1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Async batch (scheduled)</w:t>
            </w:r>
          </w:p>
        </w:tc>
        <w:tc>
          <w:tcPr>
            <w:tcW w:type="dxa" w:w="42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KPI actuals by entity, period, and metric for D1. Pull, scheduled. Finance system API TBC.</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03</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SIEM Cyber Risk Events</w:t>
            </w:r>
          </w:p>
        </w:tc>
        <w:tc>
          <w:tcPr>
            <w:tcW w:type="dxa" w:w="1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REST/HTTPS or Syslog</w:t>
            </w:r>
          </w:p>
        </w:tc>
        <w:tc>
          <w:tcPr>
            <w:tcW w:type="dxa" w:w="1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Async (event-driven / scheduled)</w:t>
            </w:r>
          </w:p>
        </w:tc>
        <w:tc>
          <w:tcPr>
            <w:tcW w:type="dxa" w:w="42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Threat events and alerts by severity for D4. Protocol TBC — build adapter as protocol-swappable. See CL-01.</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04</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SAMA ITGF Framework Data</w:t>
            </w:r>
          </w:p>
        </w:tc>
        <w:tc>
          <w:tcPr>
            <w:tcW w:type="dxa" w:w="1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REST/HTTPS or file import</w:t>
            </w:r>
          </w:p>
        </w:tc>
        <w:tc>
          <w:tcPr>
            <w:tcW w:type="dxa" w:w="1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Async batch (scheduled)</w:t>
            </w:r>
          </w:p>
        </w:tc>
        <w:tc>
          <w:tcPr>
            <w:tcW w:type="dxa" w:w="42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L1–L3 ITGF control taxonomy for s4_regulatory schema. MVP1: file import. Two loads per release (test then production).</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05</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External Intelligence Feeds</w:t>
            </w:r>
          </w:p>
        </w:tc>
        <w:tc>
          <w:tcPr>
            <w:tcW w:type="dxa" w:w="1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REST/HTTPS</w:t>
            </w:r>
          </w:p>
        </w:tc>
        <w:tc>
          <w:tcPr>
            <w:tcW w:type="dxa" w:w="1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Async (scheduled / event-driven)</w:t>
            </w:r>
          </w:p>
        </w:tc>
        <w:tc>
          <w:tcPr>
            <w:tcW w:type="dxa" w:w="42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Regulatory horizon, threat intelligence, ESG ratings, geopolitical risk for D7. Specific providers TBC.</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06</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Browser — Web Application</w:t>
            </w:r>
          </w:p>
        </w:tc>
        <w:tc>
          <w:tcPr>
            <w:tcW w:type="dxa" w:w="1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HTTPS TLS 1.3</w:t>
            </w:r>
          </w:p>
        </w:tc>
        <w:tc>
          <w:tcPr>
            <w:tcW w:type="dxa" w:w="1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Sync</w:t>
            </w:r>
          </w:p>
        </w:tc>
        <w:tc>
          <w:tcPr>
            <w:tcW w:type="dxa" w:w="42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Internal users (Segments 1–6). MFA enforced before any authenticated session.</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07</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Browser — External Portal</w:t>
            </w:r>
          </w:p>
        </w:tc>
        <w:tc>
          <w:tcPr>
            <w:tcW w:type="dxa" w:w="1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HTTPS TLS 1.3</w:t>
            </w:r>
          </w:p>
        </w:tc>
        <w:tc>
          <w:tcPr>
            <w:tcW w:type="dxa" w:w="1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Sync</w:t>
            </w:r>
          </w:p>
        </w:tc>
        <w:tc>
          <w:tcPr>
            <w:tcW w:type="dxa" w:w="42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External actors (Segments 7–8). Invitation-only or provisioned-per-engagement access.</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08</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Web App to API Gateway</w:t>
            </w:r>
          </w:p>
        </w:tc>
        <w:tc>
          <w:tcPr>
            <w:tcW w:type="dxa" w:w="1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HTTPS/REST TLS 1.3</w:t>
            </w:r>
          </w:p>
        </w:tc>
        <w:tc>
          <w:tcPr>
            <w:tcW w:type="dxa" w:w="1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Sync</w:t>
            </w:r>
          </w:p>
        </w:tc>
        <w:tc>
          <w:tcPr>
            <w:tcW w:type="dxa" w:w="42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All client requests pass through API Gateway — no direct access to Domain Services.</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09</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API Gateway to Domain Services</w:t>
            </w:r>
          </w:p>
        </w:tc>
        <w:tc>
          <w:tcPr>
            <w:tcW w:type="dxa" w:w="1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HTTP/REST (internal)</w:t>
            </w:r>
          </w:p>
        </w:tc>
        <w:tc>
          <w:tcPr>
            <w:tcW w:type="dxa" w:w="1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Sync</w:t>
            </w:r>
          </w:p>
        </w:tc>
        <w:tc>
          <w:tcPr>
            <w:tcW w:type="dxa" w:w="42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RBAC re-enforced at service layer in addition to Gateway.</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10</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API Gateway to Workflow Engine</w:t>
            </w:r>
          </w:p>
        </w:tc>
        <w:tc>
          <w:tcPr>
            <w:tcW w:type="dxa" w:w="1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HTTP/REST (internal)</w:t>
            </w:r>
          </w:p>
        </w:tc>
        <w:tc>
          <w:tcPr>
            <w:tcW w:type="dxa" w:w="1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Async</w:t>
            </w:r>
          </w:p>
        </w:tc>
        <w:tc>
          <w:tcPr>
            <w:tcW w:type="dxa" w:w="42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Fire-and-update — workflow state persisted to DB.</w:t>
            </w:r>
          </w:p>
        </w:tc>
      </w:tr>
    </w:tbl>
    <w:p>
      <w:pPr>
        <w:pStyle w:val="Heading2"/>
        <w:pBdr>
          <w:bottom w:val="single" w:color="BDD0E5" w:sz="4" w:space="2"/>
        </w:pBdr>
        <w:spacing w:after="160" w:before="320"/>
      </w:pPr>
      <w:r>
        <w:rPr>
          <w:rFonts w:ascii="Arial" w:cs="Arial" w:eastAsia="Arial" w:hAnsi="Arial"/>
          <w:b/>
          <w:bCs/>
          <w:color w:val="2E5F8A"/>
          <w:sz w:val="28"/>
          <w:szCs w:val="28"/>
        </w:rPr>
        <w:t xml:space="preserve">5.4  System Journeys</w:t>
      </w:r>
    </w:p>
    <w:p>
      <w:pPr>
        <w:spacing w:after="160" w:before="60"/>
      </w:pPr>
      <w:r>
        <w:rPr>
          <w:rFonts w:ascii="Arial" w:cs="Arial" w:eastAsia="Arial" w:hAnsi="Arial"/>
          <w:sz w:val="20"/>
          <w:szCs w:val="20"/>
        </w:rPr>
        <w:t xml:space="preserve">The System Journeys view traces the end-to-end interaction paths for each of the eight user segments — from entry trigger through primary operational steps to the terminal action. Journeys establish the basis for UX flow design, feature acceptance criteria, and notification routing design.</w:t>
      </w:r>
    </w:p>
    <w:p>
      <w:pPr>
        <w:pBdr>
          <w:left w:val="single" w:color="2E5F8A" w:sz="12" w:space="6"/>
        </w:pBdr>
        <w:spacing w:after="160" w:before="80"/>
        <w:ind w:left="360"/>
      </w:pPr>
      <w:r>
        <w:rPr>
          <w:rFonts w:ascii="Arial" w:cs="Arial" w:eastAsia="Arial" w:hAnsi="Arial"/>
          <w:b/>
          <w:bCs/>
          <w:color w:val="2E5F8A"/>
          <w:sz w:val="18"/>
          <w:szCs w:val="18"/>
        </w:rPr>
        <w:t xml:space="preserve">NOTE  </w:t>
      </w:r>
      <w:r>
        <w:rPr>
          <w:rFonts w:ascii="Arial" w:cs="Arial" w:eastAsia="Arial" w:hAnsi="Arial"/>
          <w:i/>
          <w:iCs/>
          <w:color w:val="444444"/>
          <w:sz w:val="18"/>
          <w:szCs w:val="18"/>
        </w:rPr>
        <w:t xml:space="preserve">Governing principles: AP-02 — Zero-Trust Access Control (every journey begins with authenticated entry); AP-04 — Stateless Application Containers.</w:t>
      </w:r>
    </w:p>
    <w:p>
      <w:pPr>
        <w:spacing w:after="160" w:before="60"/>
      </w:pPr>
      <w:r>
        <w:rPr>
          <w:rFonts w:ascii="Arial" w:cs="Arial" w:eastAsia="Arial" w:hAnsi="Arial"/>
          <w:sz w:val="20"/>
          <w:szCs w:val="20"/>
        </w:rPr>
        <w:t xml:space="preserve">Three representative journeys are shown below. Full eight-segment swimlane diagrams are in STCB_GPRC_UserJourneyMap.md.</w:t>
      </w:r>
    </w:p>
    <w:p>
      <w:pPr>
        <w:pStyle w:val="Heading3"/>
        <w:spacing w:after="120" w:before="240"/>
      </w:pPr>
      <w:r>
        <w:rPr>
          <w:rFonts w:ascii="Arial" w:cs="Arial" w:eastAsia="Arial" w:hAnsi="Arial"/>
          <w:b/>
          <w:bCs/>
          <w:color w:val="4A7FA8"/>
          <w:sz w:val="22"/>
          <w:szCs w:val="22"/>
        </w:rPr>
        <w:t xml:space="preserve">Segment 1 — Board and Oversight</w:t>
      </w:r>
    </w:p>
    <w:p>
      <w:pPr>
        <w:spacing w:after="160" w:before="60"/>
      </w:pPr>
      <w:r>
        <w:rPr>
          <w:rFonts w:ascii="Arial" w:cs="Arial" w:eastAsia="Arial" w:hAnsi="Arial"/>
          <w:sz w:val="20"/>
          <w:szCs w:val="20"/>
        </w:rPr>
        <w:t xml:space="preserve">Board members receive a board pack notification and are routed directly to the relevant intelligence view. The platform assembles the board pack from live data. The journey concludes with a board approval or fit-and-proper declaration written to the immutable audit log.</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4A7FA8" w:sz="8"/>
              <w:left w:val="single" w:color="4A7FA8" w:sz="8"/>
              <w:bottom w:val="single" w:color="4A7FA8" w:sz="8"/>
              <w:right w:val="single" w:color="4A7FA8" w:sz="8"/>
            </w:tcBorders>
            <w:shd w:fill="E0EBF5" w:val="clear"/>
            <w:tcMar>
              <w:top w:type="dxa" w:w="200"/>
              <w:left w:type="dxa" w:w="360"/>
              <w:bottom w:type="dxa" w:w="200"/>
              <w:right w:type="dxa" w:w="360"/>
            </w:tcMar>
          </w:tcPr>
          <w:p>
            <w:pPr>
              <w:spacing w:after="80"/>
              <w:jc w:val="center"/>
            </w:pPr>
            <w:r>
              <w:rPr>
                <w:rFonts w:ascii="Arial" w:cs="Arial" w:eastAsia="Arial" w:hAnsi="Arial"/>
                <w:b/>
                <w:bCs/>
                <w:color w:val="1E3A5F"/>
                <w:sz w:val="20"/>
                <w:szCs w:val="20"/>
              </w:rPr>
              <w:t xml:space="preserve">Diagram: Segment 1 — Board and Oversight Journey</w:t>
            </w:r>
          </w:p>
          <w:p>
            <w:pPr>
              <w:spacing w:after="0"/>
              <w:jc w:val="center"/>
            </w:pPr>
            <w:r>
              <w:rPr>
                <w:rFonts w:ascii="Arial" w:cs="Arial" w:eastAsia="Arial" w:hAnsi="Arial"/>
                <w:i/>
                <w:iCs/>
                <w:color w:val="666666"/>
                <w:sz w:val="18"/>
                <w:szCs w:val="18"/>
              </w:rPr>
              <w:t xml:space="preserve">Mermaid source — see STCB_GPRC_UserJourneyMap.md §Segment 1</w:t>
            </w:r>
          </w:p>
        </w:tc>
      </w:tr>
    </w:tbl>
    <w:p>
      <w:pPr>
        <w:pStyle w:val="Heading3"/>
        <w:spacing w:after="120" w:before="240"/>
      </w:pPr>
      <w:r>
        <w:rPr>
          <w:rFonts w:ascii="Arial" w:cs="Arial" w:eastAsia="Arial" w:hAnsi="Arial"/>
          <w:b/>
          <w:bCs/>
          <w:color w:val="4A7FA8"/>
          <w:sz w:val="22"/>
          <w:szCs w:val="22"/>
        </w:rPr>
        <w:t xml:space="preserve">Segment 2 — Executive Leadership</w:t>
      </w:r>
    </w:p>
    <w:p>
      <w:pPr>
        <w:spacing w:after="160" w:before="60"/>
      </w:pPr>
      <w:r>
        <w:rPr>
          <w:rFonts w:ascii="Arial" w:cs="Arial" w:eastAsia="Arial" w:hAnsi="Arial"/>
          <w:sz w:val="20"/>
          <w:szCs w:val="20"/>
        </w:rPr>
        <w:t xml:space="preserve">The executive logs in to the Enterprise Dashboard and acts on escalations surfaced by the platform. Delegated remediation is routed to the relevant Domain Leader via the workflow engine.</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4A7FA8" w:sz="8"/>
              <w:left w:val="single" w:color="4A7FA8" w:sz="8"/>
              <w:bottom w:val="single" w:color="4A7FA8" w:sz="8"/>
              <w:right w:val="single" w:color="4A7FA8" w:sz="8"/>
            </w:tcBorders>
            <w:shd w:fill="E0EBF5" w:val="clear"/>
            <w:tcMar>
              <w:top w:type="dxa" w:w="200"/>
              <w:left w:type="dxa" w:w="360"/>
              <w:bottom w:type="dxa" w:w="200"/>
              <w:right w:type="dxa" w:w="360"/>
            </w:tcMar>
          </w:tcPr>
          <w:p>
            <w:pPr>
              <w:spacing w:after="80"/>
              <w:jc w:val="center"/>
            </w:pPr>
            <w:r>
              <w:rPr>
                <w:rFonts w:ascii="Arial" w:cs="Arial" w:eastAsia="Arial" w:hAnsi="Arial"/>
                <w:b/>
                <w:bCs/>
                <w:color w:val="1E3A5F"/>
                <w:sz w:val="20"/>
                <w:szCs w:val="20"/>
              </w:rPr>
              <w:t xml:space="preserve">Diagram: Segment 2 — Executive Leadership Journey</w:t>
            </w:r>
          </w:p>
          <w:p>
            <w:pPr>
              <w:spacing w:after="0"/>
              <w:jc w:val="center"/>
            </w:pPr>
            <w:r>
              <w:rPr>
                <w:rFonts w:ascii="Arial" w:cs="Arial" w:eastAsia="Arial" w:hAnsi="Arial"/>
                <w:i/>
                <w:iCs/>
                <w:color w:val="666666"/>
                <w:sz w:val="18"/>
                <w:szCs w:val="18"/>
              </w:rPr>
              <w:t xml:space="preserve">Mermaid source — see STCB_GPRC_UserJourneyMap.md §Segment 2</w:t>
            </w:r>
          </w:p>
        </w:tc>
      </w:tr>
    </w:tbl>
    <w:p>
      <w:pPr>
        <w:pStyle w:val="Heading3"/>
        <w:spacing w:after="120" w:before="240"/>
      </w:pPr>
      <w:r>
        <w:rPr>
          <w:rFonts w:ascii="Arial" w:cs="Arial" w:eastAsia="Arial" w:hAnsi="Arial"/>
          <w:b/>
          <w:bCs/>
          <w:color w:val="4A7FA8"/>
          <w:sz w:val="22"/>
          <w:szCs w:val="22"/>
        </w:rPr>
        <w:t xml:space="preserve">Segment 5 — GRC and Assurance Practitioners</w:t>
      </w:r>
    </w:p>
    <w:p>
      <w:pPr>
        <w:spacing w:after="160" w:before="60"/>
      </w:pPr>
      <w:r>
        <w:rPr>
          <w:rFonts w:ascii="Arial" w:cs="Arial" w:eastAsia="Arial" w:hAnsi="Arial"/>
          <w:sz w:val="20"/>
          <w:szCs w:val="20"/>
        </w:rPr>
        <w:t xml:space="preserve">GRC Practitioners carry the highest daily task density — evidence upload, control testing, audit response, and remediation tracking. The platform prioritises their task queue and routes submissions to Domain Leaders for review.</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4A7FA8" w:sz="8"/>
              <w:left w:val="single" w:color="4A7FA8" w:sz="8"/>
              <w:bottom w:val="single" w:color="4A7FA8" w:sz="8"/>
              <w:right w:val="single" w:color="4A7FA8" w:sz="8"/>
            </w:tcBorders>
            <w:shd w:fill="E0EBF5" w:val="clear"/>
            <w:tcMar>
              <w:top w:type="dxa" w:w="200"/>
              <w:left w:type="dxa" w:w="360"/>
              <w:bottom w:type="dxa" w:w="200"/>
              <w:right w:type="dxa" w:w="360"/>
            </w:tcMar>
          </w:tcPr>
          <w:p>
            <w:pPr>
              <w:spacing w:after="80"/>
              <w:jc w:val="center"/>
            </w:pPr>
            <w:r>
              <w:rPr>
                <w:rFonts w:ascii="Arial" w:cs="Arial" w:eastAsia="Arial" w:hAnsi="Arial"/>
                <w:b/>
                <w:bCs/>
                <w:color w:val="1E3A5F"/>
                <w:sz w:val="20"/>
                <w:szCs w:val="20"/>
              </w:rPr>
              <w:t xml:space="preserve">Diagram: Segment 5 — GRC Practitioner Journey</w:t>
            </w:r>
          </w:p>
          <w:p>
            <w:pPr>
              <w:spacing w:after="0"/>
              <w:jc w:val="center"/>
            </w:pPr>
            <w:r>
              <w:rPr>
                <w:rFonts w:ascii="Arial" w:cs="Arial" w:eastAsia="Arial" w:hAnsi="Arial"/>
                <w:i/>
                <w:iCs/>
                <w:color w:val="666666"/>
                <w:sz w:val="18"/>
                <w:szCs w:val="18"/>
              </w:rPr>
              <w:t xml:space="preserve">Mermaid source — see STCB_GPRC_UserJourneyMap.md §Segment 5</w:t>
            </w:r>
          </w:p>
        </w:tc>
      </w:tr>
    </w:tbl>
    <w:p>
      <w:pPr>
        <w:pStyle w:val="Heading2"/>
        <w:pBdr>
          <w:bottom w:val="single" w:color="BDD0E5" w:sz="4" w:space="2"/>
        </w:pBdr>
        <w:spacing w:after="160" w:before="320"/>
      </w:pPr>
      <w:r>
        <w:rPr>
          <w:rFonts w:ascii="Arial" w:cs="Arial" w:eastAsia="Arial" w:hAnsi="Arial"/>
          <w:b/>
          <w:bCs/>
          <w:color w:val="2E5F8A"/>
          <w:sz w:val="28"/>
          <w:szCs w:val="28"/>
        </w:rPr>
        <w:t xml:space="preserve">5.5  Conceptual Architecture</w:t>
      </w:r>
    </w:p>
    <w:p>
      <w:pPr>
        <w:spacing w:after="160" w:before="60"/>
      </w:pPr>
      <w:r>
        <w:rPr>
          <w:rFonts w:ascii="Arial" w:cs="Arial" w:eastAsia="Arial" w:hAnsi="Arial"/>
          <w:sz w:val="20"/>
          <w:szCs w:val="20"/>
        </w:rPr>
        <w:t xml:space="preserve">The Conceptual Architecture view shows the platform's logical organisation at the highest level of abstraction — the global layer, the seven operational domains, and the enabling Foundation layer — without exposing technology or deployment detail.</w:t>
      </w:r>
    </w:p>
    <w:p>
      <w:pPr>
        <w:pBdr>
          <w:left w:val="single" w:color="2E5F8A" w:sz="12" w:space="6"/>
        </w:pBdr>
        <w:spacing w:after="160" w:before="80"/>
        <w:ind w:left="360"/>
      </w:pPr>
      <w:r>
        <w:rPr>
          <w:rFonts w:ascii="Arial" w:cs="Arial" w:eastAsia="Arial" w:hAnsi="Arial"/>
          <w:b/>
          <w:bCs/>
          <w:color w:val="2E5F8A"/>
          <w:sz w:val="18"/>
          <w:szCs w:val="18"/>
        </w:rPr>
        <w:t xml:space="preserve">NOTE  </w:t>
      </w:r>
      <w:r>
        <w:rPr>
          <w:rFonts w:ascii="Arial" w:cs="Arial" w:eastAsia="Arial" w:hAnsi="Arial"/>
          <w:i/>
          <w:iCs/>
          <w:color w:val="444444"/>
          <w:sz w:val="18"/>
          <w:szCs w:val="18"/>
        </w:rPr>
        <w:t xml:space="preserve">Governing principles: AP-05 — Foundation Never Reimplemented; AP-08 — Configuration Over Code.</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4A7FA8" w:sz="8"/>
              <w:left w:val="single" w:color="4A7FA8" w:sz="8"/>
              <w:bottom w:val="single" w:color="4A7FA8" w:sz="8"/>
              <w:right w:val="single" w:color="4A7FA8" w:sz="8"/>
            </w:tcBorders>
            <w:shd w:fill="E0EBF5" w:val="clear"/>
            <w:tcMar>
              <w:top w:type="dxa" w:w="200"/>
              <w:left w:type="dxa" w:w="360"/>
              <w:bottom w:type="dxa" w:w="200"/>
              <w:right w:type="dxa" w:w="360"/>
            </w:tcMar>
          </w:tcPr>
          <w:p>
            <w:pPr>
              <w:spacing w:after="80"/>
              <w:jc w:val="center"/>
            </w:pPr>
            <w:r>
              <w:rPr>
                <w:rFonts w:ascii="Arial" w:cs="Arial" w:eastAsia="Arial" w:hAnsi="Arial"/>
                <w:b/>
                <w:bCs/>
                <w:color w:val="1E3A5F"/>
                <w:sz w:val="20"/>
                <w:szCs w:val="20"/>
              </w:rPr>
              <w:t xml:space="preserve">Diagram: Conceptual Architecture — 3-Layer Platform Model</w:t>
            </w:r>
          </w:p>
          <w:p>
            <w:pPr>
              <w:spacing w:after="0"/>
              <w:jc w:val="center"/>
            </w:pPr>
            <w:r>
              <w:rPr>
                <w:rFonts w:ascii="Arial" w:cs="Arial" w:eastAsia="Arial" w:hAnsi="Arial"/>
                <w:i/>
                <w:iCs/>
                <w:color w:val="666666"/>
                <w:sz w:val="18"/>
                <w:szCs w:val="18"/>
              </w:rPr>
              <w:t xml:space="preserve">Mermaid source — see STCB_GPRC_HLAD.md §5.5</w:t>
            </w:r>
          </w:p>
        </w:tc>
      </w:tr>
    </w:tbl>
    <w:p>
      <w:pPr>
        <w:spacing w:after="160"/>
      </w:pPr>
      <w:r>
        <w:rPr>
          <w:rFonts w:ascii="Arial" w:cs="Arial" w:eastAsia="Arial" w:hAnsi="Arial"/>
          <w:sz w:val="20"/>
          <w:szCs w:val="20"/>
        </w:rP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00"/>
        <w:gridCol w:w="2400"/>
        <w:gridCol w:w="6586"/>
      </w:tblGrid>
      <w:tr>
        <w:trPr>
          <w:tblHeader/>
        </w:trPr>
        <w:tc>
          <w:tcPr>
            <w:tcW w:type="dxa" w:w="4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24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Component Group</w:t>
            </w:r>
          </w:p>
        </w:tc>
        <w:tc>
          <w:tcPr>
            <w:tcW w:type="dxa" w:w="6586"/>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Purpose</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01</w:t>
            </w:r>
          </w:p>
        </w:tc>
        <w:tc>
          <w:tcPr>
            <w:tcW w:type="dxa" w:w="2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Global Layer</w:t>
            </w:r>
          </w:p>
        </w:tc>
        <w:tc>
          <w:tcPr>
            <w:tcW w:type="dxa" w:w="65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Personalised entry point for all segments: personalised dashboard, unified task and approval queue, cross-domain intelligence, global search, and notification centre.</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02</w:t>
            </w:r>
          </w:p>
        </w:tc>
        <w:tc>
          <w:tcPr>
            <w:tcW w:type="dxa" w:w="2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1 — Strategy and Performance</w:t>
            </w:r>
          </w:p>
        </w:tc>
        <w:tc>
          <w:tcPr>
            <w:tcW w:type="dxa" w:w="65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Strategy definition and cascade, OKR and KPI management, project and portfolio management, performance scorecards, strategic risk linkage.</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03</w:t>
            </w:r>
          </w:p>
        </w:tc>
        <w:tc>
          <w:tcPr>
            <w:tcW w:type="dxa" w:w="2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2 — Governance</w:t>
            </w:r>
          </w:p>
        </w:tc>
        <w:tc>
          <w:tcPr>
            <w:tcW w:type="dxa" w:w="65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Governance structure, policy lifecycle, delegation of authority, committee management, board accountability, regulatory change management.</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04</w:t>
            </w:r>
          </w:p>
        </w:tc>
        <w:tc>
          <w:tcPr>
            <w:tcW w:type="dxa" w:w="2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3 — Enterprise Change</w:t>
            </w:r>
          </w:p>
        </w:tc>
        <w:tc>
          <w:tcPr>
            <w:tcW w:type="dxa" w:w="65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Change governance, change risk assessment, innovation pipeline, digital transformation programme management, transformation portfolio.</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05</w:t>
            </w:r>
          </w:p>
        </w:tc>
        <w:tc>
          <w:tcPr>
            <w:tcW w:type="dxa" w:w="2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4 — Risk</w:t>
            </w:r>
          </w:p>
        </w:tc>
        <w:tc>
          <w:tcPr>
            <w:tcW w:type="dxa" w:w="65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Enterprise risk framework, risk register, KRI management, risk appetite, scenario analysis, IT and cyber risk, third-party risk.</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06</w:t>
            </w:r>
          </w:p>
        </w:tc>
        <w:tc>
          <w:tcPr>
            <w:tcW w:type="dxa" w:w="2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5 — Compliance and Assurance</w:t>
            </w:r>
          </w:p>
        </w:tc>
        <w:tc>
          <w:tcPr>
            <w:tcW w:type="dxa" w:w="65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Control library, compliance testing, multi-framework mapping, evidence management, audit management, specialised streams (SAMA ITGF, PDPL, SOX, ESG, Culture and Conduct).</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07</w:t>
            </w:r>
          </w:p>
        </w:tc>
        <w:tc>
          <w:tcPr>
            <w:tcW w:type="dxa" w:w="2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6 — Resilience and Response</w:t>
            </w:r>
          </w:p>
        </w:tc>
        <w:tc>
          <w:tcPr>
            <w:tcW w:type="dxa" w:w="65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Incident classification, issue and exception management, case management, remediation workflow, BCP, crisis management.</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08</w:t>
            </w:r>
          </w:p>
        </w:tc>
        <w:tc>
          <w:tcPr>
            <w:tcW w:type="dxa" w:w="2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7 — Platform and Intelligence</w:t>
            </w:r>
          </w:p>
        </w:tc>
        <w:tc>
          <w:tcPr>
            <w:tcW w:type="dxa" w:w="65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Integration ecosystem, workflow orchestration, AI-assisted intelligence, data classification, enterprise analytics, external feeds.</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09</w:t>
            </w:r>
          </w:p>
        </w:tc>
        <w:tc>
          <w:tcPr>
            <w:tcW w:type="dxa" w:w="2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Platform Foundation</w:t>
            </w:r>
          </w:p>
        </w:tc>
        <w:tc>
          <w:tcPr>
            <w:tcW w:type="dxa" w:w="65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IAM, immutable audit trail, workflow engine, notification engine, file storage, and analytics pipeline — shared across all domains.</w:t>
            </w:r>
          </w:p>
        </w:tc>
      </w:tr>
    </w:tbl>
    <w:p>
      <w:pPr>
        <w:pStyle w:val="Heading2"/>
        <w:pBdr>
          <w:bottom w:val="single" w:color="BDD0E5" w:sz="4" w:space="2"/>
        </w:pBdr>
        <w:spacing w:after="160" w:before="320"/>
      </w:pPr>
      <w:r>
        <w:rPr>
          <w:rFonts w:ascii="Arial" w:cs="Arial" w:eastAsia="Arial" w:hAnsi="Arial"/>
          <w:b/>
          <w:bCs/>
          <w:color w:val="2E5F8A"/>
          <w:sz w:val="28"/>
          <w:szCs w:val="28"/>
        </w:rPr>
        <w:t xml:space="preserve">5.6  Logical Architecture</w:t>
      </w:r>
    </w:p>
    <w:p>
      <w:pPr>
        <w:spacing w:after="160" w:before="60"/>
      </w:pPr>
      <w:r>
        <w:rPr>
          <w:rFonts w:ascii="Arial" w:cs="Arial" w:eastAsia="Arial" w:hAnsi="Arial"/>
          <w:sz w:val="20"/>
          <w:szCs w:val="20"/>
        </w:rPr>
        <w:t xml:space="preserve">The Logical Architecture view maps the platform's capability groups to the three technology layers, showing how the conceptual architecture is organised into the Client Tier, Application and Integration Layer, and Data and Intelligence Layer.</w:t>
      </w:r>
    </w:p>
    <w:p>
      <w:pPr>
        <w:pBdr>
          <w:left w:val="single" w:color="2E5F8A" w:sz="12" w:space="6"/>
        </w:pBdr>
        <w:spacing w:after="160" w:before="80"/>
        <w:ind w:left="360"/>
      </w:pPr>
      <w:r>
        <w:rPr>
          <w:rFonts w:ascii="Arial" w:cs="Arial" w:eastAsia="Arial" w:hAnsi="Arial"/>
          <w:b/>
          <w:bCs/>
          <w:color w:val="2E5F8A"/>
          <w:sz w:val="18"/>
          <w:szCs w:val="18"/>
        </w:rPr>
        <w:t xml:space="preserve">NOTE  </w:t>
      </w:r>
      <w:r>
        <w:rPr>
          <w:rFonts w:ascii="Arial" w:cs="Arial" w:eastAsia="Arial" w:hAnsi="Arial"/>
          <w:i/>
          <w:iCs/>
          <w:color w:val="444444"/>
          <w:sz w:val="18"/>
          <w:szCs w:val="18"/>
        </w:rPr>
        <w:t xml:space="preserve">Governing principles: AP-01 — API-First Architecture (all tier crossings are explicit API contracts); AP-03 — Data Integrity at the Database Layer.</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4A7FA8" w:sz="8"/>
              <w:left w:val="single" w:color="4A7FA8" w:sz="8"/>
              <w:bottom w:val="single" w:color="4A7FA8" w:sz="8"/>
              <w:right w:val="single" w:color="4A7FA8" w:sz="8"/>
            </w:tcBorders>
            <w:shd w:fill="E0EBF5" w:val="clear"/>
            <w:tcMar>
              <w:top w:type="dxa" w:w="200"/>
              <w:left w:type="dxa" w:w="360"/>
              <w:bottom w:type="dxa" w:w="200"/>
              <w:right w:type="dxa" w:w="360"/>
            </w:tcMar>
          </w:tcPr>
          <w:p>
            <w:pPr>
              <w:spacing w:after="80"/>
              <w:jc w:val="center"/>
            </w:pPr>
            <w:r>
              <w:rPr>
                <w:rFonts w:ascii="Arial" w:cs="Arial" w:eastAsia="Arial" w:hAnsi="Arial"/>
                <w:b/>
                <w:bCs/>
                <w:color w:val="1E3A5F"/>
                <w:sz w:val="20"/>
                <w:szCs w:val="20"/>
              </w:rPr>
              <w:t xml:space="preserve">Diagram: Logical Architecture — 3-Tier Layer Map</w:t>
            </w:r>
          </w:p>
          <w:p>
            <w:pPr>
              <w:spacing w:after="0"/>
              <w:jc w:val="center"/>
            </w:pPr>
            <w:r>
              <w:rPr>
                <w:rFonts w:ascii="Arial" w:cs="Arial" w:eastAsia="Arial" w:hAnsi="Arial"/>
                <w:i/>
                <w:iCs/>
                <w:color w:val="666666"/>
                <w:sz w:val="18"/>
                <w:szCs w:val="18"/>
              </w:rPr>
              <w:t xml:space="preserve">Mermaid source — see STCB_GPRC_HLAD.md §5.6</w:t>
            </w:r>
          </w:p>
        </w:tc>
      </w:tr>
    </w:tbl>
    <w:p>
      <w:pPr>
        <w:spacing w:after="160"/>
      </w:pPr>
      <w:r>
        <w:rPr>
          <w:rFonts w:ascii="Arial" w:cs="Arial" w:eastAsia="Arial" w:hAnsi="Arial"/>
          <w:sz w:val="20"/>
          <w:szCs w:val="20"/>
        </w:rP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00"/>
        <w:gridCol w:w="2200"/>
        <w:gridCol w:w="2400"/>
        <w:gridCol w:w="4386"/>
      </w:tblGrid>
      <w:tr>
        <w:trPr>
          <w:tblHeader/>
        </w:trPr>
        <w:tc>
          <w:tcPr>
            <w:tcW w:type="dxa" w:w="4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22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Component Group</w:t>
            </w:r>
          </w:p>
        </w:tc>
        <w:tc>
          <w:tcPr>
            <w:tcW w:type="dxa" w:w="24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Layer</w:t>
            </w:r>
          </w:p>
        </w:tc>
        <w:tc>
          <w:tcPr>
            <w:tcW w:type="dxa" w:w="4386"/>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Purpose</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01</w:t>
            </w:r>
          </w:p>
        </w:tc>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Web Application</w:t>
            </w:r>
          </w:p>
        </w:tc>
        <w:tc>
          <w:tcPr>
            <w:tcW w:type="dxa" w:w="2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Client Tier</w:t>
            </w:r>
          </w:p>
        </w:tc>
        <w:tc>
          <w:tcPr>
            <w:tcW w:type="dxa" w:w="43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Primary UI for Segments 1–6. Personalised per segment. SSR. No business logic.</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02</w:t>
            </w:r>
          </w:p>
        </w:tc>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External Portal</w:t>
            </w:r>
          </w:p>
        </w:tc>
        <w:tc>
          <w:tcPr>
            <w:tcW w:type="dxa" w:w="2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Client Tier</w:t>
            </w:r>
          </w:p>
        </w:tc>
        <w:tc>
          <w:tcPr>
            <w:tcW w:type="dxa" w:w="43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Scoped portal for Segments 7–8. Separate deployable. Portal-JWT only.</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03</w:t>
            </w:r>
          </w:p>
        </w:tc>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API Gateway (BFF)</w:t>
            </w:r>
          </w:p>
        </w:tc>
        <w:tc>
          <w:tcPr>
            <w:tcW w:type="dxa" w:w="2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Application and Integration Layer</w:t>
            </w:r>
          </w:p>
        </w:tc>
        <w:tc>
          <w:tcPr>
            <w:tcW w:type="dxa" w:w="43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Single entry point. JWT validation, RBAC, routing, rate limiting.</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04</w:t>
            </w:r>
          </w:p>
        </w:tc>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Services</w:t>
            </w:r>
          </w:p>
        </w:tc>
        <w:tc>
          <w:tcPr>
            <w:tcW w:type="dxa" w:w="2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Application and Integration Layer</w:t>
            </w:r>
          </w:p>
        </w:tc>
        <w:tc>
          <w:tcPr>
            <w:tcW w:type="dxa" w:w="43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All seven-domain business logic. Routes → Controllers → Services → Repositories.</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05</w:t>
            </w:r>
          </w:p>
        </w:tc>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Workflow and AI Engine</w:t>
            </w:r>
          </w:p>
        </w:tc>
        <w:tc>
          <w:tcPr>
            <w:tcW w:type="dxa" w:w="2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Application and Integration Layer</w:t>
            </w:r>
          </w:p>
        </w:tc>
        <w:tc>
          <w:tcPr>
            <w:tcW w:type="dxa" w:w="43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Approval chains, escalation rules, AI-01/02/03 (feature-flagged at MVP1).</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06</w:t>
            </w:r>
          </w:p>
        </w:tc>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Integration Service</w:t>
            </w:r>
          </w:p>
        </w:tc>
        <w:tc>
          <w:tcPr>
            <w:tcW w:type="dxa" w:w="2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Application and Integration Layer</w:t>
            </w:r>
          </w:p>
        </w:tc>
        <w:tc>
          <w:tcPr>
            <w:tcW w:type="dxa" w:w="43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Adapters for HRMS, Finance, SIEM, SAMA ITGF, External Intel Feeds.</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07</w:t>
            </w:r>
          </w:p>
        </w:tc>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Platform Database</w:t>
            </w:r>
          </w:p>
        </w:tc>
        <w:tc>
          <w:tcPr>
            <w:tcW w:type="dxa" w:w="2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Data and Intelligence Layer</w:t>
            </w:r>
          </w:p>
        </w:tc>
        <w:tc>
          <w:tcPr>
            <w:tcW w:type="dxa" w:w="43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Unified system of record. Five schemas. RLS policies. Immutable audit log.</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08</w:t>
            </w:r>
          </w:p>
        </w:tc>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Session and Cache Store</w:t>
            </w:r>
          </w:p>
        </w:tc>
        <w:tc>
          <w:tcPr>
            <w:tcW w:type="dxa" w:w="2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Data and Intelligence Layer</w:t>
            </w:r>
          </w:p>
        </w:tc>
        <w:tc>
          <w:tcPr>
            <w:tcW w:type="dxa" w:w="43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Session state (JWT) and read-through cache. No business state.</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09</w:t>
            </w:r>
          </w:p>
        </w:tc>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File Storage</w:t>
            </w:r>
          </w:p>
        </w:tc>
        <w:tc>
          <w:tcPr>
            <w:tcW w:type="dxa" w:w="2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Data and Intelligence Layer</w:t>
            </w:r>
          </w:p>
        </w:tc>
        <w:tc>
          <w:tcPr>
            <w:tcW w:type="dxa" w:w="43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Versioned evidence files, GRC documents. AES-256 at rest.</w:t>
            </w:r>
          </w:p>
        </w:tc>
      </w:tr>
    </w:tbl>
    <w:p>
      <w:pPr>
        <w:pStyle w:val="Heading2"/>
        <w:pBdr>
          <w:bottom w:val="single" w:color="BDD0E5" w:sz="4" w:space="2"/>
        </w:pBdr>
        <w:spacing w:after="160" w:before="320"/>
      </w:pPr>
      <w:r>
        <w:rPr>
          <w:rFonts w:ascii="Arial" w:cs="Arial" w:eastAsia="Arial" w:hAnsi="Arial"/>
          <w:b/>
          <w:bCs/>
          <w:color w:val="2E5F8A"/>
          <w:sz w:val="28"/>
          <w:szCs w:val="28"/>
        </w:rPr>
        <w:t xml:space="preserve">5.7  Implementation Architecture</w:t>
      </w:r>
    </w:p>
    <w:p>
      <w:pPr>
        <w:spacing w:after="160" w:before="60"/>
      </w:pPr>
      <w:r>
        <w:rPr>
          <w:rFonts w:ascii="Arial" w:cs="Arial" w:eastAsia="Arial" w:hAnsi="Arial"/>
          <w:sz w:val="20"/>
          <w:szCs w:val="20"/>
        </w:rPr>
        <w:t xml:space="preserve">The Implementation Architecture view shows the platform's deployable container topology — the actual units that are built, deployed, and operated. This is the primary reference for infrastructure provisioning, DevOps pipeline configuration, and team codebase ownership.</w:t>
      </w:r>
    </w:p>
    <w:p>
      <w:pPr>
        <w:pBdr>
          <w:left w:val="single" w:color="2E5F8A" w:sz="12" w:space="6"/>
        </w:pBdr>
        <w:spacing w:after="160" w:before="80"/>
        <w:ind w:left="360"/>
      </w:pPr>
      <w:r>
        <w:rPr>
          <w:rFonts w:ascii="Arial" w:cs="Arial" w:eastAsia="Arial" w:hAnsi="Arial"/>
          <w:b/>
          <w:bCs/>
          <w:color w:val="2E5F8A"/>
          <w:sz w:val="18"/>
          <w:szCs w:val="18"/>
        </w:rPr>
        <w:t xml:space="preserve">NOTE  </w:t>
      </w:r>
      <w:r>
        <w:rPr>
          <w:rFonts w:ascii="Arial" w:cs="Arial" w:eastAsia="Arial" w:hAnsi="Arial"/>
          <w:i/>
          <w:iCs/>
          <w:color w:val="444444"/>
          <w:sz w:val="18"/>
          <w:szCs w:val="18"/>
        </w:rPr>
        <w:t xml:space="preserve">Governing principles: AP-04 — Stateless Application Containers; AP-01 — API-First Architecture; AP-03 — Data Integrity at the Database Layer.</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4A7FA8" w:sz="8"/>
              <w:left w:val="single" w:color="4A7FA8" w:sz="8"/>
              <w:bottom w:val="single" w:color="4A7FA8" w:sz="8"/>
              <w:right w:val="single" w:color="4A7FA8" w:sz="8"/>
            </w:tcBorders>
            <w:shd w:fill="E0EBF5" w:val="clear"/>
            <w:tcMar>
              <w:top w:type="dxa" w:w="200"/>
              <w:left w:type="dxa" w:w="360"/>
              <w:bottom w:type="dxa" w:w="200"/>
              <w:right w:type="dxa" w:w="360"/>
            </w:tcMar>
          </w:tcPr>
          <w:p>
            <w:pPr>
              <w:spacing w:after="80"/>
              <w:jc w:val="center"/>
            </w:pPr>
            <w:r>
              <w:rPr>
                <w:rFonts w:ascii="Arial" w:cs="Arial" w:eastAsia="Arial" w:hAnsi="Arial"/>
                <w:b/>
                <w:bCs/>
                <w:color w:val="1E3A5F"/>
                <w:sz w:val="20"/>
                <w:szCs w:val="20"/>
              </w:rPr>
              <w:t xml:space="preserve">Diagram: C4 Level 2 — Container Diagram</w:t>
            </w:r>
          </w:p>
          <w:p>
            <w:pPr>
              <w:spacing w:after="0"/>
              <w:jc w:val="center"/>
            </w:pPr>
            <w:r>
              <w:rPr>
                <w:rFonts w:ascii="Arial" w:cs="Arial" w:eastAsia="Arial" w:hAnsi="Arial"/>
                <w:i/>
                <w:iCs/>
                <w:color w:val="666666"/>
                <w:sz w:val="18"/>
                <w:szCs w:val="18"/>
              </w:rPr>
              <w:t xml:space="preserve">Mermaid source — see STCB_GPRC_C4L2_Container.md</w:t>
            </w:r>
          </w:p>
        </w:tc>
      </w:tr>
    </w:tbl>
    <w:p>
      <w:pPr>
        <w:spacing w:after="160"/>
      </w:pPr>
      <w:r>
        <w:rPr>
          <w:rFonts w:ascii="Arial" w:cs="Arial" w:eastAsia="Arial" w:hAnsi="Arial"/>
          <w:sz w:val="20"/>
          <w:szCs w:val="20"/>
        </w:rP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000"/>
        <w:gridCol w:w="2000"/>
        <w:gridCol w:w="1600"/>
        <w:gridCol w:w="3786"/>
      </w:tblGrid>
      <w:tr>
        <w:trPr>
          <w:tblHeader/>
        </w:trPr>
        <w:tc>
          <w:tcPr>
            <w:tcW w:type="dxa" w:w="20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Container</w:t>
            </w:r>
          </w:p>
        </w:tc>
        <w:tc>
          <w:tcPr>
            <w:tcW w:type="dxa" w:w="20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Tier</w:t>
            </w:r>
          </w:p>
        </w:tc>
        <w:tc>
          <w:tcPr>
            <w:tcW w:type="dxa" w:w="16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Tech Stack</w:t>
            </w:r>
          </w:p>
        </w:tc>
        <w:tc>
          <w:tcPr>
            <w:tcW w:type="dxa" w:w="3786"/>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Responsibility</w:t>
            </w:r>
          </w:p>
        </w:tc>
      </w:tr>
      <w:tr>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Web Application</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Client Tier</w:t>
            </w:r>
          </w:p>
        </w:tc>
        <w:tc>
          <w:tcPr>
            <w:tcW w:type="dxa" w:w="16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Next.js / React</w:t>
            </w:r>
          </w:p>
        </w:tc>
        <w:tc>
          <w:tcPr>
            <w:tcW w:type="dxa" w:w="37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Primary UI. SSR for performance. Personalised per segment on load.</w:t>
            </w:r>
          </w:p>
        </w:tc>
      </w:tr>
      <w:tr>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External Portal</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Client Tier</w:t>
            </w:r>
          </w:p>
        </w:tc>
        <w:tc>
          <w:tcPr>
            <w:tcW w:type="dxa" w:w="16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Next.js / React</w:t>
            </w:r>
          </w:p>
        </w:tc>
        <w:tc>
          <w:tcPr>
            <w:tcW w:type="dxa" w:w="37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Scoped portal for vendors and regulators. No access to core platform.</w:t>
            </w:r>
          </w:p>
        </w:tc>
      </w:tr>
      <w:tr>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API Gateway</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Application and Integration Layer</w:t>
            </w:r>
          </w:p>
        </w:tc>
        <w:tc>
          <w:tcPr>
            <w:tcW w:type="dxa" w:w="16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Express.js / BFF</w:t>
            </w:r>
          </w:p>
        </w:tc>
        <w:tc>
          <w:tcPr>
            <w:tcW w:type="dxa" w:w="37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Single entry point. Validates JWT, enforces RBAC, routes to services.</w:t>
            </w:r>
          </w:p>
        </w:tc>
      </w:tr>
      <w:tr>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Services</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Application and Integration Layer</w:t>
            </w:r>
          </w:p>
        </w:tc>
        <w:tc>
          <w:tcPr>
            <w:tcW w:type="dxa" w:w="16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Express.js</w:t>
            </w:r>
          </w:p>
        </w:tc>
        <w:tc>
          <w:tcPr>
            <w:tcW w:type="dxa" w:w="37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Business logic for all 7 GPRC domains. Routes → Controllers → Services → Repositories.</w:t>
            </w:r>
          </w:p>
        </w:tc>
      </w:tr>
      <w:tr>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Workflow and AI Engine</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Application and Integration Layer</w:t>
            </w:r>
          </w:p>
        </w:tc>
        <w:tc>
          <w:tcPr>
            <w:tcW w:type="dxa" w:w="16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Node.js worker</w:t>
            </w:r>
          </w:p>
        </w:tc>
        <w:tc>
          <w:tcPr>
            <w:tcW w:type="dxa" w:w="37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Approval chains, escalations, deadline triggers, AI classification and gap detection.</w:t>
            </w:r>
          </w:p>
        </w:tc>
      </w:tr>
      <w:tr>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Integration Service</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Application and Integration Layer</w:t>
            </w:r>
          </w:p>
        </w:tc>
        <w:tc>
          <w:tcPr>
            <w:tcW w:type="dxa" w:w="16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Express.js</w:t>
            </w:r>
          </w:p>
        </w:tc>
        <w:tc>
          <w:tcPr>
            <w:tcW w:type="dxa" w:w="37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Scheduled and event-driven adapters for all external system integrations.</w:t>
            </w:r>
          </w:p>
        </w:tc>
      </w:tr>
      <w:tr>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Platform Database</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Data and Intelligence Layer</w:t>
            </w:r>
          </w:p>
        </w:tc>
        <w:tc>
          <w:tcPr>
            <w:tcW w:type="dxa" w:w="16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PostgreSQL</w:t>
            </w:r>
          </w:p>
        </w:tc>
        <w:tc>
          <w:tcPr>
            <w:tcW w:type="dxa" w:w="37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Unified system of record. RLS enforced. Schema dependency: s4 → s3 → s2 → s1 → platform.</w:t>
            </w:r>
          </w:p>
        </w:tc>
      </w:tr>
      <w:tr>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Session and Cache Store</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Data and Intelligence Layer</w:t>
            </w:r>
          </w:p>
        </w:tc>
        <w:tc>
          <w:tcPr>
            <w:tcW w:type="dxa" w:w="16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Redis</w:t>
            </w:r>
          </w:p>
        </w:tc>
        <w:tc>
          <w:tcPr>
            <w:tcW w:type="dxa" w:w="37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Stateless application instances. Session state and read-through cache only.</w:t>
            </w:r>
          </w:p>
        </w:tc>
      </w:tr>
    </w:tbl>
    <w:p>
      <w:pPr>
        <w:pStyle w:val="Heading2"/>
        <w:pBdr>
          <w:bottom w:val="single" w:color="BDD0E5" w:sz="4" w:space="2"/>
        </w:pBdr>
        <w:spacing w:after="160" w:before="320"/>
      </w:pPr>
      <w:r>
        <w:rPr>
          <w:rFonts w:ascii="Arial" w:cs="Arial" w:eastAsia="Arial" w:hAnsi="Arial"/>
          <w:b/>
          <w:bCs/>
          <w:color w:val="2E5F8A"/>
          <w:sz w:val="28"/>
          <w:szCs w:val="28"/>
        </w:rPr>
        <w:t xml:space="preserve">5.8  Integration Architecture</w:t>
      </w:r>
    </w:p>
    <w:p>
      <w:pPr>
        <w:spacing w:after="160" w:before="60"/>
      </w:pPr>
      <w:r>
        <w:rPr>
          <w:rFonts w:ascii="Arial" w:cs="Arial" w:eastAsia="Arial" w:hAnsi="Arial"/>
          <w:sz w:val="20"/>
          <w:szCs w:val="20"/>
        </w:rPr>
        <w:t xml:space="preserve">The Integration Architecture view documents the specific integration flows between the GPRC Platform and external systems — the adapters, data mappings, and scheduling patterns that the Integration Service implements.</w:t>
      </w:r>
    </w:p>
    <w:p>
      <w:pPr>
        <w:pBdr>
          <w:left w:val="single" w:color="2E5F8A" w:sz="12" w:space="6"/>
        </w:pBdr>
        <w:spacing w:after="160" w:before="80"/>
        <w:ind w:left="360"/>
      </w:pPr>
      <w:r>
        <w:rPr>
          <w:rFonts w:ascii="Arial" w:cs="Arial" w:eastAsia="Arial" w:hAnsi="Arial"/>
          <w:b/>
          <w:bCs/>
          <w:color w:val="2E5F8A"/>
          <w:sz w:val="18"/>
          <w:szCs w:val="18"/>
        </w:rPr>
        <w:t xml:space="preserve">NOTE  </w:t>
      </w:r>
      <w:r>
        <w:rPr>
          <w:rFonts w:ascii="Arial" w:cs="Arial" w:eastAsia="Arial" w:hAnsi="Arial"/>
          <w:i/>
          <w:iCs/>
          <w:color w:val="444444"/>
          <w:sz w:val="18"/>
          <w:szCs w:val="18"/>
        </w:rPr>
        <w:t xml:space="preserve">Governing principles: AP-07 — Airgap Compliance (all flows are inbound to the platform); AP-05 — Foundation Never Reimplemented (all adapters live in Integration Service only).</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4A7FA8" w:sz="8"/>
              <w:left w:val="single" w:color="4A7FA8" w:sz="8"/>
              <w:bottom w:val="single" w:color="4A7FA8" w:sz="8"/>
              <w:right w:val="single" w:color="4A7FA8" w:sz="8"/>
            </w:tcBorders>
            <w:shd w:fill="E0EBF5" w:val="clear"/>
            <w:tcMar>
              <w:top w:type="dxa" w:w="200"/>
              <w:left w:type="dxa" w:w="360"/>
              <w:bottom w:type="dxa" w:w="200"/>
              <w:right w:type="dxa" w:w="360"/>
            </w:tcMar>
          </w:tcPr>
          <w:p>
            <w:pPr>
              <w:spacing w:after="80"/>
              <w:jc w:val="center"/>
            </w:pPr>
            <w:r>
              <w:rPr>
                <w:rFonts w:ascii="Arial" w:cs="Arial" w:eastAsia="Arial" w:hAnsi="Arial"/>
                <w:b/>
                <w:bCs/>
                <w:color w:val="1E3A5F"/>
                <w:sz w:val="20"/>
                <w:szCs w:val="20"/>
              </w:rPr>
              <w:t xml:space="preserve">Diagram: Integration Architecture — Adapter Topology</w:t>
            </w:r>
          </w:p>
          <w:p>
            <w:pPr>
              <w:spacing w:after="0"/>
              <w:jc w:val="center"/>
            </w:pPr>
            <w:r>
              <w:rPr>
                <w:rFonts w:ascii="Arial" w:cs="Arial" w:eastAsia="Arial" w:hAnsi="Arial"/>
                <w:i/>
                <w:iCs/>
                <w:color w:val="666666"/>
                <w:sz w:val="18"/>
                <w:szCs w:val="18"/>
              </w:rPr>
              <w:t xml:space="preserve">Mermaid source — see STCB_GPRC_HLAD.md §5.8</w:t>
            </w:r>
          </w:p>
        </w:tc>
      </w:tr>
    </w:tbl>
    <w:p>
      <w:pPr>
        <w:spacing w:after="160"/>
      </w:pPr>
      <w:r>
        <w:rPr>
          <w:rFonts w:ascii="Arial" w:cs="Arial" w:eastAsia="Arial" w:hAnsi="Arial"/>
          <w:sz w:val="20"/>
          <w:szCs w:val="20"/>
        </w:rP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380"/>
        <w:gridCol w:w="2000"/>
        <w:gridCol w:w="2600"/>
        <w:gridCol w:w="1800"/>
        <w:gridCol w:w="2606"/>
      </w:tblGrid>
      <w:tr>
        <w:trPr>
          <w:tblHeader/>
        </w:trPr>
        <w:tc>
          <w:tcPr>
            <w:tcW w:type="dxa" w:w="38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20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Source</w:t>
            </w:r>
          </w:p>
        </w:tc>
        <w:tc>
          <w:tcPr>
            <w:tcW w:type="dxa" w:w="26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Purpose</w:t>
            </w:r>
          </w:p>
        </w:tc>
        <w:tc>
          <w:tcPr>
            <w:tcW w:type="dxa" w:w="18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Protocol / Mode</w:t>
            </w:r>
          </w:p>
        </w:tc>
        <w:tc>
          <w:tcPr>
            <w:tcW w:type="dxa" w:w="2606"/>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01</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STC Bank HRMS</w:t>
            </w:r>
          </w:p>
        </w:tc>
        <w:tc>
          <w:tcPr>
            <w:tcW w:type="dxa" w:w="26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Training completion and attrition data for culture risk indicators in D5</w:t>
            </w:r>
          </w:p>
        </w:tc>
        <w:tc>
          <w:tcPr>
            <w:tcW w:type="dxa" w:w="1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REST/HTTPS; scheduled batch</w:t>
            </w:r>
          </w:p>
        </w:tc>
        <w:tc>
          <w:tcPr>
            <w:tcW w:type="dxa" w:w="26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TBC with STC Bank IT. See CL-02.</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02</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STC Bank Finance System</w:t>
            </w:r>
          </w:p>
        </w:tc>
        <w:tc>
          <w:tcPr>
            <w:tcW w:type="dxa" w:w="26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KPI actuals for Strategy and Performance domain (D1)</w:t>
            </w:r>
          </w:p>
        </w:tc>
        <w:tc>
          <w:tcPr>
            <w:tcW w:type="dxa" w:w="1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REST/HTTPS; scheduled batch</w:t>
            </w:r>
          </w:p>
        </w:tc>
        <w:tc>
          <w:tcPr>
            <w:tcW w:type="dxa" w:w="26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Daily or weekly cadence TBC. See CL-03.</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03</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STC Bank SIEM</w:t>
            </w:r>
          </w:p>
        </w:tc>
        <w:tc>
          <w:tcPr>
            <w:tcW w:type="dxa" w:w="26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Cyber threat events for IT and Cyber Risk domain (D4)</w:t>
            </w:r>
          </w:p>
        </w:tc>
        <w:tc>
          <w:tcPr>
            <w:tcW w:type="dxa" w:w="1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REST/HTTPS or Syslog; event-driven / scheduled</w:t>
            </w:r>
          </w:p>
        </w:tc>
        <w:tc>
          <w:tcPr>
            <w:tcW w:type="dxa" w:w="26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Protocol TBC. Build as protocol-swappable. See CL-01 and AD-04.</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04</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SAMA ITGF Repository</w:t>
            </w:r>
          </w:p>
        </w:tc>
        <w:tc>
          <w:tcPr>
            <w:tcW w:type="dxa" w:w="26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SAMA ITGF L1–L3 control taxonomy and framework metadata</w:t>
            </w:r>
          </w:p>
        </w:tc>
        <w:tc>
          <w:tcPr>
            <w:tcW w:type="dxa" w:w="1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File import (MVP1); REST/HTTPS scheduled pull (post-MVP1)</w:t>
            </w:r>
          </w:p>
        </w:tc>
        <w:tc>
          <w:tcPr>
            <w:tcW w:type="dxa" w:w="26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Loaded twice per release. See AD-03 and CL-05.</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05</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External Intelligence Feed providers</w:t>
            </w:r>
          </w:p>
        </w:tc>
        <w:tc>
          <w:tcPr>
            <w:tcW w:type="dxa" w:w="26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Regulatory horizon, threat intelligence, ESG ratings, geopolitical risk data</w:t>
            </w:r>
          </w:p>
        </w:tc>
        <w:tc>
          <w:tcPr>
            <w:tcW w:type="dxa" w:w="1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REST/HTTPS; scheduled pull</w:t>
            </w:r>
          </w:p>
        </w:tc>
        <w:tc>
          <w:tcPr>
            <w:tcW w:type="dxa" w:w="26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Specific providers TBC.</w:t>
            </w:r>
          </w:p>
        </w:tc>
      </w:tr>
    </w:tbl>
    <w:p>
      <w:pPr>
        <w:pStyle w:val="Heading2"/>
        <w:pBdr>
          <w:bottom w:val="single" w:color="BDD0E5" w:sz="4" w:space="2"/>
        </w:pBdr>
        <w:spacing w:after="160" w:before="320"/>
      </w:pPr>
      <w:r>
        <w:rPr>
          <w:rFonts w:ascii="Arial" w:cs="Arial" w:eastAsia="Arial" w:hAnsi="Arial"/>
          <w:b/>
          <w:bCs/>
          <w:color w:val="2E5F8A"/>
          <w:sz w:val="28"/>
          <w:szCs w:val="28"/>
        </w:rPr>
        <w:t xml:space="preserve">5.9  Data Architecture</w:t>
      </w:r>
    </w:p>
    <w:p>
      <w:pPr>
        <w:spacing w:after="160" w:before="60"/>
      </w:pPr>
      <w:r>
        <w:rPr>
          <w:rFonts w:ascii="Arial" w:cs="Arial" w:eastAsia="Arial" w:hAnsi="Arial"/>
          <w:sz w:val="20"/>
          <w:szCs w:val="20"/>
        </w:rPr>
        <w:t xml:space="preserve">The Data Architecture view documents the platform's data model at the entity level — the key domain entities, their schema assignment, and the cross-schema relationships that enforce structural cross-domain linkage.</w:t>
      </w:r>
    </w:p>
    <w:p>
      <w:pPr>
        <w:pBdr>
          <w:left w:val="single" w:color="2E5F8A" w:sz="12" w:space="6"/>
        </w:pBdr>
        <w:spacing w:after="160" w:before="80"/>
        <w:ind w:left="360"/>
      </w:pPr>
      <w:r>
        <w:rPr>
          <w:rFonts w:ascii="Arial" w:cs="Arial" w:eastAsia="Arial" w:hAnsi="Arial"/>
          <w:b/>
          <w:bCs/>
          <w:color w:val="2E5F8A"/>
          <w:sz w:val="18"/>
          <w:szCs w:val="18"/>
        </w:rPr>
        <w:t xml:space="preserve">NOTE  </w:t>
      </w:r>
      <w:r>
        <w:rPr>
          <w:rFonts w:ascii="Arial" w:cs="Arial" w:eastAsia="Arial" w:hAnsi="Arial"/>
          <w:i/>
          <w:iCs/>
          <w:color w:val="444444"/>
          <w:sz w:val="18"/>
          <w:szCs w:val="18"/>
        </w:rPr>
        <w:t xml:space="preserve">Governing principles: AP-03 — Data Integrity at the Database Layer (RLS enforced per entity); AP-08 — Configuration Over Code (schema dependency enforces activation order).</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4A7FA8" w:sz="8"/>
              <w:left w:val="single" w:color="4A7FA8" w:sz="8"/>
              <w:bottom w:val="single" w:color="4A7FA8" w:sz="8"/>
              <w:right w:val="single" w:color="4A7FA8" w:sz="8"/>
            </w:tcBorders>
            <w:shd w:fill="E0EBF5" w:val="clear"/>
            <w:tcMar>
              <w:top w:type="dxa" w:w="200"/>
              <w:left w:type="dxa" w:w="360"/>
              <w:bottom w:type="dxa" w:w="200"/>
              <w:right w:type="dxa" w:w="360"/>
            </w:tcMar>
          </w:tcPr>
          <w:p>
            <w:pPr>
              <w:spacing w:after="80"/>
              <w:jc w:val="center"/>
            </w:pPr>
            <w:r>
              <w:rPr>
                <w:rFonts w:ascii="Arial" w:cs="Arial" w:eastAsia="Arial" w:hAnsi="Arial"/>
                <w:b/>
                <w:bCs/>
                <w:color w:val="1E3A5F"/>
                <w:sz w:val="20"/>
                <w:szCs w:val="20"/>
              </w:rPr>
              <w:t xml:space="preserve">Diagram: Data Architecture — Schema Dependency Map</w:t>
            </w:r>
          </w:p>
          <w:p>
            <w:pPr>
              <w:spacing w:after="0"/>
              <w:jc w:val="center"/>
            </w:pPr>
            <w:r>
              <w:rPr>
                <w:rFonts w:ascii="Arial" w:cs="Arial" w:eastAsia="Arial" w:hAnsi="Arial"/>
                <w:i/>
                <w:iCs/>
                <w:color w:val="666666"/>
                <w:sz w:val="18"/>
                <w:szCs w:val="18"/>
              </w:rPr>
              <w:t xml:space="preserve">Mermaid source — see STCB_GPRC_HLAD.md §5.9</w:t>
            </w:r>
          </w:p>
        </w:tc>
      </w:tr>
    </w:tbl>
    <w:p>
      <w:pPr>
        <w:spacing w:after="160"/>
      </w:pPr>
      <w:r>
        <w:rPr>
          <w:rFonts w:ascii="Arial" w:cs="Arial" w:eastAsia="Arial" w:hAnsi="Arial"/>
          <w:sz w:val="20"/>
          <w:szCs w:val="20"/>
        </w:rP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380"/>
        <w:gridCol w:w="2000"/>
        <w:gridCol w:w="1600"/>
        <w:gridCol w:w="5406"/>
      </w:tblGrid>
      <w:tr>
        <w:trPr>
          <w:tblHeader/>
        </w:trPr>
        <w:tc>
          <w:tcPr>
            <w:tcW w:type="dxa" w:w="38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20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Entity</w:t>
            </w:r>
          </w:p>
        </w:tc>
        <w:tc>
          <w:tcPr>
            <w:tcW w:type="dxa" w:w="16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Schema</w:t>
            </w:r>
          </w:p>
        </w:tc>
        <w:tc>
          <w:tcPr>
            <w:tcW w:type="dxa" w:w="5406"/>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01</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users</w:t>
            </w:r>
          </w:p>
        </w:tc>
        <w:tc>
          <w:tcPr>
            <w:tcW w:type="dxa" w:w="16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platform</w:t>
            </w:r>
          </w:p>
        </w:tc>
        <w:tc>
          <w:tcPr>
            <w:tcW w:type="dxa" w:w="54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All authenticated users across all segments. Identity, role claims, and entity scope assignments.</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02</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organisations</w:t>
            </w:r>
          </w:p>
        </w:tc>
        <w:tc>
          <w:tcPr>
            <w:tcW w:type="dxa" w:w="16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platform</w:t>
            </w:r>
          </w:p>
        </w:tc>
        <w:tc>
          <w:tcPr>
            <w:tcW w:type="dxa" w:w="54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Tenant root. All multi-entity scoping derives from this table.</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03</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audit_log</w:t>
            </w:r>
          </w:p>
        </w:tc>
        <w:tc>
          <w:tcPr>
            <w:tcW w:type="dxa" w:w="16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platform</w:t>
            </w:r>
          </w:p>
        </w:tc>
        <w:tc>
          <w:tcPr>
            <w:tcW w:type="dxa" w:w="54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Immutable change history for all record mutations. Append-only. No delete or update permitted.</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04</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risk_taxonomy</w:t>
            </w:r>
          </w:p>
        </w:tc>
        <w:tc>
          <w:tcPr>
            <w:tcW w:type="dxa" w:w="16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s1_discovery</w:t>
            </w:r>
          </w:p>
        </w:tc>
        <w:tc>
          <w:tcPr>
            <w:tcW w:type="dxa" w:w="54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Hierarchical risk classification tree. Shared reference; not entity-specific.</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05</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control_library</w:t>
            </w:r>
          </w:p>
        </w:tc>
        <w:tc>
          <w:tcPr>
            <w:tcW w:type="dxa" w:w="16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s1_discovery</w:t>
            </w:r>
          </w:p>
        </w:tc>
        <w:tc>
          <w:tcPr>
            <w:tcW w:type="dxa" w:w="54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Master control inventory with framework mappings. Extended by framework-specific tables in s4_regulatory.</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06</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framework_catalogue</w:t>
            </w:r>
          </w:p>
        </w:tc>
        <w:tc>
          <w:tcPr>
            <w:tcW w:type="dxa" w:w="16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s1_discovery</w:t>
            </w:r>
          </w:p>
        </w:tc>
        <w:tc>
          <w:tcPr>
            <w:tcW w:type="dxa" w:w="54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Compliance framework registry (SAMA ITGF, PDPL, SOX, NCA ECC, etc.). Loaded per activation.</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07</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risks</w:t>
            </w:r>
          </w:p>
        </w:tc>
        <w:tc>
          <w:tcPr>
            <w:tcW w:type="dxa" w:w="16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s2_account</w:t>
            </w:r>
          </w:p>
        </w:tc>
        <w:tc>
          <w:tcPr>
            <w:tcW w:type="dxa" w:w="54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Enterprise risk register. Each risk: owner, inherent score, residual score, treatment, linked controls, strategic objective links.</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08</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controls</w:t>
            </w:r>
          </w:p>
        </w:tc>
        <w:tc>
          <w:tcPr>
            <w:tcW w:type="dxa" w:w="16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s2_account</w:t>
            </w:r>
          </w:p>
        </w:tc>
        <w:tc>
          <w:tcPr>
            <w:tcW w:type="dxa" w:w="54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Operational control record. Links to control_library (s1), to risks (s2), to evidence (s3), and framework mappings (s4).</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09</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policies</w:t>
            </w:r>
          </w:p>
        </w:tc>
        <w:tc>
          <w:tcPr>
            <w:tcW w:type="dxa" w:w="16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s2_account</w:t>
            </w:r>
          </w:p>
        </w:tc>
        <w:tc>
          <w:tcPr>
            <w:tcW w:type="dxa" w:w="54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Policy and procedure records. Full lifecycle status, version history, and acknowledgement tracking.</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10</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projects</w:t>
            </w:r>
          </w:p>
        </w:tc>
        <w:tc>
          <w:tcPr>
            <w:tcW w:type="dxa" w:w="16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s2_account</w:t>
            </w:r>
          </w:p>
        </w:tc>
        <w:tc>
          <w:tcPr>
            <w:tcW w:type="dxa" w:w="54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Project and portfolio records for D1 and D3. Stage-gate state, ownership, risk linkage.</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11</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obligations</w:t>
            </w:r>
          </w:p>
        </w:tc>
        <w:tc>
          <w:tcPr>
            <w:tcW w:type="dxa" w:w="16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s2_account</w:t>
            </w:r>
          </w:p>
        </w:tc>
        <w:tc>
          <w:tcPr>
            <w:tcW w:type="dxa" w:w="54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Regulatory and contractual obligations. Owner, due date, evidence requirements, breach log.</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12</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incidents</w:t>
            </w:r>
          </w:p>
        </w:tc>
        <w:tc>
          <w:tcPr>
            <w:tcW w:type="dxa" w:w="16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s2_account</w:t>
            </w:r>
          </w:p>
        </w:tc>
        <w:tc>
          <w:tcPr>
            <w:tcW w:type="dxa" w:w="54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Incident records for D6. Linked to risks, controls, and remediation workflow.</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13</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workflow_instances</w:t>
            </w:r>
          </w:p>
        </w:tc>
        <w:tc>
          <w:tcPr>
            <w:tcW w:type="dxa" w:w="16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s3_ops</w:t>
            </w:r>
          </w:p>
        </w:tc>
        <w:tc>
          <w:tcPr>
            <w:tcW w:type="dxa" w:w="54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Running and completed workflow state for all approval chains. Every approval decision timestamped and immutable.</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14</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evidence_records</w:t>
            </w:r>
          </w:p>
        </w:tc>
        <w:tc>
          <w:tcPr>
            <w:tcW w:type="dxa" w:w="16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s3_ops</w:t>
            </w:r>
          </w:p>
        </w:tc>
        <w:tc>
          <w:tcPr>
            <w:tcW w:type="dxa" w:w="54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Versioned evidence files with classification, access control, and assurance status.</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15</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kri_readings</w:t>
            </w:r>
          </w:p>
        </w:tc>
        <w:tc>
          <w:tcPr>
            <w:tcW w:type="dxa" w:w="16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s3_ops</w:t>
            </w:r>
          </w:p>
        </w:tc>
        <w:tc>
          <w:tcPr>
            <w:tcW w:type="dxa" w:w="54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KRI measurement data with threshold status, breach log, and owner notification records.</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16</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itgf_controls</w:t>
            </w:r>
          </w:p>
        </w:tc>
        <w:tc>
          <w:tcPr>
            <w:tcW w:type="dxa" w:w="16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s4_regulatory</w:t>
            </w:r>
          </w:p>
        </w:tc>
        <w:tc>
          <w:tcPr>
            <w:tcW w:type="dxa" w:w="54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SAMA ITGF L1–L3 control data loaded from SAMA ITGF Repository. Read-only from platform operations.</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17</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itgf_control_mapping</w:t>
            </w:r>
          </w:p>
        </w:tc>
        <w:tc>
          <w:tcPr>
            <w:tcW w:type="dxa" w:w="16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s4_regulatory</w:t>
            </w:r>
          </w:p>
        </w:tc>
        <w:tc>
          <w:tcPr>
            <w:tcW w:type="dxa" w:w="54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Mapping between SAMA ITGF controls and control_library (s1). Enables multi-framework compliance posture calculation.</w:t>
            </w:r>
          </w:p>
        </w:tc>
      </w:tr>
    </w:tbl>
    <w:p>
      <w:pPr>
        <w:pStyle w:val="Heading2"/>
        <w:pBdr>
          <w:bottom w:val="single" w:color="BDD0E5" w:sz="4" w:space="2"/>
        </w:pBdr>
        <w:spacing w:after="160" w:before="320"/>
      </w:pPr>
      <w:r>
        <w:rPr>
          <w:rFonts w:ascii="Arial" w:cs="Arial" w:eastAsia="Arial" w:hAnsi="Arial"/>
          <w:b/>
          <w:bCs/>
          <w:color w:val="2E5F8A"/>
          <w:sz w:val="28"/>
          <w:szCs w:val="28"/>
        </w:rPr>
        <w:t xml:space="preserve">5.10  Security Architecture</w:t>
      </w:r>
    </w:p>
    <w:p>
      <w:pPr>
        <w:spacing w:after="160" w:before="60"/>
      </w:pPr>
      <w:r>
        <w:rPr>
          <w:rFonts w:ascii="Arial" w:cs="Arial" w:eastAsia="Arial" w:hAnsi="Arial"/>
          <w:sz w:val="20"/>
          <w:szCs w:val="20"/>
        </w:rPr>
        <w:t xml:space="preserve">The Security Architecture view documents the security principles, access control model, and data security obligations that govern the GPRC Platform. This view is the reference for IAM configuration, penetration testing scope, and SAMA ITGF security control alignment.</w:t>
      </w:r>
    </w:p>
    <w:p>
      <w:pPr>
        <w:pBdr>
          <w:left w:val="single" w:color="2E5F8A" w:sz="12" w:space="6"/>
        </w:pBdr>
        <w:spacing w:after="160" w:before="80"/>
        <w:ind w:left="360"/>
      </w:pPr>
      <w:r>
        <w:rPr>
          <w:rFonts w:ascii="Arial" w:cs="Arial" w:eastAsia="Arial" w:hAnsi="Arial"/>
          <w:b/>
          <w:bCs/>
          <w:color w:val="2E5F8A"/>
          <w:sz w:val="18"/>
          <w:szCs w:val="18"/>
        </w:rPr>
        <w:t xml:space="preserve">NOTE  </w:t>
      </w:r>
      <w:r>
        <w:rPr>
          <w:rFonts w:ascii="Arial" w:cs="Arial" w:eastAsia="Arial" w:hAnsi="Arial"/>
          <w:i/>
          <w:iCs/>
          <w:color w:val="444444"/>
          <w:sz w:val="18"/>
          <w:szCs w:val="18"/>
        </w:rPr>
        <w:t xml:space="preserve">Governing principles: AP-02 — Zero-Trust Access Control; AP-03 — Data Integrity at the Database Layer; AP-07 — Airgap Compliance.</w:t>
      </w:r>
    </w:p>
    <w:p>
      <w:pPr>
        <w:spacing w:after="80" w:before="160"/>
      </w:pPr>
      <w:r>
        <w:rPr>
          <w:rFonts w:ascii="Arial" w:cs="Arial" w:eastAsia="Arial" w:hAnsi="Arial"/>
          <w:b/>
          <w:bCs/>
          <w:sz w:val="20"/>
          <w:szCs w:val="20"/>
        </w:rPr>
        <w:t xml:space="preserve">Security Principles</w:t>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380"/>
        <w:gridCol w:w="2000"/>
        <w:gridCol w:w="4000"/>
        <w:gridCol w:w="3006"/>
      </w:tblGrid>
      <w:tr>
        <w:trPr>
          <w:tblHeader/>
        </w:trPr>
        <w:tc>
          <w:tcPr>
            <w:tcW w:type="dxa" w:w="38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20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Principle</w:t>
            </w:r>
          </w:p>
        </w:tc>
        <w:tc>
          <w:tcPr>
            <w:tcW w:type="dxa" w:w="40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Implementation</w:t>
            </w:r>
          </w:p>
        </w:tc>
        <w:tc>
          <w:tcPr>
            <w:tcW w:type="dxa" w:w="3006"/>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Guardrail</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01</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Zero-trust at the API Gateway</w:t>
            </w:r>
          </w:p>
        </w:tc>
        <w:tc>
          <w:tcPr>
            <w:tcW w:type="dxa" w:w="4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All requests are authenticated and RBAC-validated at the API Gateway before any downstream service is reached.</w:t>
            </w:r>
          </w:p>
        </w:tc>
        <w:tc>
          <w:tcPr>
            <w:tcW w:type="dxa" w:w="30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AP-02</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02</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Defence in depth</w:t>
            </w:r>
          </w:p>
        </w:tc>
        <w:tc>
          <w:tcPr>
            <w:tcW w:type="dxa" w:w="4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RBAC enforced at Gateway; RBAC re-enforced at Domain Service layer; RLS enforced at Database layer. Three independent enforcement boundaries.</w:t>
            </w:r>
          </w:p>
        </w:tc>
        <w:tc>
          <w:tcPr>
            <w:tcW w:type="dxa" w:w="30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AP-02, AP-03</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03</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Least privilege by default</w:t>
            </w:r>
          </w:p>
        </w:tc>
        <w:tc>
          <w:tcPr>
            <w:tcW w:type="dxa" w:w="4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User roles grant minimum permissions. RBAC roles scoped by segment and domain. Entity scoping restricts BU Owner visibility to their own entity records.</w:t>
            </w:r>
          </w:p>
        </w:tc>
        <w:tc>
          <w:tcPr>
            <w:tcW w:type="dxa" w:w="30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AP-02</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04</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MFA mandatory for all segments</w:t>
            </w:r>
          </w:p>
        </w:tc>
        <w:tc>
          <w:tcPr>
            <w:tcW w:type="dxa" w:w="4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TOTP MFA enforced at login for all eight segments. No session is established without MFA completion.</w:t>
            </w:r>
          </w:p>
        </w:tc>
        <w:tc>
          <w:tcPr>
            <w:tcW w:type="dxa" w:w="30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AP-02</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05</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Immutable audit trail</w:t>
            </w:r>
          </w:p>
        </w:tc>
        <w:tc>
          <w:tcPr>
            <w:tcW w:type="dxa" w:w="4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Every record mutation, approval decision, and AI override written to an immutable audit log. No deletion or modification under any permission level.</w:t>
            </w:r>
          </w:p>
        </w:tc>
        <w:tc>
          <w:tcPr>
            <w:tcW w:type="dxa" w:w="30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AP-03, AP-05</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06</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Encryption at rest and in transit</w:t>
            </w:r>
          </w:p>
        </w:tc>
        <w:tc>
          <w:tcPr>
            <w:tcW w:type="dxa" w:w="4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AES-256 for all data at rest. TLS 1.3 for all API and session traffic.</w:t>
            </w:r>
          </w:p>
        </w:tc>
        <w:tc>
          <w:tcPr>
            <w:tcW w:type="dxa" w:w="30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AP-07</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07</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Session management</w:t>
            </w:r>
          </w:p>
        </w:tc>
        <w:tc>
          <w:tcPr>
            <w:tcW w:type="dxa" w:w="4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Session TTL configurable per segment role. Auto-logout after inactivity. Privileged admin actions require MFA step-up.</w:t>
            </w:r>
          </w:p>
        </w:tc>
        <w:tc>
          <w:tcPr>
            <w:tcW w:type="dxa" w:w="30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AP-04</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08</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No data egress</w:t>
            </w:r>
          </w:p>
        </w:tc>
        <w:tc>
          <w:tcPr>
            <w:tcW w:type="dxa" w:w="4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The platform does not send production data to any external system. All external integrations are inbound pull only.</w:t>
            </w:r>
          </w:p>
        </w:tc>
        <w:tc>
          <w:tcPr>
            <w:tcW w:type="dxa" w:w="30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AP-07</w:t>
            </w:r>
          </w:p>
        </w:tc>
      </w:tr>
    </w:tbl>
    <w:p>
      <w:pPr>
        <w:spacing w:after="160"/>
      </w:pPr>
      <w:r>
        <w:rPr>
          <w:rFonts w:ascii="Arial" w:cs="Arial" w:eastAsia="Arial" w:hAnsi="Arial"/>
          <w:sz w:val="20"/>
          <w:szCs w:val="20"/>
        </w:rPr>
        <w:t xml:space="preserve"/>
      </w:r>
    </w:p>
    <w:p>
      <w:pPr>
        <w:spacing w:after="80" w:before="160"/>
      </w:pPr>
      <w:r>
        <w:rPr>
          <w:rFonts w:ascii="Arial" w:cs="Arial" w:eastAsia="Arial" w:hAnsi="Arial"/>
          <w:b/>
          <w:bCs/>
          <w:sz w:val="20"/>
          <w:szCs w:val="20"/>
        </w:rPr>
        <w:t xml:space="preserve">Data Security and Compliance</w:t>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380"/>
        <w:gridCol w:w="2000"/>
        <w:gridCol w:w="1600"/>
        <w:gridCol w:w="5406"/>
      </w:tblGrid>
      <w:tr>
        <w:trPr>
          <w:tblHeader/>
        </w:trPr>
        <w:tc>
          <w:tcPr>
            <w:tcW w:type="dxa" w:w="38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20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Requirement</w:t>
            </w:r>
          </w:p>
        </w:tc>
        <w:tc>
          <w:tcPr>
            <w:tcW w:type="dxa" w:w="16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Standard</w:t>
            </w:r>
          </w:p>
        </w:tc>
        <w:tc>
          <w:tcPr>
            <w:tcW w:type="dxa" w:w="5406"/>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Implementation</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01</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Data residency</w:t>
            </w:r>
          </w:p>
        </w:tc>
        <w:tc>
          <w:tcPr>
            <w:tcW w:type="dxa" w:w="16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SAMA, PDPL</w:t>
            </w:r>
          </w:p>
        </w:tc>
        <w:tc>
          <w:tcPr>
            <w:tcW w:type="dxa" w:w="54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All data stored on STC Bank's on-premises infrastructure within Saudi Arabia. No cloud-hosted components for production data.</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02</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Data classification</w:t>
            </w:r>
          </w:p>
        </w:tc>
        <w:tc>
          <w:tcPr>
            <w:tcW w:type="dxa" w:w="16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PDPL, SAMA ITGF</w:t>
            </w:r>
          </w:p>
        </w:tc>
        <w:tc>
          <w:tcPr>
            <w:tcW w:type="dxa" w:w="54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Record-level: Public, Internal, Confidential, Restricted. PDPL personal data classified as Restricted minimum. Classification drives access control and retention.</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03</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Data retention</w:t>
            </w:r>
          </w:p>
        </w:tc>
        <w:tc>
          <w:tcPr>
            <w:tcW w:type="dxa" w:w="16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SAMA ITGF</w:t>
            </w:r>
          </w:p>
        </w:tc>
        <w:tc>
          <w:tcPr>
            <w:tcW w:type="dxa" w:w="54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Configurable per classification and record type. Minimum 5 years for regulatory records.</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04</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Row-Level Security</w:t>
            </w:r>
          </w:p>
        </w:tc>
        <w:tc>
          <w:tcPr>
            <w:tcW w:type="dxa" w:w="16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Internal — AP-03</w:t>
            </w:r>
          </w:p>
        </w:tc>
        <w:tc>
          <w:tcPr>
            <w:tcW w:type="dxa" w:w="54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RLS policies on all multi-tenant and entity-scoped tables. Session variables app.user_id, app.org_id, app.entity_scope set at transaction start.</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05</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Penetration testing</w:t>
            </w:r>
          </w:p>
        </w:tc>
        <w:tc>
          <w:tcPr>
            <w:tcW w:type="dxa" w:w="16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SAMA CSF, NCA ECC</w:t>
            </w:r>
          </w:p>
        </w:tc>
        <w:tc>
          <w:tcPr>
            <w:tcW w:type="dxa" w:w="54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Pre-go-live penetration test required. Annual testing post go-live. Scope covers all eight containers plus database access paths.</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06</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Vulnerability management</w:t>
            </w:r>
          </w:p>
        </w:tc>
        <w:tc>
          <w:tcPr>
            <w:tcW w:type="dxa" w:w="16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SAMA CSF</w:t>
            </w:r>
          </w:p>
        </w:tc>
        <w:tc>
          <w:tcPr>
            <w:tcW w:type="dxa" w:w="54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CVSS scoring applied to all components. Patch SLAs: Critical under 48 hours, High under 7 days, Medium under 30 days.</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07</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PDPL compliance</w:t>
            </w:r>
          </w:p>
        </w:tc>
        <w:tc>
          <w:tcPr>
            <w:tcW w:type="dxa" w:w="16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SDAIA PDPL</w:t>
            </w:r>
          </w:p>
        </w:tc>
        <w:tc>
          <w:tcPr>
            <w:tcW w:type="dxa" w:w="54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RoPA, DPIA workflows, data subject rights, breach notification workflows in Domain 5 specialised streams. Activated at MVP 2.</w:t>
            </w:r>
          </w:p>
        </w:tc>
      </w:tr>
    </w:tbl>
    <w:p>
      <w:pPr>
        <w:pStyle w:val="Heading2"/>
        <w:pBdr>
          <w:bottom w:val="single" w:color="BDD0E5" w:sz="4" w:space="2"/>
        </w:pBdr>
        <w:spacing w:after="160" w:before="320"/>
      </w:pPr>
      <w:r>
        <w:rPr>
          <w:rFonts w:ascii="Arial" w:cs="Arial" w:eastAsia="Arial" w:hAnsi="Arial"/>
          <w:b/>
          <w:bCs/>
          <w:color w:val="2E5F8A"/>
          <w:sz w:val="28"/>
          <w:szCs w:val="28"/>
        </w:rPr>
        <w:t xml:space="preserve">5.11  Deployment Environment</w:t>
      </w:r>
    </w:p>
    <w:p>
      <w:pPr>
        <w:spacing w:after="160" w:before="60"/>
      </w:pPr>
      <w:r>
        <w:rPr>
          <w:rFonts w:ascii="Arial" w:cs="Arial" w:eastAsia="Arial" w:hAnsi="Arial"/>
          <w:sz w:val="20"/>
          <w:szCs w:val="20"/>
        </w:rPr>
        <w:t xml:space="preserve">The Deployment Environment view maps the GPRC Platform's component topology to the physical and logical environments used across the delivery lifecycle — DQ's development environment, the shared UAT environments, and the STC Bank production environment.</w:t>
      </w:r>
    </w:p>
    <w:p>
      <w:pPr>
        <w:pBdr>
          <w:left w:val="single" w:color="2E5F8A" w:sz="12" w:space="6"/>
        </w:pBdr>
        <w:spacing w:after="160" w:before="80"/>
        <w:ind w:left="360"/>
      </w:pPr>
      <w:r>
        <w:rPr>
          <w:rFonts w:ascii="Arial" w:cs="Arial" w:eastAsia="Arial" w:hAnsi="Arial"/>
          <w:b/>
          <w:bCs/>
          <w:color w:val="2E5F8A"/>
          <w:sz w:val="18"/>
          <w:szCs w:val="18"/>
        </w:rPr>
        <w:t xml:space="preserve">NOTE  </w:t>
      </w:r>
      <w:r>
        <w:rPr>
          <w:rFonts w:ascii="Arial" w:cs="Arial" w:eastAsia="Arial" w:hAnsi="Arial"/>
          <w:i/>
          <w:iCs/>
          <w:color w:val="444444"/>
          <w:sz w:val="18"/>
          <w:szCs w:val="18"/>
        </w:rPr>
        <w:t xml:space="preserve">Governing principles: AP-07 — Airgap Compliance (production has no external network egress); AP-04 — Stateless Application Containers.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4A7FA8" w:sz="8"/>
              <w:left w:val="single" w:color="4A7FA8" w:sz="8"/>
              <w:bottom w:val="single" w:color="4A7FA8" w:sz="8"/>
              <w:right w:val="single" w:color="4A7FA8" w:sz="8"/>
            </w:tcBorders>
            <w:shd w:fill="E0EBF5" w:val="clear"/>
            <w:tcMar>
              <w:top w:type="dxa" w:w="200"/>
              <w:left w:type="dxa" w:w="360"/>
              <w:bottom w:type="dxa" w:w="200"/>
              <w:right w:type="dxa" w:w="360"/>
            </w:tcMar>
          </w:tcPr>
          <w:p>
            <w:pPr>
              <w:spacing w:after="80"/>
              <w:jc w:val="center"/>
            </w:pPr>
            <w:r>
              <w:rPr>
                <w:rFonts w:ascii="Arial" w:cs="Arial" w:eastAsia="Arial" w:hAnsi="Arial"/>
                <w:b/>
                <w:bCs/>
                <w:color w:val="1E3A5F"/>
                <w:sz w:val="20"/>
                <w:szCs w:val="20"/>
              </w:rPr>
              <w:t xml:space="preserve">Diagram: Deployment Environment — Promotion Pipeline</w:t>
            </w:r>
          </w:p>
          <w:p>
            <w:pPr>
              <w:spacing w:after="0"/>
              <w:jc w:val="center"/>
            </w:pPr>
            <w:r>
              <w:rPr>
                <w:rFonts w:ascii="Arial" w:cs="Arial" w:eastAsia="Arial" w:hAnsi="Arial"/>
                <w:i/>
                <w:iCs/>
                <w:color w:val="666666"/>
                <w:sz w:val="18"/>
                <w:szCs w:val="18"/>
              </w:rPr>
              <w:t xml:space="preserve">Mermaid source — see STCB_GPRC_HLAD.md §5.11</w:t>
            </w:r>
          </w:p>
        </w:tc>
      </w:tr>
    </w:tbl>
    <w:p>
      <w:pPr>
        <w:spacing w:after="160"/>
      </w:pPr>
      <w:r>
        <w:rPr>
          <w:rFonts w:ascii="Arial" w:cs="Arial" w:eastAsia="Arial" w:hAnsi="Arial"/>
          <w:sz w:val="20"/>
          <w:szCs w:val="20"/>
        </w:rP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00"/>
        <w:gridCol w:w="2400"/>
        <w:gridCol w:w="6586"/>
      </w:tblGrid>
      <w:tr>
        <w:trPr>
          <w:tblHeader/>
        </w:trPr>
        <w:tc>
          <w:tcPr>
            <w:tcW w:type="dxa" w:w="4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24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Environment</w:t>
            </w:r>
          </w:p>
        </w:tc>
        <w:tc>
          <w:tcPr>
            <w:tcW w:type="dxa" w:w="6586"/>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Purpose</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01</w:t>
            </w:r>
          </w:p>
        </w:tc>
        <w:tc>
          <w:tcPr>
            <w:tcW w:type="dxa" w:w="2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DQ Development</w:t>
            </w:r>
          </w:p>
        </w:tc>
        <w:tc>
          <w:tcPr>
            <w:tcW w:type="dxa" w:w="65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DQ offshore team development environment. Full stack. VPN connectivity to STC Bank environments for integration testing. All dependencies vendored.</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02</w:t>
            </w:r>
          </w:p>
        </w:tc>
        <w:tc>
          <w:tcPr>
            <w:tcW w:type="dxa" w:w="2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DQ UAT (Pre-UAT 1)</w:t>
            </w:r>
          </w:p>
        </w:tc>
        <w:tc>
          <w:tcPr>
            <w:tcW w:type="dxa" w:w="65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DQ-hosted environment for UAT 1. SAMA ITGF test data loaded before UAT 1. STC Bank stakeholders access via VPN for acceptance testing.</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03</w:t>
            </w:r>
          </w:p>
        </w:tc>
        <w:tc>
          <w:tcPr>
            <w:tcW w:type="dxa" w:w="2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STC Bank UAT (Pre-UAT 2)</w:t>
            </w:r>
          </w:p>
        </w:tc>
        <w:tc>
          <w:tcPr>
            <w:tcW w:type="dxa" w:w="65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STC Bank on-prem environment for UAT 2. SAMA ITGF production data loaded before UAT 2. Full production topology.</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04</w:t>
            </w:r>
          </w:p>
        </w:tc>
        <w:tc>
          <w:tcPr>
            <w:tcW w:type="dxa" w:w="2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STC Bank Production</w:t>
            </w:r>
          </w:p>
        </w:tc>
        <w:tc>
          <w:tcPr>
            <w:tcW w:type="dxa" w:w="65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Airgapped on-prem production deployment. All containers on STC Bank's own data centre infrastructure. No external cloud services.</w:t>
            </w:r>
          </w:p>
        </w:tc>
      </w:tr>
    </w:tbl>
    <w:p>
      <w:pPr>
        <w:pStyle w:val="Heading2"/>
        <w:pBdr>
          <w:bottom w:val="single" w:color="BDD0E5" w:sz="4" w:space="2"/>
        </w:pBdr>
        <w:spacing w:after="160" w:before="320"/>
      </w:pPr>
      <w:r>
        <w:rPr>
          <w:rFonts w:ascii="Arial" w:cs="Arial" w:eastAsia="Arial" w:hAnsi="Arial"/>
          <w:b/>
          <w:bCs/>
          <w:color w:val="2E5F8A"/>
          <w:sz w:val="28"/>
          <w:szCs w:val="28"/>
        </w:rPr>
        <w:t xml:space="preserve">5.12  Source Code and Branching</w:t>
      </w:r>
    </w:p>
    <w:p>
      <w:pPr>
        <w:spacing w:after="160" w:before="60"/>
      </w:pPr>
      <w:r>
        <w:rPr>
          <w:rFonts w:ascii="Arial" w:cs="Arial" w:eastAsia="Arial" w:hAnsi="Arial"/>
          <w:sz w:val="20"/>
          <w:szCs w:val="20"/>
        </w:rPr>
        <w:t xml:space="preserve">The source code is organised as a monorepo with application packages separated by deployable unit. This structure supports shared type definitions and common utilities across packages while maintaining the deployment boundary separation required by the container architecture.</w:t>
      </w:r>
    </w:p>
    <w:p>
      <w:pPr>
        <w:pStyle w:val="Heading3"/>
        <w:spacing w:after="120" w:before="240"/>
      </w:pPr>
      <w:r>
        <w:rPr>
          <w:rFonts w:ascii="Arial" w:cs="Arial" w:eastAsia="Arial" w:hAnsi="Arial"/>
          <w:b/>
          <w:bCs/>
          <w:color w:val="4A7FA8"/>
          <w:sz w:val="22"/>
          <w:szCs w:val="22"/>
        </w:rPr>
        <w:t xml:space="preserve">Monorepo Structure</w:t>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00"/>
        <w:gridCol w:w="2000"/>
        <w:gridCol w:w="6986"/>
      </w:tblGrid>
      <w:tr>
        <w:trPr>
          <w:tblHeader/>
        </w:trPr>
        <w:tc>
          <w:tcPr>
            <w:tcW w:type="dxa" w:w="4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20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Item</w:t>
            </w:r>
          </w:p>
        </w:tc>
        <w:tc>
          <w:tcPr>
            <w:tcW w:type="dxa" w:w="6986"/>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Detail</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01</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apps/web</w:t>
            </w:r>
          </w:p>
        </w:tc>
        <w:tc>
          <w:tcPr>
            <w:tcW w:type="dxa" w:w="69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Web Application (Next.js). One app for all Segments 1–6.</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02</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apps/portal</w:t>
            </w:r>
          </w:p>
        </w:tc>
        <w:tc>
          <w:tcPr>
            <w:tcW w:type="dxa" w:w="69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External Portal (Next.js). Segment 7 and Segment 8 portal-only application.</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03</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services/api-gateway</w:t>
            </w:r>
          </w:p>
        </w:tc>
        <w:tc>
          <w:tcPr>
            <w:tcW w:type="dxa" w:w="69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API Gateway (Express.js). Auth, RBAC, routing.</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04</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services/domain</w:t>
            </w:r>
          </w:p>
        </w:tc>
        <w:tc>
          <w:tcPr>
            <w:tcW w:type="dxa" w:w="69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Services (Express.js). All seven domains with domain-namespaced route groups under src/domains/{domain-slug}/.</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05</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workers/workflow</w:t>
            </w:r>
          </w:p>
        </w:tc>
        <w:tc>
          <w:tcPr>
            <w:tcW w:type="dxa" w:w="69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Workflow and AI Engine (Node.js worker with Bull MQ).</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06</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services/integration</w:t>
            </w:r>
          </w:p>
        </w:tc>
        <w:tc>
          <w:tcPr>
            <w:tcW w:type="dxa" w:w="69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Integration Service (Express.js with cron jobs). One adapter per external system under src/adapters/.</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07</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packages/shared</w:t>
            </w:r>
          </w:p>
        </w:tc>
        <w:tc>
          <w:tcPr>
            <w:tcW w:type="dxa" w:w="69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Shared TypeScript types, constants, and utility functions. No business logic.</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08</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packages/ui</w:t>
            </w:r>
          </w:p>
        </w:tc>
        <w:tc>
          <w:tcPr>
            <w:tcW w:type="dxa" w:w="69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Shared React component library (design system). Consumed by apps/web and apps/portal only.</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09</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infra</w:t>
            </w:r>
          </w:p>
        </w:tc>
        <w:tc>
          <w:tcPr>
            <w:tcW w:type="dxa" w:w="69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Infrastructure-as-code for all environments (deployment manifests, environment configuration templates).</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10</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db</w:t>
            </w:r>
          </w:p>
        </w:tc>
        <w:tc>
          <w:tcPr>
            <w:tcW w:type="dxa" w:w="69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Database migrations and seed data. One migration file per schema change. Migration runner enforces schema dependency order.</w:t>
            </w:r>
          </w:p>
        </w:tc>
      </w:tr>
    </w:tbl>
    <w:p>
      <w:pPr>
        <w:pStyle w:val="Heading3"/>
        <w:spacing w:after="120" w:before="240"/>
      </w:pPr>
      <w:r>
        <w:rPr>
          <w:rFonts w:ascii="Arial" w:cs="Arial" w:eastAsia="Arial" w:hAnsi="Arial"/>
          <w:b/>
          <w:bCs/>
          <w:color w:val="4A7FA8"/>
          <w:sz w:val="22"/>
          <w:szCs w:val="22"/>
        </w:rPr>
        <w:t xml:space="preserve">Branching Model</w:t>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400"/>
        <w:gridCol w:w="4000"/>
        <w:gridCol w:w="2986"/>
      </w:tblGrid>
      <w:tr>
        <w:trPr>
          <w:tblHeader/>
        </w:trPr>
        <w:tc>
          <w:tcPr>
            <w:tcW w:type="dxa" w:w="24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Branch</w:t>
            </w:r>
          </w:p>
        </w:tc>
        <w:tc>
          <w:tcPr>
            <w:tcW w:type="dxa" w:w="40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Purpose</w:t>
            </w:r>
          </w:p>
        </w:tc>
        <w:tc>
          <w:tcPr>
            <w:tcW w:type="dxa" w:w="2986"/>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Merge Target</w:t>
            </w:r>
          </w:p>
        </w:tc>
      </w:tr>
      <w:tr>
        <w:tc>
          <w:tcPr>
            <w:tcW w:type="dxa" w:w="2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main</w:t>
            </w:r>
          </w:p>
        </w:tc>
        <w:tc>
          <w:tcPr>
            <w:tcW w:type="dxa" w:w="4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Production-ready code. Deployed to production after release approval.</w:t>
            </w:r>
          </w:p>
        </w:tc>
        <w:tc>
          <w:tcPr>
            <w:tcW w:type="dxa" w:w="29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r>
      <w:tr>
        <w:tc>
          <w:tcPr>
            <w:tcW w:type="dxa" w:w="2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develop</w:t>
            </w:r>
          </w:p>
        </w:tc>
        <w:tc>
          <w:tcPr>
            <w:tcW w:type="dxa" w:w="4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Integration branch. All feature work merges here.</w:t>
            </w:r>
          </w:p>
        </w:tc>
        <w:tc>
          <w:tcPr>
            <w:tcW w:type="dxa" w:w="29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main via release branch</w:t>
            </w:r>
          </w:p>
        </w:tc>
      </w:tr>
      <w:tr>
        <w:tc>
          <w:tcPr>
            <w:tcW w:type="dxa" w:w="2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feature/{ticket-id}-{slug}</w:t>
            </w:r>
          </w:p>
        </w:tc>
        <w:tc>
          <w:tcPr>
            <w:tcW w:type="dxa" w:w="4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Feature development. One branch per ticket.</w:t>
            </w:r>
          </w:p>
        </w:tc>
        <w:tc>
          <w:tcPr>
            <w:tcW w:type="dxa" w:w="29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develop</w:t>
            </w:r>
          </w:p>
        </w:tc>
      </w:tr>
      <w:tr>
        <w:tc>
          <w:tcPr>
            <w:tcW w:type="dxa" w:w="2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fix/{ticket-id}-{slug}</w:t>
            </w:r>
          </w:p>
        </w:tc>
        <w:tc>
          <w:tcPr>
            <w:tcW w:type="dxa" w:w="4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Bug fixes. One branch per fix.</w:t>
            </w:r>
          </w:p>
        </w:tc>
        <w:tc>
          <w:tcPr>
            <w:tcW w:type="dxa" w:w="29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develop (or main for hotfixes)</w:t>
            </w:r>
          </w:p>
        </w:tc>
      </w:tr>
      <w:tr>
        <w:tc>
          <w:tcPr>
            <w:tcW w:type="dxa" w:w="2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release/{mvp-version}</w:t>
            </w:r>
          </w:p>
        </w:tc>
        <w:tc>
          <w:tcPr>
            <w:tcW w:type="dxa" w:w="4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Release candidate. Cut from develop for UAT.</w:t>
            </w:r>
          </w:p>
        </w:tc>
        <w:tc>
          <w:tcPr>
            <w:tcW w:type="dxa" w:w="29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main</w:t>
            </w:r>
          </w:p>
        </w:tc>
      </w:tr>
    </w:tbl>
    <w:p>
      <w:pPr>
        <w:pBdr>
          <w:left w:val="single" w:color="2E5F8A" w:sz="12" w:space="6"/>
        </w:pBdr>
        <w:spacing w:after="160" w:before="80"/>
        <w:ind w:left="360"/>
      </w:pPr>
      <w:r>
        <w:rPr>
          <w:rFonts w:ascii="Arial" w:cs="Arial" w:eastAsia="Arial" w:hAnsi="Arial"/>
          <w:b/>
          <w:bCs/>
          <w:color w:val="2E5F8A"/>
          <w:sz w:val="18"/>
          <w:szCs w:val="18"/>
        </w:rPr>
        <w:t xml:space="preserve">NOTE  </w:t>
      </w:r>
      <w:r>
        <w:rPr>
          <w:rFonts w:ascii="Arial" w:cs="Arial" w:eastAsia="Arial" w:hAnsi="Arial"/>
          <w:i/>
          <w:iCs/>
          <w:color w:val="444444"/>
          <w:sz w:val="18"/>
          <w:szCs w:val="18"/>
        </w:rPr>
        <w:t xml:space="preserve">No direct commits to main. All production changes go via release branch and pull request. Pull requests require passing CI before merge. Database migrations must include both up and down scripts.</w:t>
      </w:r>
    </w:p>
    <w:p>
      <w:pPr>
        <w:pStyle w:val="Heading2"/>
        <w:pBdr>
          <w:bottom w:val="single" w:color="BDD0E5" w:sz="4" w:space="2"/>
        </w:pBdr>
        <w:spacing w:after="160" w:before="320"/>
      </w:pPr>
      <w:r>
        <w:rPr>
          <w:rFonts w:ascii="Arial" w:cs="Arial" w:eastAsia="Arial" w:hAnsi="Arial"/>
          <w:b/>
          <w:bCs/>
          <w:color w:val="2E5F8A"/>
          <w:sz w:val="28"/>
          <w:szCs w:val="28"/>
        </w:rPr>
        <w:t xml:space="preserve">5.13  CI/CD Pipelines</w:t>
      </w:r>
    </w:p>
    <w:p>
      <w:pPr>
        <w:spacing w:after="160" w:before="60"/>
      </w:pPr>
      <w:r>
        <w:rPr>
          <w:rFonts w:ascii="Arial" w:cs="Arial" w:eastAsia="Arial" w:hAnsi="Arial"/>
          <w:sz w:val="20"/>
          <w:szCs w:val="20"/>
        </w:rPr>
        <w:t xml:space="preserve">The CI/CD pipeline automates build, test, and deployment across the delivery lifecycle. The pipeline is designed for an airgapped target environment — all images and dependencies are built from vendored sources and promoted through environments without pulling from public registries.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4A7FA8" w:sz="8"/>
              <w:left w:val="single" w:color="4A7FA8" w:sz="8"/>
              <w:bottom w:val="single" w:color="4A7FA8" w:sz="8"/>
              <w:right w:val="single" w:color="4A7FA8" w:sz="8"/>
            </w:tcBorders>
            <w:shd w:fill="E0EBF5" w:val="clear"/>
            <w:tcMar>
              <w:top w:type="dxa" w:w="200"/>
              <w:left w:type="dxa" w:w="360"/>
              <w:bottom w:type="dxa" w:w="200"/>
              <w:right w:type="dxa" w:w="360"/>
            </w:tcMar>
          </w:tcPr>
          <w:p>
            <w:pPr>
              <w:spacing w:after="80"/>
              <w:jc w:val="center"/>
            </w:pPr>
            <w:r>
              <w:rPr>
                <w:rFonts w:ascii="Arial" w:cs="Arial" w:eastAsia="Arial" w:hAnsi="Arial"/>
                <w:b/>
                <w:bCs/>
                <w:color w:val="1E3A5F"/>
                <w:sz w:val="20"/>
                <w:szCs w:val="20"/>
              </w:rPr>
              <w:t xml:space="preserve">Diagram: CI/CD Pipeline — Build to Production Promotion Flow</w:t>
            </w:r>
          </w:p>
          <w:p>
            <w:pPr>
              <w:spacing w:after="0"/>
              <w:jc w:val="center"/>
            </w:pPr>
            <w:r>
              <w:rPr>
                <w:rFonts w:ascii="Arial" w:cs="Arial" w:eastAsia="Arial" w:hAnsi="Arial"/>
                <w:i/>
                <w:iCs/>
                <w:color w:val="666666"/>
                <w:sz w:val="18"/>
                <w:szCs w:val="18"/>
              </w:rPr>
              <w:t xml:space="preserve">Mermaid source — see STCB_GPRC_HLAD.md §5.13</w:t>
            </w:r>
          </w:p>
        </w:tc>
      </w:tr>
    </w:tbl>
    <w:p>
      <w:pPr>
        <w:spacing w:after="160"/>
      </w:pPr>
      <w:r>
        <w:rPr>
          <w:rFonts w:ascii="Arial" w:cs="Arial" w:eastAsia="Arial" w:hAnsi="Arial"/>
          <w:sz w:val="20"/>
          <w:szCs w:val="20"/>
        </w:rP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00"/>
        <w:gridCol w:w="2200"/>
        <w:gridCol w:w="6786"/>
      </w:tblGrid>
      <w:tr>
        <w:trPr>
          <w:tblHeader/>
        </w:trPr>
        <w:tc>
          <w:tcPr>
            <w:tcW w:type="dxa" w:w="4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22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Stage</w:t>
            </w:r>
          </w:p>
        </w:tc>
        <w:tc>
          <w:tcPr>
            <w:tcW w:type="dxa" w:w="6786"/>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01</w:t>
            </w:r>
          </w:p>
        </w:tc>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PR CI Gate</w:t>
            </w:r>
          </w:p>
        </w:tc>
        <w:tc>
          <w:tcPr>
            <w:tcW w:type="dxa" w:w="67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Triggered on every pull request. Runs: TypeScript type check, ESLint, unit tests (Jest), and API integration tests (Supertest). Pull request cannot merge if any check fails.</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02</w:t>
            </w:r>
          </w:p>
        </w:tc>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Dev Build</w:t>
            </w:r>
          </w:p>
        </w:tc>
        <w:tc>
          <w:tcPr>
            <w:tcW w:type="dxa" w:w="67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Triggered on merge to develop. Builds container images from vendored dependencies only. Runs database migration dry-run. Deploys to DQ Dev environment.</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03</w:t>
            </w:r>
          </w:p>
        </w:tc>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E2E Test Suite</w:t>
            </w:r>
          </w:p>
        </w:tc>
        <w:tc>
          <w:tcPr>
            <w:tcW w:type="dxa" w:w="67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Triggered after successful Dev Build deployment. Runs Playwright end-to-end tests against the DQ Dev environment. Covers primary user journeys for all eight segments.</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04</w:t>
            </w:r>
          </w:p>
        </w:tc>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UAT 1 Build</w:t>
            </w:r>
          </w:p>
        </w:tc>
        <w:tc>
          <w:tcPr>
            <w:tcW w:type="dxa" w:w="67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Triggered on release branch cut. Builds UAT candidate images. Loads SAMA ITGF test data. Deploys to DQ UAT environment. Notifies STC Bank UAT participants.</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05</w:t>
            </w:r>
          </w:p>
        </w:tc>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UAT 2 Promotion</w:t>
            </w:r>
          </w:p>
        </w:tc>
        <w:tc>
          <w:tcPr>
            <w:tcW w:type="dxa" w:w="67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After UAT 1 sign-off. Promotes UAT 1 images (no rebuild). Loads SAMA ITGF production data into STC Bank UAT environment.</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06</w:t>
            </w:r>
          </w:p>
        </w:tc>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Production Deployment</w:t>
            </w:r>
          </w:p>
        </w:tc>
        <w:tc>
          <w:tcPr>
            <w:tcW w:type="dxa" w:w="67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After UAT 2 sign-off and release merge to main. Deploys to STC Bank production. Requires manual approval gate before execution. Rollback procedure documented and tested.</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07</w:t>
            </w:r>
          </w:p>
        </w:tc>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Dependency Vendoring</w:t>
            </w:r>
          </w:p>
        </w:tc>
        <w:tc>
          <w:tcPr>
            <w:tcW w:type="dxa" w:w="67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All npm packages and runtime dependencies are vendored before airgapped STC Bank environment promotion. No public registry pulls permitted inside STC Bank's environment.</w:t>
            </w:r>
          </w:p>
        </w:tc>
      </w:tr>
    </w:tbl>
    <w:p>
      <w:pPr>
        <w:pStyle w:val="Heading1"/>
        <w:pageBreakBefore/>
        <w:spacing w:after="200" w:before="480"/>
      </w:pPr>
      <w:r>
        <w:rPr>
          <w:rFonts w:ascii="Arial" w:cs="Arial" w:eastAsia="Arial" w:hAnsi="Arial"/>
          <w:b/>
          <w:bCs/>
          <w:color w:val="1E3A5F"/>
          <w:sz w:val="36"/>
          <w:szCs w:val="36"/>
        </w:rPr>
        <w:t xml:space="preserve">6.  Appendices</w:t>
      </w:r>
    </w:p>
    <w:p>
      <w:pPr>
        <w:spacing w:after="160" w:before="60"/>
      </w:pPr>
      <w:r>
        <w:rPr>
          <w:rFonts w:ascii="Arial" w:cs="Arial" w:eastAsia="Arial" w:hAnsi="Arial"/>
          <w:sz w:val="20"/>
          <w:szCs w:val="20"/>
        </w:rPr>
        <w:t xml:space="preserve">This section records the architectural decisions made during the DWS.03 design pass and the clarifications raised and resolved. All decisions are cross-referenced to the AP-NN principles in §1.3 and to the §5 views where they are visible.</w:t>
      </w:r>
    </w:p>
    <w:p>
      <w:pPr>
        <w:pStyle w:val="Heading2"/>
        <w:pBdr>
          <w:bottom w:val="single" w:color="BDD0E5" w:sz="4" w:space="2"/>
        </w:pBdr>
        <w:spacing w:after="160" w:before="320"/>
      </w:pPr>
      <w:r>
        <w:rPr>
          <w:rFonts w:ascii="Arial" w:cs="Arial" w:eastAsia="Arial" w:hAnsi="Arial"/>
          <w:b/>
          <w:bCs/>
          <w:color w:val="2E5F8A"/>
          <w:sz w:val="28"/>
          <w:szCs w:val="28"/>
        </w:rPr>
        <w:t xml:space="preserve">6.1  Architectural Decisions</w:t>
      </w:r>
    </w:p>
    <w:p>
      <w:pPr>
        <w:spacing w:after="160" w:before="60"/>
      </w:pPr>
      <w:r>
        <w:rPr>
          <w:rFonts w:ascii="Arial" w:cs="Arial" w:eastAsia="Arial" w:hAnsi="Arial"/>
          <w:sz w:val="20"/>
          <w:szCs w:val="20"/>
        </w:rPr>
        <w:t xml:space="preserve">This sub-section catalogues all architectural decisions made during this design pass, with the rationale, impact, and current status for each decision.</w:t>
      </w:r>
    </w:p>
    <w:p>
      <w:pPr>
        <w:spacing w:after="120" w:before="240"/>
      </w:pPr>
      <w:r>
        <w:rPr>
          <w:rFonts w:ascii="Arial" w:cs="Arial" w:eastAsia="Arial" w:hAnsi="Arial"/>
          <w:b/>
          <w:bCs/>
          <w:color w:val="1E3A5F"/>
          <w:sz w:val="22"/>
          <w:szCs w:val="22"/>
        </w:rPr>
        <w:t xml:space="preserve">AD-01 — Single Domain Services Container at MVP1</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200"/>
        <w:gridCol w:w="7186"/>
      </w:tblGrid>
      <w:tr>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b/>
                <w:bCs/>
                <w:sz w:val="20"/>
                <w:szCs w:val="20"/>
              </w:rPr>
              <w:t xml:space="preserve">Decision Area</w:t>
            </w:r>
          </w:p>
        </w:tc>
        <w:tc>
          <w:tcPr>
            <w:tcW w:type="dxa" w:w="71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sz w:val="20"/>
                <w:szCs w:val="20"/>
              </w:rPr>
              <w:t xml:space="preserve">Single Domain Services Container at MVP1</w:t>
            </w:r>
          </w:p>
        </w:tc>
      </w:tr>
      <w:tr>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tcPr>
          <w:p>
            <w:pPr>
              <w:spacing w:after="0"/>
            </w:pPr>
            <w:r>
              <w:rPr>
                <w:rFonts w:ascii="Arial" w:cs="Arial" w:eastAsia="Arial" w:hAnsi="Arial"/>
                <w:b/>
                <w:bCs/>
                <w:sz w:val="20"/>
                <w:szCs w:val="20"/>
              </w:rPr>
              <w:t xml:space="preserve">Decision Statement</w:t>
            </w:r>
          </w:p>
        </w:tc>
        <w:tc>
          <w:tcPr>
            <w:tcW w:type="dxa" w:w="71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The seven GPRC domains are co-located in a single Express.js service container at MVP1, with domain-namespaced route groups, controllers, service classes, and repository classes. Individual domain containers are not deployed at MVP1.</w:t>
            </w:r>
          </w:p>
        </w:tc>
      </w:tr>
      <w:tr>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b/>
                <w:bCs/>
                <w:sz w:val="20"/>
                <w:szCs w:val="20"/>
              </w:rPr>
              <w:t xml:space="preserve">Rationale</w:t>
            </w:r>
          </w:p>
        </w:tc>
        <w:tc>
          <w:tcPr>
            <w:tcW w:type="dxa" w:w="71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sz w:val="20"/>
                <w:szCs w:val="20"/>
              </w:rPr>
              <w:t xml:space="preserve">Airgapped on-prem deployment at STC Bank creates operational complexity for each additional deployable unit. At MVP1 scale (up to 500 concurrent users), co-location in one process provides adequate performance. Domain separation is preserved through code namespacing — extraction to individual containers post-MVP2 is feasible without architectural rework.</w:t>
            </w:r>
          </w:p>
        </w:tc>
      </w:tr>
      <w:tr>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tcPr>
          <w:p>
            <w:pPr>
              <w:spacing w:after="0"/>
            </w:pPr>
            <w:r>
              <w:rPr>
                <w:rFonts w:ascii="Arial" w:cs="Arial" w:eastAsia="Arial" w:hAnsi="Arial"/>
                <w:b/>
                <w:bCs/>
                <w:sz w:val="20"/>
                <w:szCs w:val="20"/>
              </w:rPr>
              <w:t xml:space="preserve">Impact</w:t>
            </w:r>
          </w:p>
        </w:tc>
        <w:tc>
          <w:tcPr>
            <w:tcW w:type="dxa" w:w="71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All seven domains share one Node.js process. A restart affects all domains. Extraction to per-domain containers must be planned before scale exceeds single-process capacity.</w:t>
            </w:r>
          </w:p>
        </w:tc>
      </w:tr>
      <w:tr>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b/>
                <w:bCs/>
                <w:sz w:val="20"/>
                <w:szCs w:val="20"/>
              </w:rPr>
              <w:t xml:space="preserve">Status</w:t>
            </w:r>
          </w:p>
        </w:tc>
        <w:tc>
          <w:tcPr>
            <w:tcW w:type="dxa" w:w="71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sz w:val="20"/>
                <w:szCs w:val="20"/>
              </w:rPr>
              <w:t xml:space="preserve">Accepted — MVP1</w:t>
            </w:r>
          </w:p>
        </w:tc>
      </w:tr>
    </w:tbl>
    <w:p>
      <w:pPr>
        <w:spacing w:after="200"/>
      </w:pPr>
      <w:r>
        <w:rPr>
          <w:rFonts w:ascii="Arial" w:cs="Arial" w:eastAsia="Arial" w:hAnsi="Arial"/>
          <w:sz w:val="20"/>
          <w:szCs w:val="20"/>
        </w:rPr>
        <w:t xml:space="preserve"/>
      </w:r>
    </w:p>
    <w:p>
      <w:pPr>
        <w:spacing w:after="120" w:before="240"/>
      </w:pPr>
      <w:r>
        <w:rPr>
          <w:rFonts w:ascii="Arial" w:cs="Arial" w:eastAsia="Arial" w:hAnsi="Arial"/>
          <w:b/>
          <w:bCs/>
          <w:color w:val="1E3A5F"/>
          <w:sz w:val="22"/>
          <w:szCs w:val="22"/>
        </w:rPr>
        <w:t xml:space="preserve">AD-02 — On-Premises Object Store for File Storage</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200"/>
        <w:gridCol w:w="7186"/>
      </w:tblGrid>
      <w:tr>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b/>
                <w:bCs/>
                <w:sz w:val="20"/>
                <w:szCs w:val="20"/>
              </w:rPr>
              <w:t xml:space="preserve">Decision Area</w:t>
            </w:r>
          </w:p>
        </w:tc>
        <w:tc>
          <w:tcPr>
            <w:tcW w:type="dxa" w:w="71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sz w:val="20"/>
                <w:szCs w:val="20"/>
              </w:rPr>
              <w:t xml:space="preserve">On-Premises Object Store for File Storage</w:t>
            </w:r>
          </w:p>
        </w:tc>
      </w:tr>
      <w:tr>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tcPr>
          <w:p>
            <w:pPr>
              <w:spacing w:after="0"/>
            </w:pPr>
            <w:r>
              <w:rPr>
                <w:rFonts w:ascii="Arial" w:cs="Arial" w:eastAsia="Arial" w:hAnsi="Arial"/>
                <w:b/>
                <w:bCs/>
                <w:sz w:val="20"/>
                <w:szCs w:val="20"/>
              </w:rPr>
              <w:t xml:space="preserve">Decision Statement</w:t>
            </w:r>
          </w:p>
        </w:tc>
        <w:tc>
          <w:tcPr>
            <w:tcW w:type="dxa" w:w="71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Evidence files, GRC documents, and audit artefacts are stored in an on-premises MinIO-compatible object store rather than a cloud object storage service.</w:t>
            </w:r>
          </w:p>
        </w:tc>
      </w:tr>
      <w:tr>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b/>
                <w:bCs/>
                <w:sz w:val="20"/>
                <w:szCs w:val="20"/>
              </w:rPr>
              <w:t xml:space="preserve">Rationale</w:t>
            </w:r>
          </w:p>
        </w:tc>
        <w:tc>
          <w:tcPr>
            <w:tcW w:type="dxa" w:w="71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sz w:val="20"/>
                <w:szCs w:val="20"/>
              </w:rPr>
              <w:t xml:space="preserve">SAMA and PDPL data residency requirements mandate that all data — including evidence files — remain within Saudi Arabia on STC Bank's infrastructure. Cloud object storage is not permitted for production data. MinIO provides an S3-compatible API allowing standard S3 SDK calls without cloud dependency.</w:t>
            </w:r>
          </w:p>
        </w:tc>
      </w:tr>
      <w:tr>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tcPr>
          <w:p>
            <w:pPr>
              <w:spacing w:after="0"/>
            </w:pPr>
            <w:r>
              <w:rPr>
                <w:rFonts w:ascii="Arial" w:cs="Arial" w:eastAsia="Arial" w:hAnsi="Arial"/>
                <w:b/>
                <w:bCs/>
                <w:sz w:val="20"/>
                <w:szCs w:val="20"/>
              </w:rPr>
              <w:t xml:space="preserve">Impact</w:t>
            </w:r>
          </w:p>
        </w:tc>
        <w:tc>
          <w:tcPr>
            <w:tcW w:type="dxa" w:w="71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DQ must confirm MinIO (or equivalent) deployment with STC Bank IT in Month 1 (environment provisioning). File storage adapter must use S3-compatible SDK — not cloud-specific SDK.</w:t>
            </w:r>
          </w:p>
        </w:tc>
      </w:tr>
      <w:tr>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b/>
                <w:bCs/>
                <w:sz w:val="20"/>
                <w:szCs w:val="20"/>
              </w:rPr>
              <w:t xml:space="preserve">Status</w:t>
            </w:r>
          </w:p>
        </w:tc>
        <w:tc>
          <w:tcPr>
            <w:tcW w:type="dxa" w:w="71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sz w:val="20"/>
                <w:szCs w:val="20"/>
              </w:rPr>
              <w:t xml:space="preserve">Accepted</w:t>
            </w:r>
          </w:p>
        </w:tc>
      </w:tr>
    </w:tbl>
    <w:p>
      <w:pPr>
        <w:spacing w:after="200"/>
      </w:pPr>
      <w:r>
        <w:rPr>
          <w:rFonts w:ascii="Arial" w:cs="Arial" w:eastAsia="Arial" w:hAnsi="Arial"/>
          <w:sz w:val="20"/>
          <w:szCs w:val="20"/>
        </w:rPr>
        <w:t xml:space="preserve"/>
      </w:r>
    </w:p>
    <w:p>
      <w:pPr>
        <w:spacing w:after="120" w:before="240"/>
      </w:pPr>
      <w:r>
        <w:rPr>
          <w:rFonts w:ascii="Arial" w:cs="Arial" w:eastAsia="Arial" w:hAnsi="Arial"/>
          <w:b/>
          <w:bCs/>
          <w:color w:val="1E3A5F"/>
          <w:sz w:val="22"/>
          <w:szCs w:val="22"/>
        </w:rPr>
        <w:t xml:space="preserve">AD-03 — SAMA ITGF Data Load via File Import at MVP1</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200"/>
        <w:gridCol w:w="7186"/>
      </w:tblGrid>
      <w:tr>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b/>
                <w:bCs/>
                <w:sz w:val="20"/>
                <w:szCs w:val="20"/>
              </w:rPr>
              <w:t xml:space="preserve">Decision Area</w:t>
            </w:r>
          </w:p>
        </w:tc>
        <w:tc>
          <w:tcPr>
            <w:tcW w:type="dxa" w:w="71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sz w:val="20"/>
                <w:szCs w:val="20"/>
              </w:rPr>
              <w:t xml:space="preserve">SAMA ITGF Data Load via File Import at MVP1</w:t>
            </w:r>
          </w:p>
        </w:tc>
      </w:tr>
      <w:tr>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tcPr>
          <w:p>
            <w:pPr>
              <w:spacing w:after="0"/>
            </w:pPr>
            <w:r>
              <w:rPr>
                <w:rFonts w:ascii="Arial" w:cs="Arial" w:eastAsia="Arial" w:hAnsi="Arial"/>
                <w:b/>
                <w:bCs/>
                <w:sz w:val="20"/>
                <w:szCs w:val="20"/>
              </w:rPr>
              <w:t xml:space="preserve">Decision Statement</w:t>
            </w:r>
          </w:p>
        </w:tc>
        <w:tc>
          <w:tcPr>
            <w:tcW w:type="dxa" w:w="71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SAMA ITGF L1–L3 control taxonomy is loaded into the platform via file import at MVP1 rather than a live REST connection to the SAMA ITGF Repository.</w:t>
            </w:r>
          </w:p>
        </w:tc>
      </w:tr>
      <w:tr>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b/>
                <w:bCs/>
                <w:sz w:val="20"/>
                <w:szCs w:val="20"/>
              </w:rPr>
              <w:t xml:space="preserve">Rationale</w:t>
            </w:r>
          </w:p>
        </w:tc>
        <w:tc>
          <w:tcPr>
            <w:tcW w:type="dxa" w:w="71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sz w:val="20"/>
                <w:szCs w:val="20"/>
              </w:rPr>
              <w:t xml:space="preserve">The SAMA ITGF Repository does not currently expose a public REST API that DQ can consume directly. The ITGF control taxonomy is a relatively stable dataset. File import provides a reliable, auditable, and airgap-compatible load mechanism.</w:t>
            </w:r>
          </w:p>
        </w:tc>
      </w:tr>
      <w:tr>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tcPr>
          <w:p>
            <w:pPr>
              <w:spacing w:after="0"/>
            </w:pPr>
            <w:r>
              <w:rPr>
                <w:rFonts w:ascii="Arial" w:cs="Arial" w:eastAsia="Arial" w:hAnsi="Arial"/>
                <w:b/>
                <w:bCs/>
                <w:sz w:val="20"/>
                <w:szCs w:val="20"/>
              </w:rPr>
              <w:t xml:space="preserve">Impact</w:t>
            </w:r>
          </w:p>
        </w:tc>
        <w:tc>
          <w:tcPr>
            <w:tcW w:type="dxa" w:w="71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SAMA ITGF data must be loaded manually via the Integration Service file import command before each UAT and production release. Load procedure must be documented in the release runbook. The adapter must support both file import (MVP1) and REST pull (future) without architecture change.</w:t>
            </w:r>
          </w:p>
        </w:tc>
      </w:tr>
      <w:tr>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b/>
                <w:bCs/>
                <w:sz w:val="20"/>
                <w:szCs w:val="20"/>
              </w:rPr>
              <w:t xml:space="preserve">Status</w:t>
            </w:r>
          </w:p>
        </w:tc>
        <w:tc>
          <w:tcPr>
            <w:tcW w:type="dxa" w:w="71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sz w:val="20"/>
                <w:szCs w:val="20"/>
              </w:rPr>
              <w:t xml:space="preserve">Accepted — MVP1</w:t>
            </w:r>
          </w:p>
        </w:tc>
      </w:tr>
    </w:tbl>
    <w:p>
      <w:pPr>
        <w:spacing w:after="200"/>
      </w:pPr>
      <w:r>
        <w:rPr>
          <w:rFonts w:ascii="Arial" w:cs="Arial" w:eastAsia="Arial" w:hAnsi="Arial"/>
          <w:sz w:val="20"/>
          <w:szCs w:val="20"/>
        </w:rPr>
        <w:t xml:space="preserve"/>
      </w:r>
    </w:p>
    <w:p>
      <w:pPr>
        <w:spacing w:after="120" w:before="240"/>
      </w:pPr>
      <w:r>
        <w:rPr>
          <w:rFonts w:ascii="Arial" w:cs="Arial" w:eastAsia="Arial" w:hAnsi="Arial"/>
          <w:b/>
          <w:bCs/>
          <w:color w:val="1E3A5F"/>
          <w:sz w:val="22"/>
          <w:szCs w:val="22"/>
        </w:rPr>
        <w:t xml:space="preserve">AD-04 — SIEM Integration Protocol to be Confirmed</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200"/>
        <w:gridCol w:w="7186"/>
      </w:tblGrid>
      <w:tr>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b/>
                <w:bCs/>
                <w:sz w:val="20"/>
                <w:szCs w:val="20"/>
              </w:rPr>
              <w:t xml:space="preserve">Decision Area</w:t>
            </w:r>
          </w:p>
        </w:tc>
        <w:tc>
          <w:tcPr>
            <w:tcW w:type="dxa" w:w="71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sz w:val="20"/>
                <w:szCs w:val="20"/>
              </w:rPr>
              <w:t xml:space="preserve">SIEM Integration Protocol to be Confirmed</w:t>
            </w:r>
          </w:p>
        </w:tc>
      </w:tr>
      <w:tr>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tcPr>
          <w:p>
            <w:pPr>
              <w:spacing w:after="0"/>
            </w:pPr>
            <w:r>
              <w:rPr>
                <w:rFonts w:ascii="Arial" w:cs="Arial" w:eastAsia="Arial" w:hAnsi="Arial"/>
                <w:b/>
                <w:bCs/>
                <w:sz w:val="20"/>
                <w:szCs w:val="20"/>
              </w:rPr>
              <w:t xml:space="preserve">Decision Statement</w:t>
            </w:r>
          </w:p>
        </w:tc>
        <w:tc>
          <w:tcPr>
            <w:tcW w:type="dxa" w:w="71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The SIEM integration is designed as protocol-swappable — the Integration Service SIEM Adapter can be configured for either REST/HTTPS or Syslog ingestion. The specific protocol is TBC pending confirmation with STC Bank IT.</w:t>
            </w:r>
          </w:p>
        </w:tc>
      </w:tr>
      <w:tr>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b/>
                <w:bCs/>
                <w:sz w:val="20"/>
                <w:szCs w:val="20"/>
              </w:rPr>
              <w:t xml:space="preserve">Rationale</w:t>
            </w:r>
          </w:p>
        </w:tc>
        <w:tc>
          <w:tcPr>
            <w:tcW w:type="dxa" w:w="71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sz w:val="20"/>
                <w:szCs w:val="20"/>
              </w:rPr>
              <w:t xml:space="preserve">STC Bank's SIEM product and available integration endpoints are not confirmed at HLAD authoring time. Both REST/HTTPS and Syslog are viable protocols for cyber event ingestion. Building the adapter as protocol-swappable avoids a rewrite when the protocol is confirmed.</w:t>
            </w:r>
          </w:p>
        </w:tc>
      </w:tr>
      <w:tr>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tcPr>
          <w:p>
            <w:pPr>
              <w:spacing w:after="0"/>
            </w:pPr>
            <w:r>
              <w:rPr>
                <w:rFonts w:ascii="Arial" w:cs="Arial" w:eastAsia="Arial" w:hAnsi="Arial"/>
                <w:b/>
                <w:bCs/>
                <w:sz w:val="20"/>
                <w:szCs w:val="20"/>
              </w:rPr>
              <w:t xml:space="preserve">Impact</w:t>
            </w:r>
          </w:p>
        </w:tc>
        <w:tc>
          <w:tcPr>
            <w:tcW w:type="dxa" w:w="71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The SIEM Adapter must be implemented with a protocol abstraction layer. Protocol selection (REST vs Syslog) is configuration, not code. Integration testing with the SIEM cannot begin until STC Bank IT confirms the available endpoint and protocol in Month 1.</w:t>
            </w:r>
          </w:p>
        </w:tc>
      </w:tr>
      <w:tr>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b/>
                <w:bCs/>
                <w:sz w:val="20"/>
                <w:szCs w:val="20"/>
              </w:rPr>
              <w:t xml:space="preserve">Status</w:t>
            </w:r>
          </w:p>
        </w:tc>
        <w:tc>
          <w:tcPr>
            <w:tcW w:type="dxa" w:w="71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sz w:val="20"/>
                <w:szCs w:val="20"/>
              </w:rPr>
              <w:t xml:space="preserve">Open — resolution required Month 1</w:t>
            </w:r>
          </w:p>
        </w:tc>
      </w:tr>
    </w:tbl>
    <w:p>
      <w:pPr>
        <w:spacing w:after="200"/>
      </w:pPr>
      <w:r>
        <w:rPr>
          <w:rFonts w:ascii="Arial" w:cs="Arial" w:eastAsia="Arial" w:hAnsi="Arial"/>
          <w:sz w:val="20"/>
          <w:szCs w:val="20"/>
        </w:rPr>
        <w:t xml:space="preserve"/>
      </w:r>
    </w:p>
    <w:p>
      <w:pPr>
        <w:spacing w:after="120" w:before="240"/>
      </w:pPr>
      <w:r>
        <w:rPr>
          <w:rFonts w:ascii="Arial" w:cs="Arial" w:eastAsia="Arial" w:hAnsi="Arial"/>
          <w:b/>
          <w:bCs/>
          <w:color w:val="1E3A5F"/>
          <w:sz w:val="22"/>
          <w:szCs w:val="22"/>
        </w:rPr>
        <w:t xml:space="preserve">AD-05 — AI Features Feature-Flagged and Default-Off at MVP1</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200"/>
        <w:gridCol w:w="7186"/>
      </w:tblGrid>
      <w:tr>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b/>
                <w:bCs/>
                <w:sz w:val="20"/>
                <w:szCs w:val="20"/>
              </w:rPr>
              <w:t xml:space="preserve">Decision Area</w:t>
            </w:r>
          </w:p>
        </w:tc>
        <w:tc>
          <w:tcPr>
            <w:tcW w:type="dxa" w:w="71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sz w:val="20"/>
                <w:szCs w:val="20"/>
              </w:rPr>
              <w:t xml:space="preserve">AI Features Feature-Flagged and Default-Off at MVP1</w:t>
            </w:r>
          </w:p>
        </w:tc>
      </w:tr>
      <w:tr>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tcPr>
          <w:p>
            <w:pPr>
              <w:spacing w:after="0"/>
            </w:pPr>
            <w:r>
              <w:rPr>
                <w:rFonts w:ascii="Arial" w:cs="Arial" w:eastAsia="Arial" w:hAnsi="Arial"/>
                <w:b/>
                <w:bCs/>
                <w:sz w:val="20"/>
                <w:szCs w:val="20"/>
              </w:rPr>
              <w:t xml:space="preserve">Decision Statement</w:t>
            </w:r>
          </w:p>
        </w:tc>
        <w:tc>
          <w:tcPr>
            <w:tcW w:type="dxa" w:w="71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AI-01 (incident classification), AI-02 (evidence gap detection), and AI-03 (KRI anomaly detection) are built into the Workflow and AI Engine at MVP1 but are default-off. Activated via feature flags in the Domain 7 administration interface post-MVP1 go-live.</w:t>
            </w:r>
          </w:p>
        </w:tc>
      </w:tr>
      <w:tr>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b/>
                <w:bCs/>
                <w:sz w:val="20"/>
                <w:szCs w:val="20"/>
              </w:rPr>
              <w:t xml:space="preserve">Rationale</w:t>
            </w:r>
          </w:p>
        </w:tc>
        <w:tc>
          <w:tcPr>
            <w:tcW w:type="dxa" w:w="71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sz w:val="20"/>
                <w:szCs w:val="20"/>
              </w:rPr>
              <w:t xml:space="preserve">AI outputs require human review before assurance-grade acceptance. Activating AI features before sufficient platform data exists reduces the accuracy and value of AI outputs. Feature flags allow activation to be gated when data volume is sufficient, without requiring a new release.</w:t>
            </w:r>
          </w:p>
        </w:tc>
      </w:tr>
      <w:tr>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tcPr>
          <w:p>
            <w:pPr>
              <w:spacing w:after="0"/>
            </w:pPr>
            <w:r>
              <w:rPr>
                <w:rFonts w:ascii="Arial" w:cs="Arial" w:eastAsia="Arial" w:hAnsi="Arial"/>
                <w:b/>
                <w:bCs/>
                <w:sz w:val="20"/>
                <w:szCs w:val="20"/>
              </w:rPr>
              <w:t xml:space="preserve">Impact</w:t>
            </w:r>
          </w:p>
        </w:tc>
        <w:tc>
          <w:tcPr>
            <w:tcW w:type="dxa" w:w="71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AI-01, AI-02, AI-03 are built and tested before MVP1 go-live. Activation without a software release is supported. STC Bank must be briefed that AI features require a data maturation period before activation.</w:t>
            </w:r>
          </w:p>
        </w:tc>
      </w:tr>
      <w:tr>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b/>
                <w:bCs/>
                <w:sz w:val="20"/>
                <w:szCs w:val="20"/>
              </w:rPr>
              <w:t xml:space="preserve">Status</w:t>
            </w:r>
          </w:p>
        </w:tc>
        <w:tc>
          <w:tcPr>
            <w:tcW w:type="dxa" w:w="71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sz w:val="20"/>
                <w:szCs w:val="20"/>
              </w:rPr>
              <w:t xml:space="preserve">Accepted — MVP1</w:t>
            </w:r>
          </w:p>
        </w:tc>
      </w:tr>
    </w:tbl>
    <w:p>
      <w:pPr>
        <w:spacing w:after="200"/>
      </w:pPr>
      <w:r>
        <w:rPr>
          <w:rFonts w:ascii="Arial" w:cs="Arial" w:eastAsia="Arial" w:hAnsi="Arial"/>
          <w:sz w:val="20"/>
          <w:szCs w:val="20"/>
        </w:rPr>
        <w:t xml:space="preserve"/>
      </w:r>
    </w:p>
    <w:p>
      <w:pPr>
        <w:spacing w:after="120" w:before="240"/>
      </w:pPr>
      <w:r>
        <w:rPr>
          <w:rFonts w:ascii="Arial" w:cs="Arial" w:eastAsia="Arial" w:hAnsi="Arial"/>
          <w:b/>
          <w:bCs/>
          <w:color w:val="1E3A5F"/>
          <w:sz w:val="22"/>
          <w:szCs w:val="22"/>
        </w:rPr>
        <w:t xml:space="preserve">AD-06 — Segment 8 (Regulator Portal) Deferred to Post-MVP2</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200"/>
        <w:gridCol w:w="7186"/>
      </w:tblGrid>
      <w:tr>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b/>
                <w:bCs/>
                <w:sz w:val="20"/>
                <w:szCs w:val="20"/>
              </w:rPr>
              <w:t xml:space="preserve">Decision Area</w:t>
            </w:r>
          </w:p>
        </w:tc>
        <w:tc>
          <w:tcPr>
            <w:tcW w:type="dxa" w:w="71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sz w:val="20"/>
                <w:szCs w:val="20"/>
              </w:rPr>
              <w:t xml:space="preserve">Segment 8 (Regulator Portal) Deferred to Post-MVP2</w:t>
            </w:r>
          </w:p>
        </w:tc>
      </w:tr>
      <w:tr>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tcPr>
          <w:p>
            <w:pPr>
              <w:spacing w:after="0"/>
            </w:pPr>
            <w:r>
              <w:rPr>
                <w:rFonts w:ascii="Arial" w:cs="Arial" w:eastAsia="Arial" w:hAnsi="Arial"/>
                <w:b/>
                <w:bCs/>
                <w:sz w:val="20"/>
                <w:szCs w:val="20"/>
              </w:rPr>
              <w:t xml:space="preserve">Decision Statement</w:t>
            </w:r>
          </w:p>
        </w:tc>
        <w:tc>
          <w:tcPr>
            <w:tcW w:type="dxa" w:w="71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The Regulator and External Auditor portal (Segment 8) is classified as P2 and is not in scope for MVP1 or MVP2. Architecture accommodates this as an External Portal extension in a future release.</w:t>
            </w:r>
          </w:p>
        </w:tc>
      </w:tr>
      <w:tr>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b/>
                <w:bCs/>
                <w:sz w:val="20"/>
                <w:szCs w:val="20"/>
              </w:rPr>
              <w:t xml:space="preserve">Rationale</w:t>
            </w:r>
          </w:p>
        </w:tc>
        <w:tc>
          <w:tcPr>
            <w:tcW w:type="dxa" w:w="71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sz w:val="20"/>
                <w:szCs w:val="20"/>
              </w:rPr>
              <w:t xml:space="preserve">Regulator and external auditor data access scope and jurisdiction requires agreement between STC Bank and SAMA and external audit firms before a portal can be designed. This agreement is not expected to be in place before MVP2.</w:t>
            </w:r>
          </w:p>
        </w:tc>
      </w:tr>
      <w:tr>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tcPr>
          <w:p>
            <w:pPr>
              <w:spacing w:after="0"/>
            </w:pPr>
            <w:r>
              <w:rPr>
                <w:rFonts w:ascii="Arial" w:cs="Arial" w:eastAsia="Arial" w:hAnsi="Arial"/>
                <w:b/>
                <w:bCs/>
                <w:sz w:val="20"/>
                <w:szCs w:val="20"/>
              </w:rPr>
              <w:t xml:space="preserve">Impact</w:t>
            </w:r>
          </w:p>
        </w:tc>
        <w:tc>
          <w:tcPr>
            <w:tcW w:type="dxa" w:w="71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The External Portal deployed at MVP2 serves Segment 7 (Vendors) only. Portal authentication must be extended to support engagement-scoped tokens for Segment 8 when activated.</w:t>
            </w:r>
          </w:p>
        </w:tc>
      </w:tr>
      <w:tr>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b/>
                <w:bCs/>
                <w:sz w:val="20"/>
                <w:szCs w:val="20"/>
              </w:rPr>
              <w:t xml:space="preserve">Status</w:t>
            </w:r>
          </w:p>
        </w:tc>
        <w:tc>
          <w:tcPr>
            <w:tcW w:type="dxa" w:w="71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sz w:val="20"/>
                <w:szCs w:val="20"/>
              </w:rPr>
              <w:t xml:space="preserve">Accepted — deferred post-MVP2</w:t>
            </w:r>
          </w:p>
        </w:tc>
      </w:tr>
    </w:tbl>
    <w:p>
      <w:pPr>
        <w:spacing w:after="200"/>
      </w:pPr>
      <w:r>
        <w:rPr>
          <w:rFonts w:ascii="Arial" w:cs="Arial" w:eastAsia="Arial" w:hAnsi="Arial"/>
          <w:sz w:val="20"/>
          <w:szCs w:val="20"/>
        </w:rPr>
        <w:t xml:space="preserve"/>
      </w:r>
    </w:p>
    <w:p>
      <w:pPr>
        <w:pStyle w:val="Heading2"/>
        <w:pBdr>
          <w:bottom w:val="single" w:color="BDD0E5" w:sz="4" w:space="2"/>
        </w:pBdr>
        <w:spacing w:after="160" w:before="320"/>
      </w:pPr>
      <w:r>
        <w:rPr>
          <w:rFonts w:ascii="Arial" w:cs="Arial" w:eastAsia="Arial" w:hAnsi="Arial"/>
          <w:b/>
          <w:bCs/>
          <w:color w:val="2E5F8A"/>
          <w:sz w:val="28"/>
          <w:szCs w:val="28"/>
        </w:rPr>
        <w:t xml:space="preserve">6.2  Architectural Clarifications</w:t>
      </w:r>
    </w:p>
    <w:p>
      <w:pPr>
        <w:spacing w:after="160" w:before="60"/>
      </w:pPr>
      <w:r>
        <w:rPr>
          <w:rFonts w:ascii="Arial" w:cs="Arial" w:eastAsia="Arial" w:hAnsi="Arial"/>
          <w:sz w:val="20"/>
          <w:szCs w:val="20"/>
        </w:rPr>
        <w:t xml:space="preserve">This sub-section records clarifications raised and their current resolution status during the design process. Open clarifications are critical-path items for Month 1.</w:t>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0"/>
        <w:gridCol w:w="2400"/>
        <w:gridCol w:w="5986"/>
      </w:tblGrid>
      <w:tr>
        <w:trPr>
          <w:tblHeader/>
        </w:trPr>
        <w:tc>
          <w:tcPr>
            <w:tcW w:type="dxa" w:w="10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CL-ID</w:t>
            </w:r>
          </w:p>
        </w:tc>
        <w:tc>
          <w:tcPr>
            <w:tcW w:type="dxa" w:w="24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Clarification Area</w:t>
            </w:r>
          </w:p>
        </w:tc>
        <w:tc>
          <w:tcPr>
            <w:tcW w:type="dxa" w:w="5986"/>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Clarification</w:t>
            </w:r>
          </w:p>
        </w:tc>
      </w:tr>
      <w:tr>
        <w:tc>
          <w:tcPr>
            <w:tcW w:type="dxa" w:w="1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CL-01</w:t>
            </w:r>
          </w:p>
        </w:tc>
        <w:tc>
          <w:tcPr>
            <w:tcW w:type="dxa" w:w="2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SIEM endpoint and protocol</w:t>
            </w:r>
          </w:p>
        </w:tc>
        <w:tc>
          <w:tcPr>
            <w:tcW w:type="dxa" w:w="59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What integration endpoint and protocol does STC Bank's SIEM expose for cyber risk event ingestion? REST/HTTPS or Syslog?</w:t>
            </w:r>
          </w:p>
        </w:tc>
      </w:tr>
      <w:tr>
        <w:tc>
          <w:tcPr>
            <w:tcW w:type="dxa" w:w="1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CL-02</w:t>
            </w:r>
          </w:p>
        </w:tc>
        <w:tc>
          <w:tcPr>
            <w:tcW w:type="dxa" w:w="2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HRMS API availability</w:t>
            </w:r>
          </w:p>
        </w:tc>
        <w:tc>
          <w:tcPr>
            <w:tcW w:type="dxa" w:w="59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Does STC Bank's HRMS expose a REST API for training and attrition data, or is data extraction via a scheduled report/file?</w:t>
            </w:r>
          </w:p>
        </w:tc>
      </w:tr>
      <w:tr>
        <w:tc>
          <w:tcPr>
            <w:tcW w:type="dxa" w:w="1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CL-03</w:t>
            </w:r>
          </w:p>
        </w:tc>
        <w:tc>
          <w:tcPr>
            <w:tcW w:type="dxa" w:w="2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Finance System KPI feed</w:t>
            </w:r>
          </w:p>
        </w:tc>
        <w:tc>
          <w:tcPr>
            <w:tcW w:type="dxa" w:w="59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What is the available mechanism for KPI actuals extraction from the Finance System — REST API, file export, or database view?</w:t>
            </w:r>
          </w:p>
        </w:tc>
      </w:tr>
      <w:tr>
        <w:tc>
          <w:tcPr>
            <w:tcW w:type="dxa" w:w="1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CL-04</w:t>
            </w:r>
          </w:p>
        </w:tc>
        <w:tc>
          <w:tcPr>
            <w:tcW w:type="dxa" w:w="2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MinIO deployment confirmation</w:t>
            </w:r>
          </w:p>
        </w:tc>
        <w:tc>
          <w:tcPr>
            <w:tcW w:type="dxa" w:w="59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Has STC Bank IT confirmed deployment of MinIO (or equivalent S3-compatible on-prem object store) as the file storage target?</w:t>
            </w:r>
          </w:p>
        </w:tc>
      </w:tr>
      <w:tr>
        <w:tc>
          <w:tcPr>
            <w:tcW w:type="dxa" w:w="1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CL-05</w:t>
            </w:r>
          </w:p>
        </w:tc>
        <w:tc>
          <w:tcPr>
            <w:tcW w:type="dxa" w:w="2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SAMA ITGF data format</w:t>
            </w:r>
          </w:p>
        </w:tc>
        <w:tc>
          <w:tcPr>
            <w:tcW w:type="dxa" w:w="59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What format does the SAMA ITGF L1–L3 control taxonomy arrive in for the file import — JSON, CSV, Excel, or other?</w:t>
            </w:r>
          </w:p>
        </w:tc>
      </w:tr>
      <w:tr>
        <w:tc>
          <w:tcPr>
            <w:tcW w:type="dxa" w:w="1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CL-06</w:t>
            </w:r>
          </w:p>
        </w:tc>
        <w:tc>
          <w:tcPr>
            <w:tcW w:type="dxa" w:w="2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Board session TTL</w:t>
            </w:r>
          </w:p>
        </w:tc>
        <w:tc>
          <w:tcPr>
            <w:tcW w:type="dxa" w:w="59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What is STC Bank's requirement for board member session length? Standard inactivity TTL is likely too short for board access patterns.</w:t>
            </w:r>
          </w:p>
        </w:tc>
      </w:tr>
    </w:tbl>
    <w:p>
      <w:pPr>
        <w:spacing w:after="160"/>
      </w:pPr>
      <w:r>
        <w:rPr>
          <w:rFonts w:ascii="Arial" w:cs="Arial" w:eastAsia="Arial" w:hAnsi="Arial"/>
          <w:sz w:val="20"/>
          <w:szCs w:val="20"/>
        </w:rP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0"/>
        <w:gridCol w:w="3600"/>
        <w:gridCol w:w="4786"/>
      </w:tblGrid>
      <w:tr>
        <w:trPr>
          <w:tblHeader/>
        </w:trPr>
        <w:tc>
          <w:tcPr>
            <w:tcW w:type="dxa" w:w="10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CL-ID</w:t>
            </w:r>
          </w:p>
        </w:tc>
        <w:tc>
          <w:tcPr>
            <w:tcW w:type="dxa" w:w="36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Resolution Status</w:t>
            </w:r>
          </w:p>
        </w:tc>
        <w:tc>
          <w:tcPr>
            <w:tcW w:type="dxa" w:w="4786"/>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Impact if Unresolved</w:t>
            </w:r>
          </w:p>
        </w:tc>
      </w:tr>
      <w:tr>
        <w:tc>
          <w:tcPr>
            <w:tcW w:type="dxa" w:w="1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CL-01</w:t>
            </w:r>
          </w:p>
        </w:tc>
        <w:tc>
          <w:tcPr>
            <w:tcW w:type="dxa" w:w="36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TBC with STC Bank IT — Month 1. SIEM Adapter built as protocol-swappable.</w:t>
            </w:r>
          </w:p>
        </w:tc>
        <w:tc>
          <w:tcPr>
            <w:tcW w:type="dxa" w:w="47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Blocks SIEM integration sprint start.</w:t>
            </w:r>
          </w:p>
        </w:tc>
      </w:tr>
      <w:tr>
        <w:tc>
          <w:tcPr>
            <w:tcW w:type="dxa" w:w="1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CL-02</w:t>
            </w:r>
          </w:p>
        </w:tc>
        <w:tc>
          <w:tcPr>
            <w:tcW w:type="dxa" w:w="36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TBC with STC Bank IT — Month 1. Adapter design supports both REST and file extraction.</w:t>
            </w:r>
          </w:p>
        </w:tc>
        <w:tc>
          <w:tcPr>
            <w:tcW w:type="dxa" w:w="47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Affects HRMS Adapter design and sprint scope.</w:t>
            </w:r>
          </w:p>
        </w:tc>
      </w:tr>
      <w:tr>
        <w:tc>
          <w:tcPr>
            <w:tcW w:type="dxa" w:w="1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CL-03</w:t>
            </w:r>
          </w:p>
        </w:tc>
        <w:tc>
          <w:tcPr>
            <w:tcW w:type="dxa" w:w="36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TBC with STC Bank IT — Month 1. Finance Adapter supports REST and file export modes.</w:t>
            </w:r>
          </w:p>
        </w:tc>
        <w:tc>
          <w:tcPr>
            <w:tcW w:type="dxa" w:w="47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Affects Finance Adapter design and sprint scope.</w:t>
            </w:r>
          </w:p>
        </w:tc>
      </w:tr>
      <w:tr>
        <w:tc>
          <w:tcPr>
            <w:tcW w:type="dxa" w:w="1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CL-04</w:t>
            </w:r>
          </w:p>
        </w:tc>
        <w:tc>
          <w:tcPr>
            <w:tcW w:type="dxa" w:w="36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To be confirmed during environment provisioning — Month 1.</w:t>
            </w:r>
          </w:p>
        </w:tc>
        <w:tc>
          <w:tcPr>
            <w:tcW w:type="dxa" w:w="47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Critical path for file storage setup and evidence module testing.</w:t>
            </w:r>
          </w:p>
        </w:tc>
      </w:tr>
      <w:tr>
        <w:tc>
          <w:tcPr>
            <w:tcW w:type="dxa" w:w="1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CL-05</w:t>
            </w:r>
          </w:p>
        </w:tc>
        <w:tc>
          <w:tcPr>
            <w:tcW w:type="dxa" w:w="36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To be confirmed when SAMA ITGF data is received — Month 1. Adapter includes format validation and normalisation.</w:t>
            </w:r>
          </w:p>
        </w:tc>
        <w:tc>
          <w:tcPr>
            <w:tcW w:type="dxa" w:w="47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Affects data load procedure and Stage 4 testing timeline.</w:t>
            </w:r>
          </w:p>
        </w:tc>
      </w:tr>
      <w:tr>
        <w:tc>
          <w:tcPr>
            <w:tcW w:type="dxa" w:w="1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CL-06</w:t>
            </w:r>
          </w:p>
        </w:tc>
        <w:tc>
          <w:tcPr>
            <w:tcW w:type="dxa" w:w="36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To be agreed with STC Bank project sponsor. Configurable session TTL per role is a supported IAM feature.</w:t>
            </w:r>
          </w:p>
        </w:tc>
        <w:tc>
          <w:tcPr>
            <w:tcW w:type="dxa" w:w="47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Low impact — configuration-level change. No architecture rework.</w:t>
            </w:r>
          </w:p>
        </w:tc>
      </w:tr>
    </w:tbl>
    <w:p>
      <w:pPr>
        <w:pStyle w:val="Heading2"/>
        <w:pBdr>
          <w:bottom w:val="single" w:color="BDD0E5" w:sz="4" w:space="2"/>
        </w:pBdr>
        <w:spacing w:after="160" w:before="320"/>
      </w:pPr>
      <w:r>
        <w:rPr>
          <w:rFonts w:ascii="Arial" w:cs="Arial" w:eastAsia="Arial" w:hAnsi="Arial"/>
          <w:b/>
          <w:bCs/>
          <w:color w:val="2E5F8A"/>
          <w:sz w:val="28"/>
          <w:szCs w:val="28"/>
        </w:rPr>
        <w:t xml:space="preserve">6.3  Annexes</w:t>
      </w:r>
    </w:p>
    <w:p>
      <w:pPr>
        <w:spacing w:after="160" w:before="60"/>
      </w:pPr>
      <w:r>
        <w:rPr>
          <w:rFonts w:ascii="Arial" w:cs="Arial" w:eastAsia="Arial" w:hAnsi="Arial"/>
          <w:sz w:val="20"/>
          <w:szCs w:val="20"/>
        </w:rPr>
        <w:t xml:space="preserve">The GPRC Platform HLAD participates fully in the shared DQ platform architecture annex structure.</w:t>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800"/>
        <w:gridCol w:w="3000"/>
        <w:gridCol w:w="4586"/>
      </w:tblGrid>
      <w:tr>
        <w:trPr>
          <w:tblHeader/>
        </w:trPr>
        <w:tc>
          <w:tcPr>
            <w:tcW w:type="dxa" w:w="18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Annex</w:t>
            </w:r>
          </w:p>
        </w:tc>
        <w:tc>
          <w:tcPr>
            <w:tcW w:type="dxa" w:w="30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Location</w:t>
            </w:r>
          </w:p>
        </w:tc>
        <w:tc>
          <w:tcPr>
            <w:tcW w:type="dxa" w:w="4586"/>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Contents</w:t>
            </w:r>
          </w:p>
        </w:tc>
      </w:tr>
      <w:tr>
        <w:tc>
          <w:tcPr>
            <w:tcW w:type="dxa" w:w="1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Gap Register</w:t>
            </w:r>
          </w:p>
        </w:tc>
        <w:tc>
          <w:tcPr>
            <w:tcW w:type="dxa" w:w="3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workspace/llad-annex/annex-gaps.md</w:t>
            </w:r>
          </w:p>
        </w:tc>
        <w:tc>
          <w:tcPr>
            <w:tcW w:type="dxa" w:w="45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All Type 1 and Type 2 gaps identified across the platform architecture document set.</w:t>
            </w:r>
          </w:p>
        </w:tc>
      </w:tr>
      <w:tr>
        <w:tc>
          <w:tcPr>
            <w:tcW w:type="dxa" w:w="1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ADR Annex</w:t>
            </w:r>
          </w:p>
        </w:tc>
        <w:tc>
          <w:tcPr>
            <w:tcW w:type="dxa" w:w="3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workspace/llad-annex/annex-adrs.md</w:t>
            </w:r>
          </w:p>
        </w:tc>
        <w:tc>
          <w:tcPr>
            <w:tcW w:type="dxa" w:w="45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Full ADR propagation records cross-referencing AD-01 through AD-06 decisions in this document.</w:t>
            </w:r>
          </w:p>
        </w:tc>
      </w:tr>
    </w:tbl>
    <w:sectPr>
      <w:headerReference w:type="default" r:id="rId7"/>
      <w:footerReference w:type="default" r:id="rId8"/>
      <w:pgSz w:w="11906" w:h="16838" w:orient="portrait"/>
      <w:pgMar w:top="1260" w:right="1260" w:bottom="120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D0E5" w:sz="4" w:space="2"/>
      </w:pBdr>
      <w:tabs>
        <w:tab w:val="right" w:pos="9386"/>
      </w:tabs>
      <w:spacing w:before="0"/>
    </w:pPr>
    <w:r>
      <w:rPr>
        <w:rFonts w:ascii="Arial" w:cs="Arial" w:eastAsia="Arial" w:hAnsi="Arial"/>
        <w:color w:val="888888"/>
        <w:sz w:val="16"/>
        <w:szCs w:val="16"/>
      </w:rPr>
      <w:t xml:space="preserve">{{DOC_FOOTER}}</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D0E5" w:sz="4" w:space="2"/>
      </w:pBdr>
      <w:spacing w:after="0"/>
    </w:pPr>
    <w:r>
      <w:rPr>
        <w:rFonts w:ascii="Arial" w:cs="Arial" w:eastAsia="Arial" w:hAnsi="Arial"/>
        <w:color w:val="888888"/>
        <w:sz w:val="16"/>
        <w:szCs w:val="16"/>
      </w:rPr>
      <w:t xml:space="preserve">{{DOC_HEADER}}</w:t>
    </w:r>
    <w:r>
      <w:rPr>
        <w:rFonts w:ascii="Arial" w:cs="Arial" w:eastAsia="Arial" w:hAnsi="Arial"/>
        <w:b/>
        <w:bCs/>
        <w:color w:val="888888"/>
        <w:sz w:val="16"/>
        <w:szCs w:val="16"/>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aleway" w:cs="Raleway" w:eastAsia="Raleway" w:hAnsi="Raleway"/>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001035"/>
      <w:sz w:val="32"/>
      <w:szCs w:val="32"/>
    </w:rPr>
  </w:style>
  <w:style w:type="paragraph" w:styleId="Heading2">
    <w:name w:val="Heading 2"/>
    <w:basedOn w:val="Normal"/>
    <w:next w:val="Normal"/>
    <w:qFormat/>
    <w:rPr>
      <w:color w:val="001035"/>
      <w:sz w:val="26"/>
      <w:szCs w:val="26"/>
    </w:rPr>
  </w:style>
  <w:style w:type="paragraph" w:styleId="Heading3">
    <w:name w:val="Heading 3"/>
    <w:basedOn w:val="Normal"/>
    <w:next w:val="Normal"/>
    <w:qFormat/>
    <w:rPr>
      <w:color w:val="001035"/>
      <w:sz w:val="24"/>
      <w:szCs w:val="24"/>
    </w:rPr>
  </w:style>
  <w:style w:type="paragraph" w:styleId="Heading4">
    <w:name w:val="Heading 4"/>
    <w:basedOn w:val="Normal"/>
    <w:next w:val="Normal"/>
    <w:qFormat/>
    <w:rPr>
      <w:i/>
      <w:iCs/>
      <w:color w:val="001035"/>
    </w:rPr>
  </w:style>
  <w:style w:type="paragraph" w:styleId="Heading5">
    <w:name w:val="Heading 5"/>
    <w:basedOn w:val="Normal"/>
    <w:next w:val="Normal"/>
    <w:qFormat/>
    <w:rPr>
      <w:color w:val="001035"/>
    </w:rPr>
  </w:style>
  <w:style w:type="paragraph" w:styleId="Heading6">
    <w:name w:val="Heading 6"/>
    <w:basedOn w:val="Normal"/>
    <w:next w:val="Normal"/>
    <w:qFormat/>
    <w:rPr>
      <w:color w:val="001035"/>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01035"/>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001035"/>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001035"/>
      <w:sz w:val="22"/>
      <w:szCs w:val="22"/>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76DC181D52EE044B635AE84E99389EB" ma:contentTypeVersion="10" ma:contentTypeDescription="Create a new document." ma:contentTypeScope="" ma:versionID="80792fbc74665f8ca5b4292c706ae197">
  <xsd:schema xmlns:xsd="http://www.w3.org/2001/XMLSchema" xmlns:xs="http://www.w3.org/2001/XMLSchema" xmlns:p="http://schemas.microsoft.com/office/2006/metadata/properties" xmlns:ns2="e9c7e85f-1e9f-4bb2-85c9-2c3755802132" xmlns:ns3="80b3446c-925e-4e1b-b783-67c235a81178" targetNamespace="http://schemas.microsoft.com/office/2006/metadata/properties" ma:root="true" ma:fieldsID="2fcae03cb51c3d53a64f663748c9699f" ns2:_="" ns3:_="">
    <xsd:import namespace="e9c7e85f-1e9f-4bb2-85c9-2c3755802132"/>
    <xsd:import namespace="80b3446c-925e-4e1b-b783-67c235a8117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c7e85f-1e9f-4bb2-85c9-2c37558021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3dfac8c-16c7-4365-a5e7-53cc87929b6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0b3446c-925e-4e1b-b783-67c235a8117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aa88519-2a2f-4781-87e4-c1fe0e09756b}" ma:internalName="TaxCatchAll" ma:showField="CatchAllData" ma:web="80b3446c-925e-4e1b-b783-67c235a8117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9c7e85f-1e9f-4bb2-85c9-2c3755802132">
      <Terms xmlns="http://schemas.microsoft.com/office/infopath/2007/PartnerControls"/>
    </lcf76f155ced4ddcb4097134ff3c332f>
    <TaxCatchAll xmlns="80b3446c-925e-4e1b-b783-67c235a81178" xsi:nil="true"/>
  </documentManagement>
</p:properties>
</file>

<file path=customXml/itemProps1.xml><?xml version="1.0" encoding="utf-8"?>
<ds:datastoreItem xmlns:ds="http://schemas.openxmlformats.org/officeDocument/2006/customXml" ds:itemID="{C7E8ABA7-BB00-4B78-95A2-078EFEBFF381}"/>
</file>

<file path=customXml/itemProps2.xml><?xml version="1.0" encoding="utf-8"?>
<ds:datastoreItem xmlns:ds="http://schemas.openxmlformats.org/officeDocument/2006/customXml" ds:itemID="{451648F4-E20D-4F23-AC80-8ECFE0477808}"/>
</file>

<file path=customXml/itemProps3.xml><?xml version="1.0" encoding="utf-8"?>
<ds:datastoreItem xmlns:ds="http://schemas.openxmlformats.org/officeDocument/2006/customXml" ds:itemID="{800CF779-826B-4C00-8DF0-7687B99541AD}"/>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2026-05-19T07:16:31Z</dcterms:created>
  <dcterms:modified xsi:type="dcterms:W3CDTF">2026-05-19T07:16:31Z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0x010100176DC181D52EE044B635AE84E99389EB</vt:lpwstr>
  </property>
</Properties>
</file>