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612B5" w14:textId="77777777" w:rsidR="009E52AF" w:rsidRDefault="0065414E">
      <w:pPr>
        <w:pStyle w:val="Heading2"/>
      </w:pPr>
      <w:bookmarkStart w:id="0" w:name="_y5alcqbyxg8c" w:colFirst="0" w:colLast="0"/>
      <w:bookmarkEnd w:id="0"/>
      <w:r>
        <w:t>Two-S</w:t>
      </w:r>
      <w:r w:rsidR="00A11609">
        <w:t xml:space="preserve">entence </w:t>
      </w:r>
      <w:r>
        <w:t>O</w:t>
      </w:r>
      <w:r w:rsidR="00A11609">
        <w:t>verview</w:t>
      </w:r>
    </w:p>
    <w:p w14:paraId="7CC82597" w14:textId="385791C7" w:rsidR="007158D4" w:rsidRDefault="007158D4" w:rsidP="0059227A">
      <w:r>
        <w:rPr>
          <w:shd w:val="clear" w:color="auto" w:fill="FFFFFF"/>
        </w:rPr>
        <w:t xml:space="preserve">The goal is to protect </w:t>
      </w:r>
      <w:r w:rsidRPr="00127D8C">
        <w:rPr>
          <w:shd w:val="clear" w:color="auto" w:fill="FFFFFF"/>
        </w:rPr>
        <w:t>Personally Identifiable Information (PII) or Protected Health Information (PHI)</w:t>
      </w:r>
      <w:r>
        <w:rPr>
          <w:shd w:val="clear" w:color="auto" w:fill="FFFFFF"/>
        </w:rPr>
        <w:t xml:space="preserve"> that are utilized in digital health software tools or approved Digital Square global goods</w:t>
      </w:r>
      <w:r w:rsidR="00A007C5">
        <w:t xml:space="preserve">. </w:t>
      </w:r>
      <w:proofErr w:type="spellStart"/>
      <w:r>
        <w:t>StrongKey’s</w:t>
      </w:r>
      <w:proofErr w:type="spellEnd"/>
      <w:r>
        <w:t xml:space="preserve"> appliances</w:t>
      </w:r>
      <w:r w:rsidR="00A007C5">
        <w:t>, deployed</w:t>
      </w:r>
      <w:r>
        <w:t xml:space="preserve"> in an on-prem</w:t>
      </w:r>
      <w:r w:rsidR="008727E7">
        <w:t>ise</w:t>
      </w:r>
      <w:r>
        <w:t xml:space="preserve"> or managed service mode</w:t>
      </w:r>
      <w:r w:rsidR="00A007C5">
        <w:t>, run an open source software stack that protects PII and PHI by with strong authentication and data encryption</w:t>
      </w:r>
      <w:r>
        <w:t>.</w:t>
      </w:r>
      <w:r w:rsidR="00A007C5">
        <w:t xml:space="preserve"> </w:t>
      </w:r>
      <w:proofErr w:type="spellStart"/>
      <w:r>
        <w:t>StrongKey</w:t>
      </w:r>
      <w:proofErr w:type="spellEnd"/>
      <w:r>
        <w:t xml:space="preserve"> has 18-years of related cyber-experience delivering such capabilities to </w:t>
      </w:r>
      <w:r w:rsidR="00A007C5">
        <w:t>organizations on</w:t>
      </w:r>
      <w:r>
        <w:t xml:space="preserve"> six continents.</w:t>
      </w:r>
    </w:p>
    <w:p w14:paraId="255717E7" w14:textId="77777777" w:rsidR="00127D8C" w:rsidRDefault="00127D8C" w:rsidP="00127D8C">
      <w:pPr>
        <w:pStyle w:val="Bulletstyle2"/>
        <w:numPr>
          <w:ilvl w:val="0"/>
          <w:numId w:val="0"/>
        </w:numPr>
        <w:ind w:left="720" w:hanging="360"/>
      </w:pPr>
    </w:p>
    <w:p w14:paraId="193CD11C" w14:textId="77777777" w:rsidR="009E52AF" w:rsidRDefault="00A11609">
      <w:pPr>
        <w:pStyle w:val="Heading2"/>
      </w:pPr>
      <w:bookmarkStart w:id="1" w:name="_gsxkyuv8wp83" w:colFirst="0" w:colLast="0"/>
      <w:bookmarkEnd w:id="1"/>
      <w:r>
        <w:t xml:space="preserve">Executive Summary </w:t>
      </w:r>
    </w:p>
    <w:p w14:paraId="4D2EF0FE" w14:textId="77777777" w:rsidR="004F0AAF" w:rsidRDefault="004F0AAF" w:rsidP="004F0AAF">
      <w:pPr>
        <w:pStyle w:val="Bulletstyle1"/>
      </w:pPr>
      <w:r>
        <w:rPr>
          <w:shd w:val="clear" w:color="auto" w:fill="FFFFFF"/>
        </w:rPr>
        <w:t xml:space="preserve">The overarching goal is to protect </w:t>
      </w:r>
      <w:r w:rsidRPr="00127D8C">
        <w:rPr>
          <w:shd w:val="clear" w:color="auto" w:fill="FFFFFF"/>
        </w:rPr>
        <w:t>Personally Identifiable Information (PII) or Protected Health Information (PHI)</w:t>
      </w:r>
      <w:r>
        <w:rPr>
          <w:shd w:val="clear" w:color="auto" w:fill="FFFFFF"/>
        </w:rPr>
        <w:t xml:space="preserve"> that are utilized in digital health software tools or approved Digital Square global goods. Protecting this type of information is critical to Digital Square being able to realize the value of its investment in digital health software tools or global goods that utilize PII or critical information.</w:t>
      </w:r>
    </w:p>
    <w:p w14:paraId="1CE0279A" w14:textId="77777777" w:rsidR="004F0AAF" w:rsidRDefault="00FB5394" w:rsidP="004F0AAF">
      <w:pPr>
        <w:pStyle w:val="Bulletstyle1"/>
      </w:pPr>
      <w:r>
        <w:t>A typical investment for an on-prem</w:t>
      </w:r>
      <w:r w:rsidR="008727E7">
        <w:t>ise</w:t>
      </w:r>
      <w:r>
        <w:t xml:space="preserve"> deployment would be around $100,000 for an infrastructure that provides fault tolerance and high-availability, with about $25,000 annual support costs. Professional Services integration costs (for framework or specific global goods integration) would range from $25,000 to $50,000.</w:t>
      </w:r>
    </w:p>
    <w:p w14:paraId="5E5C04ED" w14:textId="77777777" w:rsidR="004F0AAF" w:rsidRDefault="008727E7" w:rsidP="004F0AAF">
      <w:pPr>
        <w:pStyle w:val="Bulletstyle1"/>
      </w:pPr>
      <w:r w:rsidRPr="004F0AAF">
        <w:rPr>
          <w:shd w:val="clear" w:color="auto" w:fill="FFFFFF"/>
        </w:rPr>
        <w:t>StrongKey provides strong authentication and data protection using an open source software stack deployed on hardware appliances that can house either a Trusted Platform Module (TPM) or a Hardware Security Module (HSM). The hardware (TPM or HSM) is chosen to protect the security keys required for the cryptographic techniques required to achieve the overall goal.</w:t>
      </w:r>
    </w:p>
    <w:p w14:paraId="0B35EAF7" w14:textId="77777777" w:rsidR="004F0AAF" w:rsidRPr="004F0AAF" w:rsidRDefault="008727E7" w:rsidP="004F0AAF">
      <w:pPr>
        <w:pStyle w:val="Bulletstyle1"/>
      </w:pPr>
      <w:r>
        <w:rPr>
          <w:shd w:val="clear" w:color="auto" w:fill="FFFFFF"/>
        </w:rPr>
        <w:t xml:space="preserve">StrongKey has developed and delivered </w:t>
      </w:r>
      <w:r w:rsidR="004F0AAF">
        <w:rPr>
          <w:shd w:val="clear" w:color="auto" w:fill="FFFFFF"/>
        </w:rPr>
        <w:t xml:space="preserve">the </w:t>
      </w:r>
      <w:r>
        <w:rPr>
          <w:shd w:val="clear" w:color="auto" w:fill="FFFFFF"/>
        </w:rPr>
        <w:t xml:space="preserve">reference server for the FIDO2 protocol which is an authentication protocol adopted by 250 key Fortune companies, including Microsoft, Google, </w:t>
      </w:r>
      <w:r w:rsidR="004F0AAF">
        <w:rPr>
          <w:shd w:val="clear" w:color="auto" w:fill="FFFFFF"/>
        </w:rPr>
        <w:t xml:space="preserve">and </w:t>
      </w:r>
      <w:r>
        <w:rPr>
          <w:shd w:val="clear" w:color="auto" w:fill="FFFFFF"/>
        </w:rPr>
        <w:t>Apple</w:t>
      </w:r>
      <w:r w:rsidR="004F0AAF">
        <w:rPr>
          <w:shd w:val="clear" w:color="auto" w:fill="FFFFFF"/>
        </w:rPr>
        <w:t xml:space="preserve">, </w:t>
      </w:r>
      <w:r>
        <w:rPr>
          <w:shd w:val="clear" w:color="auto" w:fill="FFFFFF"/>
        </w:rPr>
        <w:t xml:space="preserve">to name but a few. </w:t>
      </w:r>
      <w:r w:rsidRPr="008727E7">
        <w:rPr>
          <w:shd w:val="clear" w:color="auto" w:fill="FFFFFF"/>
        </w:rPr>
        <w:t xml:space="preserve"> </w:t>
      </w:r>
      <w:r>
        <w:rPr>
          <w:shd w:val="clear" w:color="auto" w:fill="FFFFFF"/>
        </w:rPr>
        <w:t xml:space="preserve">The </w:t>
      </w:r>
      <w:r w:rsidRPr="008727E7">
        <w:rPr>
          <w:shd w:val="clear" w:color="auto" w:fill="FFFFFF"/>
        </w:rPr>
        <w:t>FIDO2 server provides strong authentication, while sensitive data such as Personally Identifiable Information (PII) or Protected Health Information (PHI) can be secured through the use of simple web service (SOAP or REST) API calls.</w:t>
      </w:r>
      <w:r w:rsidR="004F0AAF">
        <w:rPr>
          <w:shd w:val="clear" w:color="auto" w:fill="FFFFFF"/>
        </w:rPr>
        <w:t xml:space="preserve"> For the non-technical this makes cryptography easily implementable to developers, and takes away the headache of understanding the nuances of cryptography.</w:t>
      </w:r>
    </w:p>
    <w:p w14:paraId="1102B9CC" w14:textId="77777777" w:rsidR="00B0325B" w:rsidRDefault="00B0325B" w:rsidP="004F0AAF">
      <w:pPr>
        <w:pStyle w:val="Bulletstyle1"/>
      </w:pPr>
      <w:r>
        <w:t xml:space="preserve">One thing to note </w:t>
      </w:r>
      <w:r w:rsidR="00EC45C9">
        <w:t xml:space="preserve">is </w:t>
      </w:r>
      <w:r>
        <w:t xml:space="preserve">the type of tools and goods that </w:t>
      </w:r>
      <w:r w:rsidR="00EC45C9">
        <w:t>Digital Square is investing in is open to ransomware attacks by aggressive bad actors. StrongKey is able to mitigate such attacks with the use of the appliances described here.</w:t>
      </w:r>
    </w:p>
    <w:p w14:paraId="309E7903" w14:textId="77777777" w:rsidR="009E52AF" w:rsidRDefault="00A11609">
      <w:pPr>
        <w:pStyle w:val="Heading2"/>
      </w:pPr>
      <w:bookmarkStart w:id="2" w:name="_3o8x262xso2" w:colFirst="0" w:colLast="0"/>
      <w:bookmarkEnd w:id="2"/>
      <w:r>
        <w:t>Consortium Team</w:t>
      </w:r>
      <w:r w:rsidR="00414403">
        <w:t xml:space="preserve"> </w:t>
      </w:r>
    </w:p>
    <w:p w14:paraId="4A9540E1" w14:textId="6C8C3A83" w:rsidR="00EC45C9" w:rsidRDefault="00F02FE4" w:rsidP="00625BD3">
      <w:pPr>
        <w:pStyle w:val="Bulletstyle1"/>
        <w:numPr>
          <w:ilvl w:val="0"/>
          <w:numId w:val="0"/>
        </w:numPr>
      </w:pPr>
      <w:r>
        <w:t xml:space="preserve">Rather than </w:t>
      </w:r>
      <w:r w:rsidR="00614B18">
        <w:t>partnering</w:t>
      </w:r>
      <w:r>
        <w:t xml:space="preserve"> with any one particular organization, StrongKey would like to make itself available to assist any organization participating in Digital Square projects</w:t>
      </w:r>
      <w:r w:rsidR="00614B18">
        <w:t>.</w:t>
      </w:r>
      <w:bookmarkStart w:id="3" w:name="_Hlk5025002"/>
      <w:r w:rsidR="00EC45C9">
        <w:t xml:space="preserve"> </w:t>
      </w:r>
      <w:r w:rsidR="00614B18">
        <w:t>Part of becoming shelf-ready is to ensure that data security and authentication of users is not just an afterthought, but rather a feature tightly integrated with the application and implemented by digital security experts.  It is our hope that other E0 applicants may see our offering here and recognize synergy with their project.</w:t>
      </w:r>
    </w:p>
    <w:p w14:paraId="5AE6DAF1" w14:textId="77777777" w:rsidR="00EC45C9" w:rsidRDefault="00EC45C9" w:rsidP="00625BD3">
      <w:pPr>
        <w:pStyle w:val="Bulletstyle1"/>
        <w:numPr>
          <w:ilvl w:val="0"/>
          <w:numId w:val="0"/>
        </w:numPr>
      </w:pPr>
    </w:p>
    <w:p w14:paraId="656A3C45" w14:textId="77777777" w:rsidR="004F0AAF" w:rsidRDefault="00B0325B" w:rsidP="00625BD3">
      <w:pPr>
        <w:pStyle w:val="Bulletstyle1"/>
        <w:numPr>
          <w:ilvl w:val="0"/>
          <w:numId w:val="0"/>
        </w:numPr>
      </w:pPr>
      <w:r>
        <w:lastRenderedPageBreak/>
        <w:t>Examples</w:t>
      </w:r>
      <w:r w:rsidR="004F0AAF">
        <w:t xml:space="preserve"> may be:</w:t>
      </w:r>
    </w:p>
    <w:p w14:paraId="37971269" w14:textId="77777777" w:rsidR="00B0325B" w:rsidRPr="0059227A" w:rsidRDefault="004F0AAF" w:rsidP="00B0325B">
      <w:pPr>
        <w:numPr>
          <w:ilvl w:val="1"/>
          <w:numId w:val="6"/>
        </w:numPr>
        <w:spacing w:after="0" w:line="240" w:lineRule="auto"/>
        <w:rPr>
          <w:rFonts w:eastAsia="Times New Roman"/>
          <w:i/>
        </w:rPr>
      </w:pPr>
      <w:r w:rsidRPr="0059227A">
        <w:rPr>
          <w:i/>
        </w:rPr>
        <w:t xml:space="preserve">For the concept </w:t>
      </w:r>
      <w:r w:rsidRPr="0059227A">
        <w:rPr>
          <w:b/>
          <w:bCs/>
          <w:i/>
        </w:rPr>
        <w:t>Improving the Resiliency, Privacy, and Interoperability of the Open Smart Register Platform (</w:t>
      </w:r>
      <w:proofErr w:type="spellStart"/>
      <w:r w:rsidRPr="0059227A">
        <w:rPr>
          <w:b/>
          <w:bCs/>
          <w:i/>
        </w:rPr>
        <w:t>OpenSRP</w:t>
      </w:r>
      <w:proofErr w:type="spellEnd"/>
      <w:r w:rsidRPr="0059227A">
        <w:rPr>
          <w:b/>
          <w:bCs/>
          <w:i/>
        </w:rPr>
        <w:t>)</w:t>
      </w:r>
      <w:r w:rsidR="00B0325B" w:rsidRPr="0059227A">
        <w:rPr>
          <w:b/>
          <w:bCs/>
          <w:i/>
        </w:rPr>
        <w:t xml:space="preserve"> t</w:t>
      </w:r>
      <w:r w:rsidR="00B0325B" w:rsidRPr="0059227A">
        <w:rPr>
          <w:i/>
        </w:rPr>
        <w:t xml:space="preserve">hey mention </w:t>
      </w:r>
      <w:r w:rsidR="00B0325B" w:rsidRPr="0059227A">
        <w:rPr>
          <w:rFonts w:eastAsia="Times New Roman"/>
          <w:i/>
          <w:color w:val="000000"/>
        </w:rPr>
        <w:t xml:space="preserve">Work Package 2: Add Personally Identifiable Information masking across all </w:t>
      </w:r>
      <w:proofErr w:type="spellStart"/>
      <w:r w:rsidR="00B0325B" w:rsidRPr="0059227A">
        <w:rPr>
          <w:rFonts w:eastAsia="Times New Roman"/>
          <w:i/>
          <w:color w:val="000000"/>
        </w:rPr>
        <w:t>OpenSRP</w:t>
      </w:r>
      <w:proofErr w:type="spellEnd"/>
      <w:r w:rsidR="00B0325B" w:rsidRPr="0059227A">
        <w:rPr>
          <w:rFonts w:eastAsia="Times New Roman"/>
          <w:i/>
          <w:color w:val="000000"/>
        </w:rPr>
        <w:t xml:space="preserve"> APIs</w:t>
      </w:r>
    </w:p>
    <w:p w14:paraId="39AA1CD6" w14:textId="77777777" w:rsidR="00EC45C9" w:rsidRPr="00B0325B" w:rsidRDefault="00EC45C9" w:rsidP="00EC45C9">
      <w:pPr>
        <w:spacing w:after="0" w:line="240" w:lineRule="auto"/>
        <w:ind w:left="1080"/>
        <w:rPr>
          <w:rFonts w:eastAsia="Times New Roman"/>
        </w:rPr>
      </w:pPr>
    </w:p>
    <w:p w14:paraId="4E211DA6" w14:textId="77777777" w:rsidR="004F0AAF" w:rsidRPr="004F0AAF" w:rsidRDefault="00B0325B" w:rsidP="004F0AAF">
      <w:pPr>
        <w:pStyle w:val="Bulletstyle1"/>
        <w:numPr>
          <w:ilvl w:val="1"/>
          <w:numId w:val="6"/>
        </w:numPr>
      </w:pPr>
      <w:r>
        <w:t xml:space="preserve">An example of an Approved Global Goods project may be </w:t>
      </w:r>
      <w:proofErr w:type="spellStart"/>
      <w:r w:rsidRPr="00EC45C9">
        <w:rPr>
          <w:b/>
          <w:bCs/>
        </w:rPr>
        <w:t>OpenELIS</w:t>
      </w:r>
      <w:proofErr w:type="spellEnd"/>
      <w:r>
        <w:t>. We would be able to protect the PII data to the highest level of security standards.</w:t>
      </w:r>
    </w:p>
    <w:p w14:paraId="677B5653" w14:textId="77777777" w:rsidR="004F0AAF" w:rsidRDefault="00EC45C9" w:rsidP="004F0AAF">
      <w:pPr>
        <w:pStyle w:val="Bulletstyle1"/>
        <w:numPr>
          <w:ilvl w:val="1"/>
          <w:numId w:val="6"/>
        </w:numPr>
      </w:pPr>
      <w:r>
        <w:t xml:space="preserve">There seem to be many other opportunities for the use of the StrongKey technology as part of the </w:t>
      </w:r>
      <w:proofErr w:type="spellStart"/>
      <w:r>
        <w:t>OpenHIE</w:t>
      </w:r>
      <w:proofErr w:type="spellEnd"/>
      <w:r>
        <w:t xml:space="preserve"> initiatives/community.</w:t>
      </w:r>
    </w:p>
    <w:p w14:paraId="01AB9303" w14:textId="77777777" w:rsidR="009E52AF" w:rsidRDefault="00A11609" w:rsidP="00242244">
      <w:pPr>
        <w:pStyle w:val="Heading2"/>
      </w:pPr>
      <w:bookmarkStart w:id="4" w:name="_ey8c3lt52knp" w:colFirst="0" w:colLast="0"/>
      <w:bookmarkEnd w:id="3"/>
      <w:bookmarkEnd w:id="4"/>
      <w:r>
        <w:t>Project Description</w:t>
      </w:r>
    </w:p>
    <w:p w14:paraId="2E3379F0" w14:textId="77777777" w:rsidR="001F4BF6" w:rsidRPr="00AA5118" w:rsidRDefault="001F4BF6" w:rsidP="001F4BF6">
      <w:r w:rsidRPr="0059227A">
        <w:rPr>
          <w:b/>
        </w:rPr>
        <w:t>Objectives</w:t>
      </w:r>
      <w:r w:rsidRPr="004D5FA2">
        <w:t xml:space="preserve">: </w:t>
      </w:r>
      <w:r>
        <w:t>StrongKey stands ready to help Notice E0 Phase1 Shelf-readiness applicants either via product or simply via conversations on application and data security. The StrongKey appliance presents simple web services (either REST or SOAP) for applications to implement strong authentication or data protection. These systems have been designed to make cryptography easy for the developer. The</w:t>
      </w:r>
      <w:r w:rsidRPr="004D5FA2">
        <w:t xml:space="preserve"> technical approach or anticipated activities</w:t>
      </w:r>
      <w:r>
        <w:t xml:space="preserve"> would be a very straightforward software integration to the Digital Path software tools or global goods. In terms of software development projects this is an order of magnitude easier than attempting to develop security capabilities from scratch. </w:t>
      </w:r>
    </w:p>
    <w:p w14:paraId="07D9A73D" w14:textId="77777777" w:rsidR="001F4BF6" w:rsidRDefault="001F4BF6" w:rsidP="001F4BF6">
      <w:r w:rsidRPr="0059227A">
        <w:rPr>
          <w:b/>
        </w:rPr>
        <w:t>Deliverables &amp; Schedule</w:t>
      </w:r>
      <w:r w:rsidRPr="00AA5118">
        <w:t xml:space="preserve">: </w:t>
      </w:r>
      <w:r>
        <w:t xml:space="preserve"> We anticipate that a fully integrated system could be achieved within 90-days. integrated software APIs. We have answers to many issues related to connectivity, that we can describe in greater details.</w:t>
      </w:r>
    </w:p>
    <w:p w14:paraId="43F1785F" w14:textId="40B678E4" w:rsidR="00C730A4" w:rsidRDefault="00C730A4" w:rsidP="0059227A">
      <w:r>
        <w:t>In order to protect PII or other critical data, many cryptography techniques can be used which could include some, all or others such as:</w:t>
      </w:r>
    </w:p>
    <w:p w14:paraId="21A3AA9B" w14:textId="77777777" w:rsidR="00C730A4" w:rsidRDefault="00C730A4" w:rsidP="0059227A">
      <w:pPr>
        <w:pStyle w:val="Bulletstyle1"/>
      </w:pPr>
      <w:r>
        <w:t xml:space="preserve">Use a FIPS 140-2 Level-2 Trusted Platform Module (TPM2) as a </w:t>
      </w:r>
      <w:r>
        <w:rPr>
          <w:u w:val="single" w:color="004054"/>
        </w:rPr>
        <w:t>standard</w:t>
      </w:r>
      <w:r>
        <w:t xml:space="preserve"> cryptographic hardware module for key-management, or a FIPS 140-2 Level-3 Hardware Security Module (HSM) as an optional module in the appliance;</w:t>
      </w:r>
    </w:p>
    <w:p w14:paraId="1ED4CAD6" w14:textId="77777777" w:rsidR="00C730A4" w:rsidRDefault="00C730A4" w:rsidP="0059227A">
      <w:pPr>
        <w:pStyle w:val="Bulletstyle1"/>
      </w:pPr>
      <w:r>
        <w:t>Issue millions of X.509 digital certificates to humans, devices, applications, etc.;</w:t>
      </w:r>
    </w:p>
    <w:p w14:paraId="64763501" w14:textId="77777777" w:rsidR="00C730A4" w:rsidRDefault="00C730A4" w:rsidP="0059227A">
      <w:pPr>
        <w:pStyle w:val="Bulletstyle1"/>
      </w:pPr>
      <w:r>
        <w:t>Manage hundreds of millions of symmetric keys for encryption, Hashed Message Authentication Code (HMAC) operations;</w:t>
      </w:r>
    </w:p>
    <w:p w14:paraId="25DC4939" w14:textId="77777777" w:rsidR="00C730A4" w:rsidRDefault="00C730A4" w:rsidP="0059227A">
      <w:pPr>
        <w:pStyle w:val="Bulletstyle1"/>
      </w:pPr>
      <w:r>
        <w:t>Encrypt and Tokenize sensitive information, such as:</w:t>
      </w:r>
    </w:p>
    <w:p w14:paraId="0EF1CBBA" w14:textId="77777777" w:rsidR="00C730A4" w:rsidRDefault="00C730A4" w:rsidP="0059227A">
      <w:pPr>
        <w:ind w:left="1080" w:right="2" w:hanging="360"/>
      </w:pPr>
      <w:r>
        <w:t>◦ Personally identifiable information (PII) for General Data Protection Regulation (GDPR) and California Consumer Privacy Act (CCPA) compliance;</w:t>
      </w:r>
    </w:p>
    <w:p w14:paraId="6D216500" w14:textId="77777777" w:rsidR="00C730A4" w:rsidRDefault="00C730A4" w:rsidP="0059227A">
      <w:pPr>
        <w:ind w:left="1080" w:right="2" w:hanging="360"/>
      </w:pPr>
      <w:r>
        <w:t>◦ Personal health information (PHI) for Health Insurance Portability and Accountability Act (HIPAA) compliance;</w:t>
      </w:r>
    </w:p>
    <w:p w14:paraId="352CA750" w14:textId="77777777" w:rsidR="00C730A4" w:rsidRDefault="00C730A4" w:rsidP="0059227A">
      <w:pPr>
        <w:ind w:left="1080" w:right="2" w:hanging="360"/>
      </w:pPr>
      <w:r>
        <w:t>◦ Personal financial information (PFI) for Payment Card Industry Data Security Standard (PCI-DSS) compliance, etc.;</w:t>
      </w:r>
    </w:p>
    <w:p w14:paraId="0D1B7AB6" w14:textId="77777777" w:rsidR="00C730A4" w:rsidRDefault="00C730A4" w:rsidP="0059227A">
      <w:pPr>
        <w:pStyle w:val="Bulletstyle1"/>
      </w:pPr>
      <w:r>
        <w:t>Encrypt files of any-type and any-size while ensuring only authorized entities may decrypt content;</w:t>
      </w:r>
    </w:p>
    <w:p w14:paraId="723F5901" w14:textId="77777777" w:rsidR="00C730A4" w:rsidRDefault="00C730A4" w:rsidP="0059227A">
      <w:pPr>
        <w:pStyle w:val="Bulletstyle1"/>
      </w:pPr>
      <w:r>
        <w:t>Enable the storage of encrypted files on seven (7) different public cloud storage services while protecting cryptographic keys within the appliance;</w:t>
      </w:r>
    </w:p>
    <w:p w14:paraId="034660BF" w14:textId="77777777" w:rsidR="00C730A4" w:rsidRDefault="00C730A4" w:rsidP="0059227A">
      <w:pPr>
        <w:pStyle w:val="Bulletstyle1"/>
      </w:pPr>
      <w:r>
        <w:t>Enable digital signatures of files to preserve the integrity of content;</w:t>
      </w:r>
    </w:p>
    <w:p w14:paraId="44ABAD28" w14:textId="0F4DF87E" w:rsidR="009E52AF" w:rsidRDefault="009E52AF" w:rsidP="0059227A"/>
    <w:sectPr w:rsidR="009E52AF">
      <w:headerReference w:type="default" r:id="rId7"/>
      <w:footerReference w:type="default" r:id="rId8"/>
      <w:head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C0BDF9" w14:textId="77777777" w:rsidR="00C77AD5" w:rsidRDefault="00C77AD5">
      <w:pPr>
        <w:spacing w:after="0" w:line="240" w:lineRule="auto"/>
      </w:pPr>
      <w:r>
        <w:separator/>
      </w:r>
    </w:p>
  </w:endnote>
  <w:endnote w:type="continuationSeparator" w:id="0">
    <w:p w14:paraId="15C6D825" w14:textId="77777777" w:rsidR="00C77AD5" w:rsidRDefault="00C77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0388A" w14:textId="77777777" w:rsidR="009E52AF" w:rsidRDefault="00A11609">
    <w:pPr>
      <w:pBdr>
        <w:top w:val="nil"/>
        <w:left w:val="nil"/>
        <w:bottom w:val="nil"/>
        <w:right w:val="nil"/>
        <w:between w:val="nil"/>
      </w:pBdr>
      <w:tabs>
        <w:tab w:val="center" w:pos="4680"/>
        <w:tab w:val="right" w:pos="9360"/>
      </w:tabs>
      <w:spacing w:after="0" w:line="240" w:lineRule="auto"/>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590418">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590418">
      <w:rPr>
        <w:b/>
        <w:noProof/>
        <w:color w:val="000000"/>
      </w:rPr>
      <w:t>3</w:t>
    </w:r>
    <w:r>
      <w:rPr>
        <w:b/>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E0C30" w14:textId="77777777" w:rsidR="00C77AD5" w:rsidRDefault="00C77AD5">
      <w:pPr>
        <w:spacing w:after="0" w:line="240" w:lineRule="auto"/>
      </w:pPr>
      <w:r>
        <w:separator/>
      </w:r>
    </w:p>
  </w:footnote>
  <w:footnote w:type="continuationSeparator" w:id="0">
    <w:p w14:paraId="789B17C9" w14:textId="77777777" w:rsidR="00C77AD5" w:rsidRDefault="00C77A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86E35" w14:textId="77777777" w:rsidR="009E52AF" w:rsidRDefault="009E52AF">
    <w:pPr>
      <w:pStyle w:val="Title"/>
      <w:keepNext/>
      <w:keepLines/>
      <w:spacing w:after="60" w:line="276"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4B406" w14:textId="77777777" w:rsidR="002B6A56" w:rsidRDefault="0059227A" w:rsidP="002B6A56">
    <w:pPr>
      <w:pStyle w:val="Heading1"/>
      <w:jc w:val="center"/>
      <w:rPr>
        <w:b w:val="0"/>
        <w:bCs/>
        <w:color w:val="F48024"/>
        <w:sz w:val="43"/>
        <w:szCs w:val="43"/>
      </w:rPr>
    </w:pPr>
    <w:r>
      <w:rPr>
        <w:noProof/>
      </w:rPr>
      <w:drawing>
        <wp:anchor distT="0" distB="0" distL="114300" distR="114300" simplePos="0" relativeHeight="251657728" behindDoc="0" locked="0" layoutInCell="1" allowOverlap="1" wp14:anchorId="2872BFAB" wp14:editId="552FD731">
          <wp:simplePos x="0" y="0"/>
          <wp:positionH relativeFrom="column">
            <wp:posOffset>-751840</wp:posOffset>
          </wp:positionH>
          <wp:positionV relativeFrom="paragraph">
            <wp:posOffset>-456565</wp:posOffset>
          </wp:positionV>
          <wp:extent cx="1466850" cy="1511300"/>
          <wp:effectExtent l="0" t="0" r="0" b="0"/>
          <wp:wrapSquare wrapText="bothSides"/>
          <wp:docPr id="1"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a:picLocks/>
                  </pic:cNvPicPr>
                </pic:nvPicPr>
                <pic:blipFill>
                  <a:blip r:embed="rId1">
                    <a:extLst>
                      <a:ext uri="{28A0092B-C50C-407E-A947-70E740481C1C}">
                        <a14:useLocalDpi xmlns:a14="http://schemas.microsoft.com/office/drawing/2010/main" val="0"/>
                      </a:ext>
                    </a:extLst>
                  </a:blip>
                  <a:srcRect l="81" t="-124" r="81628" b="85561"/>
                  <a:stretch>
                    <a:fillRect/>
                  </a:stretch>
                </pic:blipFill>
                <pic:spPr bwMode="auto">
                  <a:xfrm>
                    <a:off x="0" y="0"/>
                    <a:ext cx="1466850" cy="15113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5" w:name="_frfk0mgpj4u"/>
    <w:bookmarkEnd w:id="5"/>
    <w:r w:rsidR="002B6A56">
      <w:rPr>
        <w:b w:val="0"/>
        <w:bCs/>
        <w:color w:val="F48024"/>
        <w:sz w:val="43"/>
        <w:szCs w:val="43"/>
      </w:rPr>
      <w:t>Cryptographic protection of PII and PHI, via</w:t>
    </w:r>
  </w:p>
  <w:p w14:paraId="723AEB12" w14:textId="77777777" w:rsidR="002B6A56" w:rsidRPr="002B6A56" w:rsidRDefault="002B6A56" w:rsidP="002B6A56">
    <w:pPr>
      <w:pStyle w:val="Heading1"/>
      <w:jc w:val="center"/>
      <w:rPr>
        <w:b w:val="0"/>
        <w:bCs/>
        <w:color w:val="F48024"/>
        <w:sz w:val="43"/>
        <w:szCs w:val="43"/>
      </w:rPr>
    </w:pPr>
    <w:r>
      <w:rPr>
        <w:b w:val="0"/>
        <w:bCs/>
        <w:color w:val="F48024"/>
        <w:sz w:val="43"/>
        <w:szCs w:val="43"/>
      </w:rPr>
      <w:t>open-source solution from StrongKey</w:t>
    </w:r>
  </w:p>
  <w:p w14:paraId="595907C7" w14:textId="77777777" w:rsidR="009E52AF" w:rsidRDefault="009E52AF" w:rsidP="002B6A56">
    <w:pPr>
      <w:pStyle w:val="Title"/>
      <w:keepNext/>
      <w:keepLines/>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00DD4"/>
    <w:multiLevelType w:val="multilevel"/>
    <w:tmpl w:val="4C98B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A1172E"/>
    <w:multiLevelType w:val="multilevel"/>
    <w:tmpl w:val="2856EFA0"/>
    <w:lvl w:ilvl="0">
      <w:start w:val="1"/>
      <w:numFmt w:val="bullet"/>
      <w:pStyle w:val="Bulletstyle2"/>
      <w:lvlText w:val="o"/>
      <w:lvlJc w:val="left"/>
      <w:pPr>
        <w:ind w:left="360" w:hanging="360"/>
      </w:pPr>
      <w:rPr>
        <w:rFonts w:ascii="Courier New" w:hAnsi="Courier New" w:cs="Courier New"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14442D8C"/>
    <w:multiLevelType w:val="multilevel"/>
    <w:tmpl w:val="1C228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2575D4"/>
    <w:multiLevelType w:val="multilevel"/>
    <w:tmpl w:val="A23C7712"/>
    <w:lvl w:ilvl="0">
      <w:start w:val="1"/>
      <w:numFmt w:val="decimal"/>
      <w:pStyle w:val="Liststyle1"/>
      <w:lvlText w:val="%1."/>
      <w:lvlJc w:val="left"/>
      <w:pPr>
        <w:ind w:left="360" w:hanging="360"/>
      </w:pPr>
      <w:rPr>
        <w:u w:val="none"/>
      </w:rPr>
    </w:lvl>
    <w:lvl w:ilvl="1">
      <w:start w:val="1"/>
      <w:numFmt w:val="lowerLetter"/>
      <w:pStyle w:val="Liststyle2"/>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 w15:restartNumberingAfterBreak="0">
    <w:nsid w:val="20116CE0"/>
    <w:multiLevelType w:val="multilevel"/>
    <w:tmpl w:val="30E8BB02"/>
    <w:lvl w:ilvl="0">
      <w:start w:val="1"/>
      <w:numFmt w:val="bullet"/>
      <w:pStyle w:val="Bulletstyle1"/>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3EC95ACA"/>
    <w:multiLevelType w:val="multilevel"/>
    <w:tmpl w:val="C6B6C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pStyle w:val="Liststyle3"/>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FD7D7B"/>
    <w:multiLevelType w:val="hybridMultilevel"/>
    <w:tmpl w:val="6BD416A8"/>
    <w:lvl w:ilvl="0" w:tplc="7ABE2B3E">
      <w:start w:val="1"/>
      <w:numFmt w:val="bullet"/>
      <w:lvlText w:val="•"/>
      <w:lvlJc w:val="left"/>
      <w:pPr>
        <w:ind w:left="720"/>
      </w:pPr>
      <w:rPr>
        <w:rFonts w:ascii="Calibri" w:eastAsia="Calibri" w:hAnsi="Calibri" w:cs="Calibri"/>
        <w:b w:val="0"/>
        <w:i w:val="0"/>
        <w:strike w:val="0"/>
        <w:dstrike w:val="0"/>
        <w:color w:val="004054"/>
        <w:sz w:val="20"/>
        <w:szCs w:val="20"/>
        <w:u w:val="none" w:color="000000"/>
        <w:bdr w:val="none" w:sz="0" w:space="0" w:color="auto"/>
        <w:shd w:val="clear" w:color="auto" w:fill="auto"/>
        <w:vertAlign w:val="baseline"/>
      </w:rPr>
    </w:lvl>
    <w:lvl w:ilvl="1" w:tplc="57745AD8">
      <w:start w:val="1"/>
      <w:numFmt w:val="bullet"/>
      <w:lvlText w:val="o"/>
      <w:lvlJc w:val="left"/>
      <w:pPr>
        <w:ind w:left="1440"/>
      </w:pPr>
      <w:rPr>
        <w:rFonts w:ascii="Calibri" w:eastAsia="Calibri" w:hAnsi="Calibri" w:cs="Calibri"/>
        <w:b w:val="0"/>
        <w:i w:val="0"/>
        <w:strike w:val="0"/>
        <w:dstrike w:val="0"/>
        <w:color w:val="004054"/>
        <w:sz w:val="20"/>
        <w:szCs w:val="20"/>
        <w:u w:val="none" w:color="000000"/>
        <w:bdr w:val="none" w:sz="0" w:space="0" w:color="auto"/>
        <w:shd w:val="clear" w:color="auto" w:fill="auto"/>
        <w:vertAlign w:val="baseline"/>
      </w:rPr>
    </w:lvl>
    <w:lvl w:ilvl="2" w:tplc="6410202E">
      <w:start w:val="1"/>
      <w:numFmt w:val="bullet"/>
      <w:lvlText w:val="▪"/>
      <w:lvlJc w:val="left"/>
      <w:pPr>
        <w:ind w:left="2160"/>
      </w:pPr>
      <w:rPr>
        <w:rFonts w:ascii="Calibri" w:eastAsia="Calibri" w:hAnsi="Calibri" w:cs="Calibri"/>
        <w:b w:val="0"/>
        <w:i w:val="0"/>
        <w:strike w:val="0"/>
        <w:dstrike w:val="0"/>
        <w:color w:val="004054"/>
        <w:sz w:val="20"/>
        <w:szCs w:val="20"/>
        <w:u w:val="none" w:color="000000"/>
        <w:bdr w:val="none" w:sz="0" w:space="0" w:color="auto"/>
        <w:shd w:val="clear" w:color="auto" w:fill="auto"/>
        <w:vertAlign w:val="baseline"/>
      </w:rPr>
    </w:lvl>
    <w:lvl w:ilvl="3" w:tplc="CF8006B6">
      <w:start w:val="1"/>
      <w:numFmt w:val="bullet"/>
      <w:lvlText w:val="•"/>
      <w:lvlJc w:val="left"/>
      <w:pPr>
        <w:ind w:left="2880"/>
      </w:pPr>
      <w:rPr>
        <w:rFonts w:ascii="Calibri" w:eastAsia="Calibri" w:hAnsi="Calibri" w:cs="Calibri"/>
        <w:b w:val="0"/>
        <w:i w:val="0"/>
        <w:strike w:val="0"/>
        <w:dstrike w:val="0"/>
        <w:color w:val="004054"/>
        <w:sz w:val="20"/>
        <w:szCs w:val="20"/>
        <w:u w:val="none" w:color="000000"/>
        <w:bdr w:val="none" w:sz="0" w:space="0" w:color="auto"/>
        <w:shd w:val="clear" w:color="auto" w:fill="auto"/>
        <w:vertAlign w:val="baseline"/>
      </w:rPr>
    </w:lvl>
    <w:lvl w:ilvl="4" w:tplc="E7CC1C7A">
      <w:start w:val="1"/>
      <w:numFmt w:val="bullet"/>
      <w:lvlText w:val="o"/>
      <w:lvlJc w:val="left"/>
      <w:pPr>
        <w:ind w:left="3600"/>
      </w:pPr>
      <w:rPr>
        <w:rFonts w:ascii="Calibri" w:eastAsia="Calibri" w:hAnsi="Calibri" w:cs="Calibri"/>
        <w:b w:val="0"/>
        <w:i w:val="0"/>
        <w:strike w:val="0"/>
        <w:dstrike w:val="0"/>
        <w:color w:val="004054"/>
        <w:sz w:val="20"/>
        <w:szCs w:val="20"/>
        <w:u w:val="none" w:color="000000"/>
        <w:bdr w:val="none" w:sz="0" w:space="0" w:color="auto"/>
        <w:shd w:val="clear" w:color="auto" w:fill="auto"/>
        <w:vertAlign w:val="baseline"/>
      </w:rPr>
    </w:lvl>
    <w:lvl w:ilvl="5" w:tplc="E9B091A6">
      <w:start w:val="1"/>
      <w:numFmt w:val="bullet"/>
      <w:lvlText w:val="▪"/>
      <w:lvlJc w:val="left"/>
      <w:pPr>
        <w:ind w:left="4320"/>
      </w:pPr>
      <w:rPr>
        <w:rFonts w:ascii="Calibri" w:eastAsia="Calibri" w:hAnsi="Calibri" w:cs="Calibri"/>
        <w:b w:val="0"/>
        <w:i w:val="0"/>
        <w:strike w:val="0"/>
        <w:dstrike w:val="0"/>
        <w:color w:val="004054"/>
        <w:sz w:val="20"/>
        <w:szCs w:val="20"/>
        <w:u w:val="none" w:color="000000"/>
        <w:bdr w:val="none" w:sz="0" w:space="0" w:color="auto"/>
        <w:shd w:val="clear" w:color="auto" w:fill="auto"/>
        <w:vertAlign w:val="baseline"/>
      </w:rPr>
    </w:lvl>
    <w:lvl w:ilvl="6" w:tplc="144C06BA">
      <w:start w:val="1"/>
      <w:numFmt w:val="bullet"/>
      <w:lvlText w:val="•"/>
      <w:lvlJc w:val="left"/>
      <w:pPr>
        <w:ind w:left="5040"/>
      </w:pPr>
      <w:rPr>
        <w:rFonts w:ascii="Calibri" w:eastAsia="Calibri" w:hAnsi="Calibri" w:cs="Calibri"/>
        <w:b w:val="0"/>
        <w:i w:val="0"/>
        <w:strike w:val="0"/>
        <w:dstrike w:val="0"/>
        <w:color w:val="004054"/>
        <w:sz w:val="20"/>
        <w:szCs w:val="20"/>
        <w:u w:val="none" w:color="000000"/>
        <w:bdr w:val="none" w:sz="0" w:space="0" w:color="auto"/>
        <w:shd w:val="clear" w:color="auto" w:fill="auto"/>
        <w:vertAlign w:val="baseline"/>
      </w:rPr>
    </w:lvl>
    <w:lvl w:ilvl="7" w:tplc="7C089AF2">
      <w:start w:val="1"/>
      <w:numFmt w:val="bullet"/>
      <w:lvlText w:val="o"/>
      <w:lvlJc w:val="left"/>
      <w:pPr>
        <w:ind w:left="5760"/>
      </w:pPr>
      <w:rPr>
        <w:rFonts w:ascii="Calibri" w:eastAsia="Calibri" w:hAnsi="Calibri" w:cs="Calibri"/>
        <w:b w:val="0"/>
        <w:i w:val="0"/>
        <w:strike w:val="0"/>
        <w:dstrike w:val="0"/>
        <w:color w:val="004054"/>
        <w:sz w:val="20"/>
        <w:szCs w:val="20"/>
        <w:u w:val="none" w:color="000000"/>
        <w:bdr w:val="none" w:sz="0" w:space="0" w:color="auto"/>
        <w:shd w:val="clear" w:color="auto" w:fill="auto"/>
        <w:vertAlign w:val="baseline"/>
      </w:rPr>
    </w:lvl>
    <w:lvl w:ilvl="8" w:tplc="C6789448">
      <w:start w:val="1"/>
      <w:numFmt w:val="bullet"/>
      <w:lvlText w:val="▪"/>
      <w:lvlJc w:val="left"/>
      <w:pPr>
        <w:ind w:left="6480"/>
      </w:pPr>
      <w:rPr>
        <w:rFonts w:ascii="Calibri" w:eastAsia="Calibri" w:hAnsi="Calibri" w:cs="Calibri"/>
        <w:b w:val="0"/>
        <w:i w:val="0"/>
        <w:strike w:val="0"/>
        <w:dstrike w:val="0"/>
        <w:color w:val="004054"/>
        <w:sz w:val="20"/>
        <w:szCs w:val="20"/>
        <w:u w:val="none" w:color="000000"/>
        <w:bdr w:val="none" w:sz="0" w:space="0" w:color="auto"/>
        <w:shd w:val="clear" w:color="auto" w:fill="auto"/>
        <w:vertAlign w:val="baseline"/>
      </w:rPr>
    </w:lvl>
  </w:abstractNum>
  <w:abstractNum w:abstractNumId="7" w15:restartNumberingAfterBreak="0">
    <w:nsid w:val="6C4319F0"/>
    <w:multiLevelType w:val="multilevel"/>
    <w:tmpl w:val="6A90A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7"/>
  </w:num>
  <w:num w:numId="4">
    <w:abstractNumId w:val="5"/>
  </w:num>
  <w:num w:numId="5">
    <w:abstractNumId w:val="0"/>
  </w:num>
  <w:num w:numId="6">
    <w:abstractNumId w:val="4"/>
  </w:num>
  <w:num w:numId="7">
    <w:abstractNumId w:val="3"/>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2AF"/>
    <w:rsid w:val="00005177"/>
    <w:rsid w:val="00005C0C"/>
    <w:rsid w:val="00014871"/>
    <w:rsid w:val="0002485D"/>
    <w:rsid w:val="00095B35"/>
    <w:rsid w:val="000A6797"/>
    <w:rsid w:val="000C0532"/>
    <w:rsid w:val="00127D8C"/>
    <w:rsid w:val="001356BB"/>
    <w:rsid w:val="001B0E2E"/>
    <w:rsid w:val="001D5CD1"/>
    <w:rsid w:val="001E663F"/>
    <w:rsid w:val="001F4BF6"/>
    <w:rsid w:val="00242244"/>
    <w:rsid w:val="002A098E"/>
    <w:rsid w:val="002B6A56"/>
    <w:rsid w:val="002C5607"/>
    <w:rsid w:val="00322310"/>
    <w:rsid w:val="0033257A"/>
    <w:rsid w:val="00342C39"/>
    <w:rsid w:val="00357263"/>
    <w:rsid w:val="003843D9"/>
    <w:rsid w:val="00412269"/>
    <w:rsid w:val="00414403"/>
    <w:rsid w:val="004A684C"/>
    <w:rsid w:val="004B1FEA"/>
    <w:rsid w:val="004C3B4C"/>
    <w:rsid w:val="004D5FA2"/>
    <w:rsid w:val="004F0AAF"/>
    <w:rsid w:val="004F7D99"/>
    <w:rsid w:val="005253E2"/>
    <w:rsid w:val="00536AE8"/>
    <w:rsid w:val="00561D71"/>
    <w:rsid w:val="00590418"/>
    <w:rsid w:val="0059227A"/>
    <w:rsid w:val="005D50FD"/>
    <w:rsid w:val="005E146D"/>
    <w:rsid w:val="00614B18"/>
    <w:rsid w:val="00623963"/>
    <w:rsid w:val="00625BD3"/>
    <w:rsid w:val="0065414E"/>
    <w:rsid w:val="007158D4"/>
    <w:rsid w:val="007471BB"/>
    <w:rsid w:val="00761BD7"/>
    <w:rsid w:val="00774A9E"/>
    <w:rsid w:val="007C5894"/>
    <w:rsid w:val="00844B5B"/>
    <w:rsid w:val="0086680C"/>
    <w:rsid w:val="008727E7"/>
    <w:rsid w:val="00875586"/>
    <w:rsid w:val="008A2AD0"/>
    <w:rsid w:val="008A3814"/>
    <w:rsid w:val="008C4771"/>
    <w:rsid w:val="008F117D"/>
    <w:rsid w:val="0090521E"/>
    <w:rsid w:val="00933263"/>
    <w:rsid w:val="00987DA4"/>
    <w:rsid w:val="009A3CE0"/>
    <w:rsid w:val="009D008F"/>
    <w:rsid w:val="009E52AF"/>
    <w:rsid w:val="009E592E"/>
    <w:rsid w:val="00A007C5"/>
    <w:rsid w:val="00A11609"/>
    <w:rsid w:val="00A1770B"/>
    <w:rsid w:val="00A82D8E"/>
    <w:rsid w:val="00AA5118"/>
    <w:rsid w:val="00AF4ECA"/>
    <w:rsid w:val="00B0325B"/>
    <w:rsid w:val="00C02A07"/>
    <w:rsid w:val="00C02AFD"/>
    <w:rsid w:val="00C730A4"/>
    <w:rsid w:val="00C77AD5"/>
    <w:rsid w:val="00CD0D01"/>
    <w:rsid w:val="00CE4E27"/>
    <w:rsid w:val="00CF1509"/>
    <w:rsid w:val="00CF6F3C"/>
    <w:rsid w:val="00D52FE8"/>
    <w:rsid w:val="00D91809"/>
    <w:rsid w:val="00E32A17"/>
    <w:rsid w:val="00E715FB"/>
    <w:rsid w:val="00E8265F"/>
    <w:rsid w:val="00E92B3A"/>
    <w:rsid w:val="00EC45C9"/>
    <w:rsid w:val="00EE12D2"/>
    <w:rsid w:val="00F02FE4"/>
    <w:rsid w:val="00F27669"/>
    <w:rsid w:val="00F74D93"/>
    <w:rsid w:val="00F823D6"/>
    <w:rsid w:val="00FB5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E6CE72"/>
  <w15:chartTrackingRefBased/>
  <w15:docId w15:val="{3B75D38E-ECE7-E541-AC6F-C5466FC4A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894"/>
    <w:pPr>
      <w:spacing w:after="160" w:line="259" w:lineRule="auto"/>
    </w:pPr>
  </w:style>
  <w:style w:type="paragraph" w:styleId="Heading1">
    <w:name w:val="heading 1"/>
    <w:basedOn w:val="Normal"/>
    <w:next w:val="Normal"/>
    <w:uiPriority w:val="9"/>
    <w:qFormat/>
    <w:pPr>
      <w:keepNext/>
      <w:keepLines/>
      <w:spacing w:before="120"/>
      <w:outlineLvl w:val="0"/>
    </w:pPr>
    <w:rPr>
      <w:b/>
      <w:color w:val="50879F"/>
      <w:sz w:val="40"/>
      <w:szCs w:val="40"/>
    </w:rPr>
  </w:style>
  <w:style w:type="paragraph" w:styleId="Heading2">
    <w:name w:val="heading 2"/>
    <w:basedOn w:val="Normal"/>
    <w:next w:val="Normal"/>
    <w:uiPriority w:val="9"/>
    <w:qFormat/>
    <w:pPr>
      <w:keepNext/>
      <w:keepLines/>
      <w:spacing w:before="120"/>
      <w:outlineLvl w:val="1"/>
    </w:pPr>
    <w:rPr>
      <w:color w:val="464742"/>
      <w:sz w:val="28"/>
      <w:szCs w:val="28"/>
    </w:rPr>
  </w:style>
  <w:style w:type="paragraph" w:styleId="Heading3">
    <w:name w:val="heading 3"/>
    <w:basedOn w:val="Normal"/>
    <w:next w:val="Normal"/>
    <w:uiPriority w:val="9"/>
    <w:qFormat/>
    <w:pPr>
      <w:keepNext/>
      <w:keepLines/>
      <w:spacing w:before="40" w:after="0"/>
      <w:outlineLvl w:val="2"/>
    </w:pPr>
    <w:rPr>
      <w:rFonts w:ascii="Calibri" w:eastAsia="Calibri" w:hAnsi="Calibri" w:cs="Calibri"/>
      <w:color w:val="051C22"/>
      <w:sz w:val="24"/>
      <w:szCs w:val="24"/>
    </w:rPr>
  </w:style>
  <w:style w:type="paragraph" w:styleId="Heading4">
    <w:name w:val="heading 4"/>
    <w:basedOn w:val="Normal"/>
    <w:next w:val="Normal"/>
    <w:uiPriority w:val="9"/>
    <w:qFormat/>
    <w:pPr>
      <w:keepNext/>
      <w:keepLines/>
      <w:spacing w:before="240" w:after="40"/>
      <w:outlineLvl w:val="3"/>
    </w:pPr>
    <w:rPr>
      <w:b/>
      <w:sz w:val="24"/>
      <w:szCs w:val="24"/>
    </w:rPr>
  </w:style>
  <w:style w:type="paragraph" w:styleId="Heading5">
    <w:name w:val="heading 5"/>
    <w:basedOn w:val="Normal"/>
    <w:next w:val="Normal"/>
    <w:uiPriority w:val="9"/>
    <w:qFormat/>
    <w:pPr>
      <w:keepNext/>
      <w:keepLines/>
      <w:spacing w:before="220" w:after="40"/>
      <w:outlineLvl w:val="4"/>
    </w:pPr>
    <w:rPr>
      <w:b/>
      <w:sz w:val="22"/>
      <w:szCs w:val="22"/>
    </w:rPr>
  </w:style>
  <w:style w:type="paragraph" w:styleId="Heading6">
    <w:name w:val="heading 6"/>
    <w:basedOn w:val="Normal"/>
    <w:next w:val="Normal"/>
    <w:uiPriority w:val="9"/>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color w:val="0B3945"/>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uiPriority w:val="99"/>
    <w:semiHidden/>
    <w:unhideWhenUsed/>
    <w:rPr>
      <w:sz w:val="16"/>
      <w:szCs w:val="16"/>
    </w:rPr>
  </w:style>
  <w:style w:type="paragraph" w:styleId="BalloonText">
    <w:name w:val="Balloon Text"/>
    <w:basedOn w:val="Normal"/>
    <w:link w:val="BalloonTextChar"/>
    <w:uiPriority w:val="99"/>
    <w:semiHidden/>
    <w:unhideWhenUsed/>
    <w:rsid w:val="008F117D"/>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F117D"/>
    <w:rPr>
      <w:rFonts w:ascii="Segoe UI" w:hAnsi="Segoe UI" w:cs="Segoe UI"/>
      <w:sz w:val="18"/>
      <w:szCs w:val="18"/>
    </w:rPr>
  </w:style>
  <w:style w:type="paragraph" w:styleId="Header">
    <w:name w:val="header"/>
    <w:basedOn w:val="Normal"/>
    <w:link w:val="HeaderChar"/>
    <w:uiPriority w:val="99"/>
    <w:unhideWhenUsed/>
    <w:rsid w:val="00412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269"/>
  </w:style>
  <w:style w:type="paragraph" w:styleId="Footer">
    <w:name w:val="footer"/>
    <w:basedOn w:val="Normal"/>
    <w:link w:val="FooterChar"/>
    <w:uiPriority w:val="99"/>
    <w:unhideWhenUsed/>
    <w:rsid w:val="00412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269"/>
  </w:style>
  <w:style w:type="paragraph" w:styleId="CommentSubject">
    <w:name w:val="annotation subject"/>
    <w:basedOn w:val="CommentText"/>
    <w:next w:val="CommentText"/>
    <w:link w:val="CommentSubjectChar"/>
    <w:uiPriority w:val="99"/>
    <w:semiHidden/>
    <w:unhideWhenUsed/>
    <w:rsid w:val="004A684C"/>
    <w:rPr>
      <w:b/>
      <w:bCs/>
    </w:rPr>
  </w:style>
  <w:style w:type="character" w:customStyle="1" w:styleId="CommentSubjectChar">
    <w:name w:val="Comment Subject Char"/>
    <w:link w:val="CommentSubject"/>
    <w:uiPriority w:val="99"/>
    <w:semiHidden/>
    <w:rsid w:val="004A684C"/>
    <w:rPr>
      <w:b/>
      <w:bCs/>
    </w:rPr>
  </w:style>
  <w:style w:type="paragraph" w:customStyle="1" w:styleId="Bulletstyle1">
    <w:name w:val="Bullet style 1"/>
    <w:basedOn w:val="Normal"/>
    <w:qFormat/>
    <w:rsid w:val="007C5894"/>
    <w:pPr>
      <w:numPr>
        <w:numId w:val="6"/>
      </w:numPr>
      <w:spacing w:line="240" w:lineRule="auto"/>
    </w:pPr>
    <w:rPr>
      <w:i/>
    </w:rPr>
  </w:style>
  <w:style w:type="paragraph" w:customStyle="1" w:styleId="Bulletstyle2">
    <w:name w:val="Bullet style 2"/>
    <w:basedOn w:val="Normal"/>
    <w:qFormat/>
    <w:rsid w:val="007C5894"/>
    <w:pPr>
      <w:numPr>
        <w:numId w:val="1"/>
      </w:numPr>
      <w:spacing w:line="240" w:lineRule="auto"/>
    </w:pPr>
    <w:rPr>
      <w:i/>
    </w:rPr>
  </w:style>
  <w:style w:type="paragraph" w:customStyle="1" w:styleId="Liststyle1">
    <w:name w:val="List style 1"/>
    <w:basedOn w:val="Normal"/>
    <w:qFormat/>
    <w:rsid w:val="00CF1509"/>
    <w:pPr>
      <w:numPr>
        <w:numId w:val="8"/>
      </w:numPr>
      <w:spacing w:line="240" w:lineRule="auto"/>
    </w:pPr>
  </w:style>
  <w:style w:type="paragraph" w:customStyle="1" w:styleId="Liststyle2">
    <w:name w:val="List style 2"/>
    <w:basedOn w:val="Normal"/>
    <w:qFormat/>
    <w:rsid w:val="00CF1509"/>
    <w:pPr>
      <w:numPr>
        <w:ilvl w:val="1"/>
        <w:numId w:val="8"/>
      </w:numPr>
      <w:spacing w:after="0" w:line="240" w:lineRule="auto"/>
    </w:pPr>
  </w:style>
  <w:style w:type="paragraph" w:customStyle="1" w:styleId="Liststyle3">
    <w:name w:val="List style 3"/>
    <w:basedOn w:val="Normal"/>
    <w:qFormat/>
    <w:rsid w:val="007C5894"/>
    <w:pPr>
      <w:numPr>
        <w:ilvl w:val="2"/>
        <w:numId w:val="4"/>
      </w:numPr>
      <w:spacing w:line="240" w:lineRule="auto"/>
      <w:ind w:left="1080"/>
    </w:pPr>
    <w:rPr>
      <w:i/>
    </w:rPr>
  </w:style>
  <w:style w:type="character" w:styleId="Hyperlink">
    <w:name w:val="Hyperlink"/>
    <w:uiPriority w:val="99"/>
    <w:unhideWhenUsed/>
    <w:rsid w:val="00A1770B"/>
    <w:rPr>
      <w:color w:val="0000FF"/>
      <w:u w:val="single"/>
    </w:rPr>
  </w:style>
  <w:style w:type="character" w:styleId="UnresolvedMention">
    <w:name w:val="Unresolved Mention"/>
    <w:uiPriority w:val="99"/>
    <w:semiHidden/>
    <w:unhideWhenUsed/>
    <w:rsid w:val="00A1770B"/>
    <w:rPr>
      <w:color w:val="605E5C"/>
      <w:shd w:val="clear" w:color="auto" w:fill="E1DFDD"/>
    </w:rPr>
  </w:style>
  <w:style w:type="paragraph" w:styleId="NormalWeb">
    <w:name w:val="Normal (Web)"/>
    <w:basedOn w:val="Normal"/>
    <w:uiPriority w:val="99"/>
    <w:semiHidden/>
    <w:unhideWhenUsed/>
    <w:rsid w:val="00774A9E"/>
    <w:pPr>
      <w:spacing w:before="100" w:beforeAutospacing="1" w:after="100" w:afterAutospacing="1" w:line="240" w:lineRule="auto"/>
    </w:pPr>
    <w:rPr>
      <w:rFonts w:ascii="Times New Roman" w:eastAsia="Times New Roman" w:hAnsi="Times New Roman" w:cs="Times New Roman"/>
      <w:sz w:val="24"/>
      <w:szCs w:val="24"/>
    </w:rPr>
  </w:style>
  <w:style w:type="paragraph" w:styleId="ColorfulShading-Accent1">
    <w:name w:val="Colorful Shading Accent 1"/>
    <w:hidden/>
    <w:uiPriority w:val="99"/>
    <w:semiHidden/>
    <w:rsid w:val="00F27669"/>
  </w:style>
  <w:style w:type="paragraph" w:styleId="Revision">
    <w:name w:val="Revision"/>
    <w:hidden/>
    <w:uiPriority w:val="71"/>
    <w:rsid w:val="00592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27923">
      <w:bodyDiv w:val="1"/>
      <w:marLeft w:val="0"/>
      <w:marRight w:val="0"/>
      <w:marTop w:val="0"/>
      <w:marBottom w:val="0"/>
      <w:divBdr>
        <w:top w:val="none" w:sz="0" w:space="0" w:color="auto"/>
        <w:left w:val="none" w:sz="0" w:space="0" w:color="auto"/>
        <w:bottom w:val="none" w:sz="0" w:space="0" w:color="auto"/>
        <w:right w:val="none" w:sz="0" w:space="0" w:color="auto"/>
      </w:divBdr>
    </w:div>
    <w:div w:id="239485825">
      <w:bodyDiv w:val="1"/>
      <w:marLeft w:val="0"/>
      <w:marRight w:val="0"/>
      <w:marTop w:val="0"/>
      <w:marBottom w:val="0"/>
      <w:divBdr>
        <w:top w:val="none" w:sz="0" w:space="0" w:color="auto"/>
        <w:left w:val="none" w:sz="0" w:space="0" w:color="auto"/>
        <w:bottom w:val="none" w:sz="0" w:space="0" w:color="auto"/>
        <w:right w:val="none" w:sz="0" w:space="0" w:color="auto"/>
      </w:divBdr>
    </w:div>
    <w:div w:id="490101170">
      <w:bodyDiv w:val="1"/>
      <w:marLeft w:val="0"/>
      <w:marRight w:val="0"/>
      <w:marTop w:val="0"/>
      <w:marBottom w:val="0"/>
      <w:divBdr>
        <w:top w:val="none" w:sz="0" w:space="0" w:color="auto"/>
        <w:left w:val="none" w:sz="0" w:space="0" w:color="auto"/>
        <w:bottom w:val="none" w:sz="0" w:space="0" w:color="auto"/>
        <w:right w:val="none" w:sz="0" w:space="0" w:color="auto"/>
      </w:divBdr>
    </w:div>
    <w:div w:id="518003885">
      <w:bodyDiv w:val="1"/>
      <w:marLeft w:val="0"/>
      <w:marRight w:val="0"/>
      <w:marTop w:val="0"/>
      <w:marBottom w:val="0"/>
      <w:divBdr>
        <w:top w:val="none" w:sz="0" w:space="0" w:color="auto"/>
        <w:left w:val="none" w:sz="0" w:space="0" w:color="auto"/>
        <w:bottom w:val="none" w:sz="0" w:space="0" w:color="auto"/>
        <w:right w:val="none" w:sz="0" w:space="0" w:color="auto"/>
      </w:divBdr>
    </w:div>
    <w:div w:id="622462342">
      <w:bodyDiv w:val="1"/>
      <w:marLeft w:val="0"/>
      <w:marRight w:val="0"/>
      <w:marTop w:val="0"/>
      <w:marBottom w:val="0"/>
      <w:divBdr>
        <w:top w:val="none" w:sz="0" w:space="0" w:color="auto"/>
        <w:left w:val="none" w:sz="0" w:space="0" w:color="auto"/>
        <w:bottom w:val="none" w:sz="0" w:space="0" w:color="auto"/>
        <w:right w:val="none" w:sz="0" w:space="0" w:color="auto"/>
      </w:divBdr>
    </w:div>
    <w:div w:id="900869095">
      <w:bodyDiv w:val="1"/>
      <w:marLeft w:val="0"/>
      <w:marRight w:val="0"/>
      <w:marTop w:val="0"/>
      <w:marBottom w:val="0"/>
      <w:divBdr>
        <w:top w:val="none" w:sz="0" w:space="0" w:color="auto"/>
        <w:left w:val="none" w:sz="0" w:space="0" w:color="auto"/>
        <w:bottom w:val="none" w:sz="0" w:space="0" w:color="auto"/>
        <w:right w:val="none" w:sz="0" w:space="0" w:color="auto"/>
      </w:divBdr>
    </w:div>
    <w:div w:id="935482402">
      <w:bodyDiv w:val="1"/>
      <w:marLeft w:val="0"/>
      <w:marRight w:val="0"/>
      <w:marTop w:val="0"/>
      <w:marBottom w:val="0"/>
      <w:divBdr>
        <w:top w:val="none" w:sz="0" w:space="0" w:color="auto"/>
        <w:left w:val="none" w:sz="0" w:space="0" w:color="auto"/>
        <w:bottom w:val="none" w:sz="0" w:space="0" w:color="auto"/>
        <w:right w:val="none" w:sz="0" w:space="0" w:color="auto"/>
      </w:divBdr>
    </w:div>
    <w:div w:id="1187016767">
      <w:bodyDiv w:val="1"/>
      <w:marLeft w:val="0"/>
      <w:marRight w:val="0"/>
      <w:marTop w:val="0"/>
      <w:marBottom w:val="0"/>
      <w:divBdr>
        <w:top w:val="none" w:sz="0" w:space="0" w:color="auto"/>
        <w:left w:val="none" w:sz="0" w:space="0" w:color="auto"/>
        <w:bottom w:val="none" w:sz="0" w:space="0" w:color="auto"/>
        <w:right w:val="none" w:sz="0" w:space="0" w:color="auto"/>
      </w:divBdr>
    </w:div>
    <w:div w:id="1276984580">
      <w:bodyDiv w:val="1"/>
      <w:marLeft w:val="0"/>
      <w:marRight w:val="0"/>
      <w:marTop w:val="0"/>
      <w:marBottom w:val="0"/>
      <w:divBdr>
        <w:top w:val="none" w:sz="0" w:space="0" w:color="auto"/>
        <w:left w:val="none" w:sz="0" w:space="0" w:color="auto"/>
        <w:bottom w:val="none" w:sz="0" w:space="0" w:color="auto"/>
        <w:right w:val="none" w:sz="0" w:space="0" w:color="auto"/>
      </w:divBdr>
    </w:div>
    <w:div w:id="1297296987">
      <w:bodyDiv w:val="1"/>
      <w:marLeft w:val="0"/>
      <w:marRight w:val="0"/>
      <w:marTop w:val="0"/>
      <w:marBottom w:val="0"/>
      <w:divBdr>
        <w:top w:val="none" w:sz="0" w:space="0" w:color="auto"/>
        <w:left w:val="none" w:sz="0" w:space="0" w:color="auto"/>
        <w:bottom w:val="none" w:sz="0" w:space="0" w:color="auto"/>
        <w:right w:val="none" w:sz="0" w:space="0" w:color="auto"/>
      </w:divBdr>
    </w:div>
    <w:div w:id="1344673834">
      <w:bodyDiv w:val="1"/>
      <w:marLeft w:val="0"/>
      <w:marRight w:val="0"/>
      <w:marTop w:val="0"/>
      <w:marBottom w:val="0"/>
      <w:divBdr>
        <w:top w:val="none" w:sz="0" w:space="0" w:color="auto"/>
        <w:left w:val="none" w:sz="0" w:space="0" w:color="auto"/>
        <w:bottom w:val="none" w:sz="0" w:space="0" w:color="auto"/>
        <w:right w:val="none" w:sz="0" w:space="0" w:color="auto"/>
      </w:divBdr>
    </w:div>
    <w:div w:id="1385443826">
      <w:bodyDiv w:val="1"/>
      <w:marLeft w:val="0"/>
      <w:marRight w:val="0"/>
      <w:marTop w:val="0"/>
      <w:marBottom w:val="0"/>
      <w:divBdr>
        <w:top w:val="none" w:sz="0" w:space="0" w:color="auto"/>
        <w:left w:val="none" w:sz="0" w:space="0" w:color="auto"/>
        <w:bottom w:val="none" w:sz="0" w:space="0" w:color="auto"/>
        <w:right w:val="none" w:sz="0" w:space="0" w:color="auto"/>
      </w:divBdr>
    </w:div>
    <w:div w:id="1496216500">
      <w:bodyDiv w:val="1"/>
      <w:marLeft w:val="0"/>
      <w:marRight w:val="0"/>
      <w:marTop w:val="0"/>
      <w:marBottom w:val="0"/>
      <w:divBdr>
        <w:top w:val="none" w:sz="0" w:space="0" w:color="auto"/>
        <w:left w:val="none" w:sz="0" w:space="0" w:color="auto"/>
        <w:bottom w:val="none" w:sz="0" w:space="0" w:color="auto"/>
        <w:right w:val="none" w:sz="0" w:space="0" w:color="auto"/>
      </w:divBdr>
    </w:div>
    <w:div w:id="1653945843">
      <w:bodyDiv w:val="1"/>
      <w:marLeft w:val="0"/>
      <w:marRight w:val="0"/>
      <w:marTop w:val="0"/>
      <w:marBottom w:val="0"/>
      <w:divBdr>
        <w:top w:val="none" w:sz="0" w:space="0" w:color="auto"/>
        <w:left w:val="none" w:sz="0" w:space="0" w:color="auto"/>
        <w:bottom w:val="none" w:sz="0" w:space="0" w:color="auto"/>
        <w:right w:val="none" w:sz="0" w:space="0" w:color="auto"/>
      </w:divBdr>
    </w:div>
    <w:div w:id="1892231484">
      <w:bodyDiv w:val="1"/>
      <w:marLeft w:val="0"/>
      <w:marRight w:val="0"/>
      <w:marTop w:val="0"/>
      <w:marBottom w:val="0"/>
      <w:divBdr>
        <w:top w:val="none" w:sz="0" w:space="0" w:color="auto"/>
        <w:left w:val="none" w:sz="0" w:space="0" w:color="auto"/>
        <w:bottom w:val="none" w:sz="0" w:space="0" w:color="auto"/>
        <w:right w:val="none" w:sz="0" w:space="0" w:color="auto"/>
      </w:divBdr>
    </w:div>
    <w:div w:id="1905675960">
      <w:bodyDiv w:val="1"/>
      <w:marLeft w:val="0"/>
      <w:marRight w:val="0"/>
      <w:marTop w:val="0"/>
      <w:marBottom w:val="0"/>
      <w:divBdr>
        <w:top w:val="none" w:sz="0" w:space="0" w:color="auto"/>
        <w:left w:val="none" w:sz="0" w:space="0" w:color="auto"/>
        <w:bottom w:val="none" w:sz="0" w:space="0" w:color="auto"/>
        <w:right w:val="none" w:sz="0" w:space="0" w:color="auto"/>
      </w:divBdr>
    </w:div>
    <w:div w:id="2122335323">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Fallt, Kelly</dc:creator>
  <cp:keywords/>
  <cp:lastModifiedBy>Dave Humphreys</cp:lastModifiedBy>
  <cp:revision>2</cp:revision>
  <dcterms:created xsi:type="dcterms:W3CDTF">2020-05-21T18:49:00Z</dcterms:created>
  <dcterms:modified xsi:type="dcterms:W3CDTF">2020-05-21T18:49:00Z</dcterms:modified>
</cp:coreProperties>
</file>