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C2" w:rsidRPr="00851E24" w:rsidRDefault="006668C2" w:rsidP="006668C2">
      <w:pPr>
        <w:spacing w:after="0"/>
        <w:jc w:val="center"/>
        <w:rPr>
          <w:rFonts w:eastAsia="Times New Roman" w:cstheme="minorHAnsi"/>
          <w:b/>
          <w:sz w:val="24"/>
          <w:szCs w:val="24"/>
        </w:rPr>
      </w:pPr>
      <w:bookmarkStart w:id="0" w:name="_GoBack"/>
      <w:bookmarkEnd w:id="0"/>
      <w:proofErr w:type="gramStart"/>
      <w:r w:rsidRPr="00851E24">
        <w:rPr>
          <w:rFonts w:eastAsia="Times New Roman" w:cstheme="minorHAnsi"/>
          <w:b/>
          <w:sz w:val="24"/>
          <w:szCs w:val="24"/>
        </w:rPr>
        <w:t>mHealth</w:t>
      </w:r>
      <w:proofErr w:type="gramEnd"/>
      <w:r w:rsidRPr="00851E24">
        <w:rPr>
          <w:rFonts w:eastAsia="Times New Roman" w:cstheme="minorHAnsi"/>
          <w:b/>
          <w:sz w:val="24"/>
          <w:szCs w:val="24"/>
        </w:rPr>
        <w:t xml:space="preserve"> Working Group Meeting</w:t>
      </w:r>
    </w:p>
    <w:p w:rsidR="006668C2" w:rsidRPr="00851E24" w:rsidRDefault="006668C2" w:rsidP="006668C2">
      <w:pPr>
        <w:spacing w:after="0"/>
        <w:jc w:val="center"/>
        <w:rPr>
          <w:rFonts w:eastAsia="Times New Roman" w:cstheme="minorHAnsi"/>
          <w:b/>
          <w:sz w:val="24"/>
          <w:szCs w:val="24"/>
        </w:rPr>
      </w:pPr>
      <w:r w:rsidRPr="00851E24">
        <w:rPr>
          <w:rFonts w:eastAsia="Times New Roman" w:cstheme="minorHAnsi"/>
          <w:b/>
          <w:sz w:val="24"/>
          <w:szCs w:val="24"/>
        </w:rPr>
        <w:t xml:space="preserve">March 16, </w:t>
      </w:r>
      <w:r w:rsidR="006B7DB2">
        <w:rPr>
          <w:rFonts w:eastAsia="Times New Roman" w:cstheme="minorHAnsi"/>
          <w:b/>
          <w:sz w:val="24"/>
          <w:szCs w:val="24"/>
        </w:rPr>
        <w:t xml:space="preserve">2012 </w:t>
      </w:r>
      <w:r w:rsidRPr="00851E24">
        <w:rPr>
          <w:rFonts w:eastAsia="Times New Roman" w:cstheme="minorHAnsi"/>
          <w:b/>
          <w:sz w:val="24"/>
          <w:szCs w:val="24"/>
        </w:rPr>
        <w:t>9:30 - 11:30 am EDT</w:t>
      </w:r>
    </w:p>
    <w:p w:rsidR="006668C2" w:rsidRPr="00851E24" w:rsidRDefault="006668C2" w:rsidP="006668C2">
      <w:pPr>
        <w:spacing w:after="0"/>
        <w:jc w:val="center"/>
        <w:rPr>
          <w:rFonts w:eastAsia="Times New Roman" w:cstheme="minorHAnsi"/>
          <w:b/>
          <w:sz w:val="24"/>
          <w:szCs w:val="24"/>
        </w:rPr>
      </w:pPr>
      <w:r w:rsidRPr="00851E24">
        <w:rPr>
          <w:rFonts w:eastAsia="Times New Roman" w:cstheme="minorHAnsi"/>
          <w:b/>
          <w:sz w:val="24"/>
          <w:szCs w:val="24"/>
        </w:rPr>
        <w:t xml:space="preserve">Held at </w:t>
      </w:r>
      <w:proofErr w:type="spellStart"/>
      <w:r w:rsidRPr="00851E24">
        <w:rPr>
          <w:rFonts w:eastAsia="Times New Roman" w:cstheme="minorHAnsi"/>
          <w:b/>
          <w:sz w:val="24"/>
          <w:szCs w:val="24"/>
        </w:rPr>
        <w:t>Abt</w:t>
      </w:r>
      <w:proofErr w:type="spellEnd"/>
      <w:r w:rsidRPr="00851E24">
        <w:rPr>
          <w:rFonts w:eastAsia="Times New Roman" w:cstheme="minorHAnsi"/>
          <w:b/>
          <w:sz w:val="24"/>
          <w:szCs w:val="24"/>
        </w:rPr>
        <w:t xml:space="preserve"> Associates, Bethesda, MD </w:t>
      </w:r>
    </w:p>
    <w:p w:rsidR="006668C2" w:rsidRPr="00851E24" w:rsidRDefault="006668C2" w:rsidP="006668C2">
      <w:pPr>
        <w:spacing w:after="0"/>
        <w:jc w:val="center"/>
        <w:rPr>
          <w:rFonts w:eastAsia="Times New Roman" w:cstheme="minorHAnsi"/>
          <w:b/>
          <w:sz w:val="24"/>
          <w:szCs w:val="24"/>
          <w:u w:val="single"/>
        </w:rPr>
      </w:pPr>
      <w:r w:rsidRPr="00851E24">
        <w:rPr>
          <w:rFonts w:cstheme="minorHAnsi"/>
          <w:b/>
          <w:sz w:val="24"/>
          <w:szCs w:val="24"/>
          <w:u w:val="single"/>
        </w:rPr>
        <w:t xml:space="preserve">Theme- </w:t>
      </w:r>
      <w:proofErr w:type="spellStart"/>
      <w:r w:rsidRPr="00851E24">
        <w:rPr>
          <w:rFonts w:cstheme="minorHAnsi"/>
          <w:b/>
          <w:sz w:val="24"/>
          <w:szCs w:val="24"/>
          <w:u w:val="single"/>
        </w:rPr>
        <w:t>mBCC</w:t>
      </w:r>
      <w:proofErr w:type="spellEnd"/>
      <w:r w:rsidRPr="00851E24">
        <w:rPr>
          <w:rFonts w:cstheme="minorHAnsi"/>
          <w:b/>
          <w:sz w:val="24"/>
          <w:szCs w:val="24"/>
          <w:u w:val="single"/>
        </w:rPr>
        <w:t xml:space="preserve"> Field Guide</w:t>
      </w:r>
    </w:p>
    <w:p w:rsidR="00A750A5" w:rsidRDefault="00A750A5" w:rsidP="001F0198">
      <w:pPr>
        <w:spacing w:after="0"/>
        <w:rPr>
          <w:rFonts w:cstheme="minorHAnsi"/>
          <w:sz w:val="24"/>
          <w:szCs w:val="24"/>
        </w:rPr>
      </w:pPr>
    </w:p>
    <w:p w:rsidR="00A750A5" w:rsidRDefault="00A750A5" w:rsidP="001F0198">
      <w:pPr>
        <w:spacing w:after="0"/>
        <w:rPr>
          <w:rFonts w:ascii="Calibri" w:eastAsia="Times New Roman" w:hAnsi="Calibri" w:cs="Calibri"/>
        </w:rPr>
      </w:pPr>
    </w:p>
    <w:p w:rsidR="00A750A5" w:rsidRDefault="00A750A5" w:rsidP="001F0198">
      <w:pPr>
        <w:spacing w:after="0"/>
        <w:jc w:val="both"/>
        <w:rPr>
          <w:rFonts w:ascii="Calibri" w:eastAsia="Times New Roman" w:hAnsi="Calibri" w:cs="Calibri"/>
        </w:rPr>
      </w:pPr>
      <w:r w:rsidRPr="00BE4A68">
        <w:rPr>
          <w:rFonts w:ascii="Calibri" w:eastAsia="Times New Roman" w:hAnsi="Calibri" w:cs="Calibri"/>
        </w:rPr>
        <w:t xml:space="preserve">The </w:t>
      </w:r>
      <w:proofErr w:type="spellStart"/>
      <w:r w:rsidR="00DB5C44">
        <w:rPr>
          <w:rFonts w:ascii="Calibri" w:eastAsia="Times New Roman" w:hAnsi="Calibri" w:cs="Calibri"/>
        </w:rPr>
        <w:t>mBCC</w:t>
      </w:r>
      <w:proofErr w:type="spellEnd"/>
      <w:r w:rsidR="00DB5C44">
        <w:rPr>
          <w:rFonts w:ascii="Calibri" w:eastAsia="Times New Roman" w:hAnsi="Calibri" w:cs="Calibri"/>
        </w:rPr>
        <w:t xml:space="preserve"> Field Guide and materials that accompany</w:t>
      </w:r>
      <w:r>
        <w:rPr>
          <w:rFonts w:ascii="Calibri" w:eastAsia="Times New Roman" w:hAnsi="Calibri" w:cs="Calibri"/>
        </w:rPr>
        <w:t xml:space="preserve"> </w:t>
      </w:r>
      <w:r w:rsidRPr="00BE4A68">
        <w:rPr>
          <w:rFonts w:ascii="Calibri" w:eastAsia="Times New Roman" w:hAnsi="Calibri" w:cs="Calibri"/>
        </w:rPr>
        <w:t>these notes</w:t>
      </w:r>
      <w:r w:rsidR="005B707B">
        <w:rPr>
          <w:rFonts w:ascii="Calibri" w:eastAsia="Times New Roman" w:hAnsi="Calibri" w:cs="Calibri"/>
        </w:rPr>
        <w:t xml:space="preserve"> </w:t>
      </w:r>
      <w:r w:rsidRPr="00BE4A68">
        <w:rPr>
          <w:rFonts w:ascii="Calibri" w:eastAsia="Times New Roman" w:hAnsi="Calibri" w:cs="Calibri"/>
        </w:rPr>
        <w:t>are avai</w:t>
      </w:r>
      <w:r>
        <w:rPr>
          <w:rFonts w:ascii="Calibri" w:eastAsia="Times New Roman" w:hAnsi="Calibri" w:cs="Calibri"/>
        </w:rPr>
        <w:t xml:space="preserve">lable on the mHealth </w:t>
      </w:r>
      <w:proofErr w:type="gramStart"/>
      <w:r>
        <w:rPr>
          <w:rFonts w:ascii="Calibri" w:eastAsia="Times New Roman" w:hAnsi="Calibri" w:cs="Calibri"/>
        </w:rPr>
        <w:t xml:space="preserve">Toolkit </w:t>
      </w:r>
      <w:r w:rsidRPr="00BE4A68">
        <w:rPr>
          <w:rFonts w:ascii="Calibri" w:eastAsia="Times New Roman" w:hAnsi="Calibri" w:cs="Calibri"/>
        </w:rPr>
        <w:t xml:space="preserve"> </w:t>
      </w:r>
      <w:proofErr w:type="gramEnd"/>
      <w:r w:rsidR="008939B1">
        <w:fldChar w:fldCharType="begin"/>
      </w:r>
      <w:r w:rsidR="008939B1">
        <w:instrText xml:space="preserve"> HYPERLINK "http://www.k4health.org/toolkits/mhealth/mhealth-working-group-0" </w:instrText>
      </w:r>
      <w:r w:rsidR="008939B1">
        <w:fldChar w:fldCharType="separate"/>
      </w:r>
      <w:r w:rsidRPr="00BE4A68">
        <w:rPr>
          <w:rFonts w:ascii="Calibri" w:eastAsia="Times New Roman" w:hAnsi="Calibri" w:cs="Calibri"/>
          <w:color w:val="0000FF"/>
          <w:u w:val="single"/>
        </w:rPr>
        <w:t>http://www.k4health.org/toolkits/mhealth/mhealth-working-group-0</w:t>
      </w:r>
      <w:r w:rsidR="008939B1">
        <w:rPr>
          <w:rFonts w:ascii="Calibri" w:eastAsia="Times New Roman" w:hAnsi="Calibri" w:cs="Calibri"/>
          <w:color w:val="0000FF"/>
          <w:u w:val="single"/>
        </w:rPr>
        <w:fldChar w:fldCharType="end"/>
      </w:r>
      <w:r w:rsidR="00DB5C44">
        <w:rPr>
          <w:rFonts w:ascii="Calibri" w:eastAsia="Times New Roman" w:hAnsi="Calibri" w:cs="Calibri"/>
        </w:rPr>
        <w:t xml:space="preserve"> and </w:t>
      </w:r>
      <w:hyperlink r:id="rId8" w:history="1">
        <w:r w:rsidRPr="002054A4">
          <w:rPr>
            <w:rStyle w:val="Hyperlink"/>
            <w:rFonts w:ascii="Calibri" w:eastAsia="Times New Roman" w:hAnsi="Calibri" w:cs="Calibri"/>
          </w:rPr>
          <w:t>www.</w:t>
        </w:r>
        <w:r w:rsidRPr="002054A4">
          <w:rPr>
            <w:rStyle w:val="Hyperlink"/>
            <w:rFonts w:cstheme="minorHAnsi"/>
            <w:sz w:val="24"/>
            <w:szCs w:val="24"/>
          </w:rPr>
          <w:t>mbccfieldguide.com</w:t>
        </w:r>
      </w:hyperlink>
      <w:r w:rsidR="005B707B">
        <w:rPr>
          <w:rFonts w:ascii="Calibri" w:eastAsia="Times New Roman" w:hAnsi="Calibri" w:cs="Calibri"/>
        </w:rPr>
        <w:t xml:space="preserve">. </w:t>
      </w:r>
      <w:r>
        <w:rPr>
          <w:rFonts w:cstheme="minorHAnsi"/>
          <w:b/>
          <w:sz w:val="24"/>
          <w:szCs w:val="24"/>
        </w:rPr>
        <w:t xml:space="preserve"> </w:t>
      </w:r>
      <w:r w:rsidRPr="00BE4A68">
        <w:rPr>
          <w:rFonts w:ascii="Calibri" w:eastAsia="Times New Roman" w:hAnsi="Calibri" w:cs="Calibri"/>
        </w:rPr>
        <w:t xml:space="preserve">For questions or comments, please contact Kelly </w:t>
      </w:r>
      <w:proofErr w:type="spellStart"/>
      <w:r w:rsidRPr="00BE4A68">
        <w:rPr>
          <w:rFonts w:ascii="Calibri" w:eastAsia="Times New Roman" w:hAnsi="Calibri" w:cs="Calibri"/>
        </w:rPr>
        <w:t>Keisling</w:t>
      </w:r>
      <w:proofErr w:type="spellEnd"/>
      <w:r w:rsidRPr="00BE4A68">
        <w:rPr>
          <w:rFonts w:ascii="Calibri" w:eastAsia="Times New Roman" w:hAnsi="Calibri" w:cs="Calibri"/>
        </w:rPr>
        <w:t xml:space="preserve"> (</w:t>
      </w:r>
      <w:hyperlink r:id="rId9" w:history="1">
        <w:r w:rsidRPr="00BE4A68">
          <w:rPr>
            <w:rFonts w:ascii="Calibri" w:eastAsia="Times New Roman" w:hAnsi="Calibri" w:cs="Calibri"/>
            <w:color w:val="0000FF"/>
            <w:u w:val="single"/>
          </w:rPr>
          <w:t>Keisling.kelly@gmail.com</w:t>
        </w:r>
      </w:hyperlink>
      <w:r w:rsidRPr="00BE4A68">
        <w:rPr>
          <w:rFonts w:ascii="Calibri" w:eastAsia="Times New Roman" w:hAnsi="Calibri" w:cs="Calibri"/>
        </w:rPr>
        <w:t>) or Laura Raney (</w:t>
      </w:r>
      <w:hyperlink r:id="rId10" w:history="1">
        <w:r w:rsidRPr="00BE4A68">
          <w:rPr>
            <w:rFonts w:ascii="Calibri" w:eastAsia="Times New Roman" w:hAnsi="Calibri" w:cs="Calibri"/>
            <w:color w:val="0000FF"/>
            <w:u w:val="single"/>
          </w:rPr>
          <w:t>lraney@fhi360.org</w:t>
        </w:r>
      </w:hyperlink>
      <w:r w:rsidRPr="00BE4A68">
        <w:rPr>
          <w:rFonts w:ascii="Calibri" w:eastAsia="Times New Roman" w:hAnsi="Calibri" w:cs="Calibri"/>
        </w:rPr>
        <w:t xml:space="preserve">), co-chairs of the mHealth Working Group. </w:t>
      </w:r>
    </w:p>
    <w:p w:rsidR="001F0198" w:rsidRDefault="001F0198" w:rsidP="001F0198">
      <w:pPr>
        <w:spacing w:after="0"/>
        <w:jc w:val="both"/>
        <w:rPr>
          <w:rFonts w:ascii="Calibri" w:eastAsia="Times New Roman" w:hAnsi="Calibri" w:cs="Calibri"/>
        </w:rPr>
      </w:pPr>
    </w:p>
    <w:p w:rsidR="001F0198" w:rsidRPr="001F0198" w:rsidRDefault="001F0198" w:rsidP="001F0198">
      <w:pPr>
        <w:spacing w:after="0"/>
        <w:jc w:val="both"/>
        <w:rPr>
          <w:rFonts w:ascii="Calibri" w:eastAsia="Times New Roman" w:hAnsi="Calibri" w:cs="Calibri"/>
          <w:b/>
          <w:color w:val="0000FF"/>
          <w:u w:val="single"/>
        </w:rPr>
      </w:pPr>
      <w:r w:rsidRPr="001F0198">
        <w:rPr>
          <w:rFonts w:ascii="Calibri" w:eastAsia="Times New Roman" w:hAnsi="Calibri" w:cs="Calibri"/>
          <w:b/>
        </w:rPr>
        <w:t>The next meeting of the mHealth Working Group will be held at 9:00 am EDT on Thursday, April 26</w:t>
      </w:r>
      <w:r w:rsidRPr="001F0198">
        <w:rPr>
          <w:rFonts w:ascii="Calibri" w:eastAsia="Times New Roman" w:hAnsi="Calibri" w:cs="Calibri"/>
          <w:b/>
          <w:vertAlign w:val="superscript"/>
        </w:rPr>
        <w:t>th</w:t>
      </w:r>
      <w:r w:rsidRPr="001F0198">
        <w:rPr>
          <w:rFonts w:ascii="Calibri" w:eastAsia="Times New Roman" w:hAnsi="Calibri" w:cs="Calibri"/>
          <w:b/>
        </w:rPr>
        <w:t xml:space="preserve">, 2012. </w:t>
      </w:r>
      <w:r w:rsidRPr="001F0198">
        <w:rPr>
          <w:rFonts w:ascii="Calibri" w:eastAsia="Times New Roman" w:hAnsi="Calibri" w:cs="Calibri"/>
        </w:rPr>
        <w:t>Location and call information will be announced.</w:t>
      </w:r>
      <w:r>
        <w:rPr>
          <w:rFonts w:ascii="Calibri" w:eastAsia="Times New Roman" w:hAnsi="Calibri" w:cs="Calibri"/>
          <w:b/>
        </w:rPr>
        <w:t xml:space="preserve"> </w:t>
      </w:r>
    </w:p>
    <w:p w:rsidR="006668C2" w:rsidRPr="00851E24" w:rsidRDefault="006668C2" w:rsidP="001F0198">
      <w:pPr>
        <w:spacing w:after="0"/>
        <w:jc w:val="both"/>
        <w:rPr>
          <w:rFonts w:cstheme="minorHAnsi"/>
          <w:sz w:val="24"/>
          <w:szCs w:val="24"/>
        </w:rPr>
      </w:pPr>
    </w:p>
    <w:p w:rsidR="006668C2" w:rsidRPr="00851E24" w:rsidRDefault="006668C2" w:rsidP="001F0198">
      <w:pPr>
        <w:spacing w:after="0"/>
        <w:jc w:val="both"/>
        <w:rPr>
          <w:rFonts w:cstheme="minorHAnsi"/>
          <w:sz w:val="24"/>
          <w:szCs w:val="24"/>
          <w:u w:val="single"/>
        </w:rPr>
      </w:pPr>
      <w:r w:rsidRPr="00851E24">
        <w:rPr>
          <w:rFonts w:cstheme="minorHAnsi"/>
          <w:sz w:val="24"/>
          <w:szCs w:val="24"/>
          <w:u w:val="single"/>
        </w:rPr>
        <w:t>Opening Remarks</w:t>
      </w:r>
    </w:p>
    <w:p w:rsidR="006668C2" w:rsidRPr="00851E24" w:rsidRDefault="006668C2" w:rsidP="00DB5C44">
      <w:pPr>
        <w:spacing w:after="0"/>
        <w:jc w:val="both"/>
        <w:rPr>
          <w:rFonts w:cstheme="minorHAnsi"/>
          <w:sz w:val="24"/>
          <w:szCs w:val="24"/>
        </w:rPr>
      </w:pPr>
      <w:r w:rsidRPr="00851E24">
        <w:rPr>
          <w:rFonts w:cstheme="minorHAnsi"/>
          <w:sz w:val="24"/>
          <w:szCs w:val="24"/>
        </w:rPr>
        <w:t>The use of mobile technology for behavior change communication (</w:t>
      </w:r>
      <w:proofErr w:type="spellStart"/>
      <w:r w:rsidRPr="00851E24">
        <w:rPr>
          <w:rFonts w:cstheme="minorHAnsi"/>
          <w:sz w:val="24"/>
          <w:szCs w:val="24"/>
        </w:rPr>
        <w:t>mBCC</w:t>
      </w:r>
      <w:proofErr w:type="spellEnd"/>
      <w:r w:rsidRPr="00851E24">
        <w:rPr>
          <w:rFonts w:cstheme="minorHAnsi"/>
          <w:sz w:val="24"/>
          <w:szCs w:val="24"/>
        </w:rPr>
        <w:t xml:space="preserve">) has been a popular but ill-organized topic in mHealth. </w:t>
      </w:r>
      <w:r w:rsidR="009F0E2F" w:rsidRPr="00851E24">
        <w:rPr>
          <w:rFonts w:cstheme="minorHAnsi"/>
          <w:sz w:val="24"/>
          <w:szCs w:val="24"/>
        </w:rPr>
        <w:t xml:space="preserve">The </w:t>
      </w:r>
      <w:proofErr w:type="spellStart"/>
      <w:r w:rsidR="009F0E2F" w:rsidRPr="00851E24">
        <w:rPr>
          <w:rFonts w:cstheme="minorHAnsi"/>
          <w:sz w:val="24"/>
          <w:szCs w:val="24"/>
        </w:rPr>
        <w:t>mBCC</w:t>
      </w:r>
      <w:proofErr w:type="spellEnd"/>
      <w:r w:rsidR="009F0E2F" w:rsidRPr="00851E24">
        <w:rPr>
          <w:rFonts w:cstheme="minorHAnsi"/>
          <w:sz w:val="24"/>
          <w:szCs w:val="24"/>
        </w:rPr>
        <w:t xml:space="preserve"> Field Guide </w:t>
      </w:r>
      <w:r w:rsidRPr="00851E24">
        <w:rPr>
          <w:rFonts w:cstheme="minorHAnsi"/>
          <w:sz w:val="24"/>
          <w:szCs w:val="24"/>
        </w:rPr>
        <w:t xml:space="preserve">addresses the need for focused and practical guidance for the </w:t>
      </w:r>
      <w:r w:rsidR="00A750A5">
        <w:rPr>
          <w:rFonts w:cstheme="minorHAnsi"/>
          <w:sz w:val="24"/>
          <w:szCs w:val="24"/>
        </w:rPr>
        <w:t xml:space="preserve">design and </w:t>
      </w:r>
      <w:r w:rsidRPr="00851E24">
        <w:rPr>
          <w:rFonts w:cstheme="minorHAnsi"/>
          <w:sz w:val="24"/>
          <w:szCs w:val="24"/>
        </w:rPr>
        <w:t>implementation of mHealth. It builds on</w:t>
      </w:r>
      <w:r w:rsidR="00A750A5">
        <w:rPr>
          <w:rFonts w:cstheme="minorHAnsi"/>
          <w:sz w:val="24"/>
          <w:szCs w:val="24"/>
        </w:rPr>
        <w:t xml:space="preserve"> established planning procedures to enable</w:t>
      </w:r>
      <w:r w:rsidRPr="00851E24">
        <w:rPr>
          <w:rFonts w:cstheme="minorHAnsi"/>
          <w:sz w:val="24"/>
          <w:szCs w:val="24"/>
        </w:rPr>
        <w:t xml:space="preserve"> mainstreaming within program planning in the field. </w:t>
      </w:r>
      <w:r w:rsidR="00851E24">
        <w:rPr>
          <w:rFonts w:cstheme="minorHAnsi"/>
          <w:sz w:val="24"/>
          <w:szCs w:val="24"/>
        </w:rPr>
        <w:t>We hope</w:t>
      </w:r>
      <w:r w:rsidRPr="00851E24">
        <w:rPr>
          <w:rFonts w:cstheme="minorHAnsi"/>
          <w:sz w:val="24"/>
          <w:szCs w:val="24"/>
        </w:rPr>
        <w:t xml:space="preserve"> that methodical planning will </w:t>
      </w:r>
      <w:r w:rsidR="00851E24">
        <w:rPr>
          <w:rFonts w:cstheme="minorHAnsi"/>
          <w:sz w:val="24"/>
          <w:szCs w:val="24"/>
        </w:rPr>
        <w:t>reduce uncertainties in</w:t>
      </w:r>
      <w:r w:rsidRPr="00851E24">
        <w:rPr>
          <w:rFonts w:cstheme="minorHAnsi"/>
          <w:sz w:val="24"/>
          <w:szCs w:val="24"/>
        </w:rPr>
        <w:t xml:space="preserve"> mHealth and lead to more effective, scalable and sustainable efforts in mHealth. </w:t>
      </w:r>
    </w:p>
    <w:p w:rsidR="006668C2" w:rsidRPr="00851E24" w:rsidRDefault="006668C2" w:rsidP="00DB5C44">
      <w:pPr>
        <w:spacing w:after="0"/>
        <w:jc w:val="both"/>
        <w:rPr>
          <w:rFonts w:cstheme="minorHAnsi"/>
          <w:sz w:val="24"/>
          <w:szCs w:val="24"/>
        </w:rPr>
      </w:pPr>
    </w:p>
    <w:p w:rsidR="00D10AF2" w:rsidRPr="00851E24" w:rsidRDefault="00FD7F14" w:rsidP="00DB5C44">
      <w:pPr>
        <w:spacing w:after="0"/>
        <w:jc w:val="both"/>
        <w:rPr>
          <w:rFonts w:eastAsia="Times New Roman" w:cstheme="minorHAnsi"/>
          <w:sz w:val="24"/>
          <w:szCs w:val="24"/>
          <w:u w:val="single"/>
        </w:rPr>
      </w:pPr>
      <w:proofErr w:type="spellStart"/>
      <w:proofErr w:type="gramStart"/>
      <w:r>
        <w:rPr>
          <w:rFonts w:eastAsia="Times New Roman" w:cstheme="minorHAnsi"/>
          <w:sz w:val="24"/>
          <w:szCs w:val="24"/>
          <w:u w:val="single"/>
        </w:rPr>
        <w:t>mBCC</w:t>
      </w:r>
      <w:proofErr w:type="spellEnd"/>
      <w:proofErr w:type="gramEnd"/>
      <w:r>
        <w:rPr>
          <w:rFonts w:eastAsia="Times New Roman" w:cstheme="minorHAnsi"/>
          <w:sz w:val="24"/>
          <w:szCs w:val="24"/>
          <w:u w:val="single"/>
        </w:rPr>
        <w:t xml:space="preserve"> Field Guide</w:t>
      </w:r>
      <w:r w:rsidR="00851E24" w:rsidRPr="00851E24">
        <w:rPr>
          <w:rFonts w:eastAsia="Times New Roman" w:cstheme="minorHAnsi"/>
          <w:sz w:val="24"/>
          <w:szCs w:val="24"/>
          <w:u w:val="single"/>
        </w:rPr>
        <w:t xml:space="preserve"> by </w:t>
      </w:r>
      <w:proofErr w:type="spellStart"/>
      <w:r w:rsidRPr="00851E24">
        <w:rPr>
          <w:rFonts w:eastAsia="Times New Roman" w:cstheme="minorHAnsi"/>
          <w:sz w:val="24"/>
          <w:szCs w:val="24"/>
          <w:u w:val="single"/>
        </w:rPr>
        <w:t>Shalu</w:t>
      </w:r>
      <w:proofErr w:type="spellEnd"/>
      <w:r w:rsidRPr="00851E24">
        <w:rPr>
          <w:rFonts w:eastAsia="Times New Roman" w:cstheme="minorHAnsi"/>
          <w:sz w:val="24"/>
          <w:szCs w:val="24"/>
          <w:u w:val="single"/>
        </w:rPr>
        <w:t xml:space="preserve"> </w:t>
      </w:r>
      <w:proofErr w:type="spellStart"/>
      <w:r w:rsidRPr="00851E24">
        <w:rPr>
          <w:rFonts w:eastAsia="Times New Roman" w:cstheme="minorHAnsi"/>
          <w:sz w:val="24"/>
          <w:szCs w:val="24"/>
          <w:u w:val="single"/>
        </w:rPr>
        <w:t>Umapathy</w:t>
      </w:r>
      <w:proofErr w:type="spellEnd"/>
      <w:r w:rsidRPr="00851E24">
        <w:rPr>
          <w:rFonts w:eastAsia="Times New Roman" w:cstheme="minorHAnsi"/>
          <w:sz w:val="24"/>
          <w:szCs w:val="24"/>
          <w:u w:val="single"/>
        </w:rPr>
        <w:t xml:space="preserve">, </w:t>
      </w:r>
      <w:r w:rsidR="00D10AF2" w:rsidRPr="00851E24">
        <w:rPr>
          <w:rFonts w:eastAsia="Times New Roman" w:cstheme="minorHAnsi"/>
          <w:sz w:val="24"/>
          <w:szCs w:val="24"/>
          <w:u w:val="single"/>
        </w:rPr>
        <w:t xml:space="preserve">Gael O’Sullivan, </w:t>
      </w:r>
      <w:r>
        <w:rPr>
          <w:rFonts w:eastAsia="Times New Roman" w:cstheme="minorHAnsi"/>
          <w:sz w:val="24"/>
          <w:szCs w:val="24"/>
          <w:u w:val="single"/>
        </w:rPr>
        <w:t xml:space="preserve">and Stephen </w:t>
      </w:r>
      <w:proofErr w:type="spellStart"/>
      <w:r>
        <w:rPr>
          <w:rFonts w:eastAsia="Times New Roman" w:cstheme="minorHAnsi"/>
          <w:sz w:val="24"/>
          <w:szCs w:val="24"/>
          <w:u w:val="single"/>
        </w:rPr>
        <w:t>Rahaim</w:t>
      </w:r>
      <w:proofErr w:type="spellEnd"/>
      <w:r>
        <w:rPr>
          <w:rFonts w:eastAsia="Times New Roman" w:cstheme="minorHAnsi"/>
          <w:sz w:val="24"/>
          <w:szCs w:val="24"/>
          <w:u w:val="single"/>
        </w:rPr>
        <w:t xml:space="preserve">, </w:t>
      </w:r>
      <w:proofErr w:type="spellStart"/>
      <w:r w:rsidR="00D10AF2" w:rsidRPr="00851E24">
        <w:rPr>
          <w:rFonts w:eastAsia="Times New Roman" w:cstheme="minorHAnsi"/>
          <w:sz w:val="24"/>
          <w:szCs w:val="24"/>
          <w:u w:val="single"/>
        </w:rPr>
        <w:t>Abt</w:t>
      </w:r>
      <w:proofErr w:type="spellEnd"/>
      <w:r w:rsidR="00D10AF2" w:rsidRPr="00851E24">
        <w:rPr>
          <w:rFonts w:eastAsia="Times New Roman" w:cstheme="minorHAnsi"/>
          <w:sz w:val="24"/>
          <w:szCs w:val="24"/>
          <w:u w:val="single"/>
        </w:rPr>
        <w:t xml:space="preserve"> Associates</w:t>
      </w:r>
    </w:p>
    <w:p w:rsidR="009F0E2F" w:rsidRPr="00851E24" w:rsidRDefault="00D10AF2" w:rsidP="00DB5C44">
      <w:pPr>
        <w:spacing w:after="0"/>
        <w:jc w:val="both"/>
        <w:rPr>
          <w:rFonts w:cstheme="minorHAnsi"/>
          <w:sz w:val="24"/>
          <w:szCs w:val="24"/>
        </w:rPr>
      </w:pPr>
      <w:r w:rsidRPr="00851E24">
        <w:rPr>
          <w:rFonts w:cstheme="minorHAnsi"/>
          <w:sz w:val="24"/>
          <w:szCs w:val="24"/>
        </w:rPr>
        <w:t xml:space="preserve">This Field Guide provides methodical instructions on how to use the power of mobile communication tools to influence health behaviors at both the consumer and healthcare provider levels. </w:t>
      </w:r>
      <w:r w:rsidR="008B5E80" w:rsidRPr="00851E24">
        <w:rPr>
          <w:rFonts w:cstheme="minorHAnsi"/>
          <w:sz w:val="24"/>
          <w:szCs w:val="24"/>
        </w:rPr>
        <w:t xml:space="preserve">The </w:t>
      </w:r>
      <w:proofErr w:type="spellStart"/>
      <w:r w:rsidR="008B5E80" w:rsidRPr="00851E24">
        <w:rPr>
          <w:rFonts w:cstheme="minorHAnsi"/>
          <w:sz w:val="24"/>
          <w:szCs w:val="24"/>
        </w:rPr>
        <w:t>mBCC</w:t>
      </w:r>
      <w:proofErr w:type="spellEnd"/>
      <w:r w:rsidR="008B5E80" w:rsidRPr="00851E24">
        <w:rPr>
          <w:rFonts w:cstheme="minorHAnsi"/>
          <w:sz w:val="24"/>
          <w:szCs w:val="24"/>
        </w:rPr>
        <w:t xml:space="preserve"> Field Guide is </w:t>
      </w:r>
      <w:r w:rsidRPr="00851E24">
        <w:rPr>
          <w:rFonts w:cstheme="minorHAnsi"/>
          <w:sz w:val="24"/>
          <w:szCs w:val="24"/>
        </w:rPr>
        <w:t>a “living document” that will</w:t>
      </w:r>
      <w:r w:rsidR="008B5E80" w:rsidRPr="00851E24">
        <w:rPr>
          <w:rFonts w:cstheme="minorHAnsi"/>
          <w:sz w:val="24"/>
          <w:szCs w:val="24"/>
        </w:rPr>
        <w:t xml:space="preserve"> require updating. </w:t>
      </w:r>
      <w:r w:rsidR="008B5E80" w:rsidRPr="00851E24">
        <w:rPr>
          <w:rFonts w:cstheme="minorHAnsi"/>
          <w:b/>
          <w:sz w:val="24"/>
          <w:szCs w:val="24"/>
        </w:rPr>
        <w:t xml:space="preserve">Feedback can be shared at </w:t>
      </w:r>
      <w:r w:rsidR="006E1E6B">
        <w:rPr>
          <w:rFonts w:cstheme="minorHAnsi"/>
          <w:b/>
          <w:sz w:val="24"/>
          <w:szCs w:val="24"/>
        </w:rPr>
        <w:t>www.</w:t>
      </w:r>
      <w:r w:rsidR="008B5E80" w:rsidRPr="00851E24">
        <w:rPr>
          <w:rFonts w:cstheme="minorHAnsi"/>
          <w:b/>
          <w:sz w:val="24"/>
          <w:szCs w:val="24"/>
        </w:rPr>
        <w:t xml:space="preserve">mbccfieldguide.com. The accompanying evaluation form or general comments can be </w:t>
      </w:r>
      <w:r w:rsidR="00564751" w:rsidRPr="00851E24">
        <w:rPr>
          <w:rFonts w:cstheme="minorHAnsi"/>
          <w:b/>
          <w:sz w:val="24"/>
          <w:szCs w:val="24"/>
        </w:rPr>
        <w:t xml:space="preserve">sent to </w:t>
      </w:r>
      <w:proofErr w:type="spellStart"/>
      <w:r w:rsidR="00564751" w:rsidRPr="00851E24">
        <w:rPr>
          <w:rFonts w:cstheme="minorHAnsi"/>
          <w:b/>
          <w:sz w:val="24"/>
          <w:szCs w:val="24"/>
        </w:rPr>
        <w:t>Gael_O'Sullivan</w:t>
      </w:r>
      <w:proofErr w:type="spellEnd"/>
      <w:r w:rsidR="00564751" w:rsidRPr="00851E24">
        <w:rPr>
          <w:rFonts w:cstheme="minorHAnsi"/>
          <w:b/>
          <w:sz w:val="24"/>
          <w:szCs w:val="24"/>
        </w:rPr>
        <w:t xml:space="preserve"> at Gael_O'Sullivan@abtassoc.com. </w:t>
      </w:r>
      <w:r w:rsidRPr="00851E24">
        <w:rPr>
          <w:rFonts w:cstheme="minorHAnsi"/>
          <w:b/>
          <w:sz w:val="24"/>
          <w:szCs w:val="24"/>
        </w:rPr>
        <w:t xml:space="preserve"> </w:t>
      </w:r>
      <w:r w:rsidR="009F0E2F" w:rsidRPr="00851E24">
        <w:rPr>
          <w:rFonts w:cstheme="minorHAnsi"/>
          <w:b/>
          <w:sz w:val="24"/>
          <w:szCs w:val="24"/>
        </w:rPr>
        <w:t xml:space="preserve">It also accompanied by </w:t>
      </w:r>
      <w:proofErr w:type="gramStart"/>
      <w:r w:rsidR="009F0E2F" w:rsidRPr="00851E24">
        <w:rPr>
          <w:rFonts w:cstheme="minorHAnsi"/>
          <w:b/>
          <w:sz w:val="24"/>
          <w:szCs w:val="24"/>
        </w:rPr>
        <w:t>a</w:t>
      </w:r>
      <w:proofErr w:type="gramEnd"/>
      <w:r w:rsidR="009F0E2F" w:rsidRPr="00851E24">
        <w:rPr>
          <w:rFonts w:cstheme="minorHAnsi"/>
          <w:b/>
          <w:sz w:val="24"/>
          <w:szCs w:val="24"/>
        </w:rPr>
        <w:t xml:space="preserve"> </w:t>
      </w:r>
      <w:proofErr w:type="spellStart"/>
      <w:r w:rsidR="009F0E2F" w:rsidRPr="00851E24">
        <w:rPr>
          <w:rFonts w:cstheme="minorHAnsi"/>
          <w:b/>
          <w:sz w:val="24"/>
          <w:szCs w:val="24"/>
        </w:rPr>
        <w:t>mBCC</w:t>
      </w:r>
      <w:proofErr w:type="spellEnd"/>
      <w:r w:rsidR="009F0E2F" w:rsidRPr="00851E24">
        <w:rPr>
          <w:rFonts w:cstheme="minorHAnsi"/>
          <w:b/>
          <w:sz w:val="24"/>
          <w:szCs w:val="24"/>
        </w:rPr>
        <w:t xml:space="preserve"> Field Guide Worksheet</w:t>
      </w:r>
      <w:r w:rsidR="009F0E2F" w:rsidRPr="00851E24">
        <w:rPr>
          <w:rFonts w:cstheme="minorHAnsi"/>
          <w:sz w:val="24"/>
          <w:szCs w:val="24"/>
        </w:rPr>
        <w:t>, which is</w:t>
      </w:r>
      <w:r w:rsidR="005B707B">
        <w:rPr>
          <w:rFonts w:cstheme="minorHAnsi"/>
          <w:sz w:val="24"/>
          <w:szCs w:val="24"/>
        </w:rPr>
        <w:t xml:space="preserve"> in</w:t>
      </w:r>
      <w:r w:rsidR="009F0E2F" w:rsidRPr="00851E24">
        <w:rPr>
          <w:rFonts w:cstheme="minorHAnsi"/>
          <w:sz w:val="24"/>
          <w:szCs w:val="24"/>
        </w:rPr>
        <w:t xml:space="preserve"> excel format to allow adaptation by program planners. </w:t>
      </w:r>
    </w:p>
    <w:p w:rsidR="008B5E80" w:rsidRPr="00851E24" w:rsidRDefault="008B5E80" w:rsidP="00DB5C44">
      <w:pPr>
        <w:spacing w:after="0"/>
        <w:jc w:val="both"/>
        <w:rPr>
          <w:rFonts w:cstheme="minorHAnsi"/>
          <w:sz w:val="24"/>
          <w:szCs w:val="24"/>
        </w:rPr>
      </w:pPr>
    </w:p>
    <w:p w:rsidR="008B5E80" w:rsidRPr="005B707B" w:rsidRDefault="008B5E80" w:rsidP="00DB5C44">
      <w:pPr>
        <w:pStyle w:val="Default"/>
        <w:jc w:val="both"/>
        <w:rPr>
          <w:rFonts w:asciiTheme="minorHAnsi" w:hAnsiTheme="minorHAnsi" w:cstheme="minorHAnsi"/>
        </w:rPr>
      </w:pPr>
      <w:r w:rsidRPr="005B707B">
        <w:rPr>
          <w:rFonts w:asciiTheme="minorHAnsi" w:hAnsiTheme="minorHAnsi" w:cstheme="minorHAnsi"/>
        </w:rPr>
        <w:t>T</w:t>
      </w:r>
      <w:r w:rsidR="009F0E2F" w:rsidRPr="005B707B">
        <w:rPr>
          <w:rFonts w:asciiTheme="minorHAnsi" w:hAnsiTheme="minorHAnsi" w:cstheme="minorHAnsi"/>
        </w:rPr>
        <w:t xml:space="preserve">he </w:t>
      </w:r>
      <w:proofErr w:type="spellStart"/>
      <w:r w:rsidR="009F0E2F" w:rsidRPr="005B707B">
        <w:rPr>
          <w:rFonts w:asciiTheme="minorHAnsi" w:hAnsiTheme="minorHAnsi" w:cstheme="minorHAnsi"/>
        </w:rPr>
        <w:t>mBCC</w:t>
      </w:r>
      <w:proofErr w:type="spellEnd"/>
      <w:r w:rsidR="009F0E2F" w:rsidRPr="005B707B">
        <w:rPr>
          <w:rFonts w:asciiTheme="minorHAnsi" w:hAnsiTheme="minorHAnsi" w:cstheme="minorHAnsi"/>
        </w:rPr>
        <w:t xml:space="preserve"> Field G</w:t>
      </w:r>
      <w:r w:rsidRPr="005B707B">
        <w:rPr>
          <w:rFonts w:asciiTheme="minorHAnsi" w:hAnsiTheme="minorHAnsi" w:cstheme="minorHAnsi"/>
        </w:rPr>
        <w:t xml:space="preserve">uide </w:t>
      </w:r>
      <w:r w:rsidR="005B707B" w:rsidRPr="005B707B">
        <w:rPr>
          <w:rFonts w:asciiTheme="minorHAnsi" w:hAnsiTheme="minorHAnsi" w:cstheme="minorHAnsi"/>
        </w:rPr>
        <w:t xml:space="preserve">is authored by </w:t>
      </w:r>
      <w:proofErr w:type="spellStart"/>
      <w:r w:rsidR="005B707B" w:rsidRPr="005B707B">
        <w:rPr>
          <w:rFonts w:asciiTheme="minorHAnsi" w:hAnsiTheme="minorHAnsi" w:cstheme="minorHAnsi"/>
        </w:rPr>
        <w:t>Abt</w:t>
      </w:r>
      <w:proofErr w:type="spellEnd"/>
      <w:r w:rsidR="005B707B" w:rsidRPr="005B707B">
        <w:rPr>
          <w:rFonts w:asciiTheme="minorHAnsi" w:hAnsiTheme="minorHAnsi" w:cstheme="minorHAnsi"/>
        </w:rPr>
        <w:t xml:space="preserve"> Associates Inc. on behalf of the mHealth Working Group with input from Applied Innovation and Development Partners, FHI 360, The Georgetown University Institute for Reproductive Health, Johns Hopkins University Center for Communication Programs, University Research Corporation, and the United States Agency </w:t>
      </w:r>
      <w:r w:rsidR="005B707B">
        <w:rPr>
          <w:rFonts w:asciiTheme="minorHAnsi" w:hAnsiTheme="minorHAnsi" w:cstheme="minorHAnsi"/>
        </w:rPr>
        <w:t>for International Development</w:t>
      </w:r>
      <w:r w:rsidR="005B707B" w:rsidRPr="005B707B">
        <w:rPr>
          <w:rFonts w:asciiTheme="minorHAnsi" w:hAnsiTheme="minorHAnsi" w:cstheme="minorHAnsi"/>
        </w:rPr>
        <w:t xml:space="preserve">. It </w:t>
      </w:r>
      <w:r w:rsidRPr="005B707B">
        <w:rPr>
          <w:rFonts w:asciiTheme="minorHAnsi" w:hAnsiTheme="minorHAnsi" w:cstheme="minorHAnsi"/>
        </w:rPr>
        <w:t xml:space="preserve">is based on a publication of the Johns Hopkins University Center for Communication Programs (JHU-CCP) entitled “A Field Guide to Designing a Health Communication Strategy”. </w:t>
      </w:r>
      <w:r w:rsidR="009F0E2F" w:rsidRPr="005B707B">
        <w:rPr>
          <w:rFonts w:asciiTheme="minorHAnsi" w:hAnsiTheme="minorHAnsi" w:cstheme="minorHAnsi"/>
        </w:rPr>
        <w:t xml:space="preserve">The </w:t>
      </w:r>
      <w:proofErr w:type="spellStart"/>
      <w:r w:rsidR="009F0E2F" w:rsidRPr="005B707B">
        <w:rPr>
          <w:rFonts w:asciiTheme="minorHAnsi" w:hAnsiTheme="minorHAnsi" w:cstheme="minorHAnsi"/>
        </w:rPr>
        <w:t>mBCC</w:t>
      </w:r>
      <w:proofErr w:type="spellEnd"/>
      <w:r w:rsidR="009F0E2F" w:rsidRPr="005B707B">
        <w:rPr>
          <w:rFonts w:asciiTheme="minorHAnsi" w:hAnsiTheme="minorHAnsi" w:cstheme="minorHAnsi"/>
        </w:rPr>
        <w:t xml:space="preserve"> Field Guide is focused health communication, but could also be adapted for other fields such as environmental protection. </w:t>
      </w:r>
    </w:p>
    <w:p w:rsidR="000A7E2C" w:rsidRDefault="000A7E2C" w:rsidP="00DB5C44">
      <w:pPr>
        <w:pStyle w:val="Default"/>
        <w:jc w:val="both"/>
        <w:rPr>
          <w:rFonts w:asciiTheme="minorHAnsi" w:hAnsiTheme="minorHAnsi" w:cstheme="minorHAnsi"/>
        </w:rPr>
      </w:pPr>
    </w:p>
    <w:p w:rsidR="005B707B" w:rsidRDefault="005B707B" w:rsidP="00DB5C44">
      <w:pPr>
        <w:pStyle w:val="Default"/>
        <w:jc w:val="both"/>
        <w:rPr>
          <w:rFonts w:asciiTheme="minorHAnsi" w:hAnsiTheme="minorHAnsi" w:cstheme="minorHAnsi"/>
        </w:rPr>
      </w:pPr>
    </w:p>
    <w:p w:rsidR="005B707B" w:rsidRPr="00851E24" w:rsidRDefault="005B707B" w:rsidP="00DB5C44">
      <w:pPr>
        <w:pStyle w:val="Default"/>
        <w:jc w:val="both"/>
        <w:rPr>
          <w:rFonts w:asciiTheme="minorHAnsi" w:hAnsiTheme="minorHAnsi" w:cstheme="minorHAnsi"/>
        </w:rPr>
      </w:pPr>
    </w:p>
    <w:p w:rsidR="00EB7BE8"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The </w:t>
      </w:r>
      <w:proofErr w:type="spellStart"/>
      <w:r w:rsidRPr="00851E24">
        <w:rPr>
          <w:rFonts w:asciiTheme="minorHAnsi" w:hAnsiTheme="minorHAnsi" w:cstheme="minorHAnsi"/>
        </w:rPr>
        <w:t>mBCC</w:t>
      </w:r>
      <w:proofErr w:type="spellEnd"/>
      <w:r w:rsidRPr="00851E24">
        <w:rPr>
          <w:rFonts w:asciiTheme="minorHAnsi" w:hAnsiTheme="minorHAnsi" w:cstheme="minorHAnsi"/>
        </w:rPr>
        <w:t xml:space="preserve"> Field Guide is arranged in nine chap</w:t>
      </w:r>
      <w:r w:rsidR="00EB7BE8" w:rsidRPr="00851E24">
        <w:rPr>
          <w:rFonts w:asciiTheme="minorHAnsi" w:hAnsiTheme="minorHAnsi" w:cstheme="minorHAnsi"/>
        </w:rPr>
        <w:t>ters regarding program planning, which in return refer to sections of the accompanying worksheet.</w:t>
      </w:r>
    </w:p>
    <w:p w:rsidR="006668C2" w:rsidRPr="00851E24" w:rsidRDefault="006668C2" w:rsidP="00DB5C44">
      <w:pPr>
        <w:pStyle w:val="Default"/>
        <w:jc w:val="both"/>
        <w:rPr>
          <w:rFonts w:asciiTheme="minorHAnsi" w:hAnsiTheme="minorHAnsi" w:cstheme="minorHAnsi"/>
        </w:rPr>
      </w:pP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1) </w:t>
      </w:r>
      <w:proofErr w:type="gramStart"/>
      <w:r w:rsidRPr="00851E24">
        <w:rPr>
          <w:rFonts w:asciiTheme="minorHAnsi" w:hAnsiTheme="minorHAnsi" w:cstheme="minorHAnsi"/>
        </w:rPr>
        <w:t>situation</w:t>
      </w:r>
      <w:proofErr w:type="gramEnd"/>
      <w:r w:rsidRPr="00851E24">
        <w:rPr>
          <w:rFonts w:asciiTheme="minorHAnsi" w:hAnsiTheme="minorHAnsi" w:cstheme="minorHAnsi"/>
        </w:rPr>
        <w:t xml:space="preserve"> analysis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2) </w:t>
      </w:r>
      <w:proofErr w:type="gramStart"/>
      <w:r w:rsidRPr="00851E24">
        <w:rPr>
          <w:rFonts w:asciiTheme="minorHAnsi" w:hAnsiTheme="minorHAnsi" w:cstheme="minorHAnsi"/>
        </w:rPr>
        <w:t>formative</w:t>
      </w:r>
      <w:proofErr w:type="gramEnd"/>
      <w:r w:rsidRPr="00851E24">
        <w:rPr>
          <w:rFonts w:asciiTheme="minorHAnsi" w:hAnsiTheme="minorHAnsi" w:cstheme="minorHAnsi"/>
        </w:rPr>
        <w:t xml:space="preserve"> research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3) </w:t>
      </w:r>
      <w:proofErr w:type="gramStart"/>
      <w:r w:rsidRPr="00851E24">
        <w:rPr>
          <w:rFonts w:asciiTheme="minorHAnsi" w:hAnsiTheme="minorHAnsi" w:cstheme="minorHAnsi"/>
        </w:rPr>
        <w:t>audience</w:t>
      </w:r>
      <w:proofErr w:type="gramEnd"/>
      <w:r w:rsidRPr="00851E24">
        <w:rPr>
          <w:rFonts w:asciiTheme="minorHAnsi" w:hAnsiTheme="minorHAnsi" w:cstheme="minorHAnsi"/>
        </w:rPr>
        <w:t xml:space="preserve"> segmentation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4) </w:t>
      </w:r>
      <w:proofErr w:type="gramStart"/>
      <w:r w:rsidRPr="00851E24">
        <w:rPr>
          <w:rFonts w:asciiTheme="minorHAnsi" w:hAnsiTheme="minorHAnsi" w:cstheme="minorHAnsi"/>
        </w:rPr>
        <w:t>behavior</w:t>
      </w:r>
      <w:proofErr w:type="gramEnd"/>
      <w:r w:rsidRPr="00851E24">
        <w:rPr>
          <w:rFonts w:asciiTheme="minorHAnsi" w:hAnsiTheme="minorHAnsi" w:cstheme="minorHAnsi"/>
        </w:rPr>
        <w:t xml:space="preserve"> change objectives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5) </w:t>
      </w:r>
      <w:proofErr w:type="gramStart"/>
      <w:r w:rsidRPr="00851E24">
        <w:rPr>
          <w:rFonts w:asciiTheme="minorHAnsi" w:hAnsiTheme="minorHAnsi" w:cstheme="minorHAnsi"/>
        </w:rPr>
        <w:t>message</w:t>
      </w:r>
      <w:proofErr w:type="gramEnd"/>
      <w:r w:rsidRPr="00851E24">
        <w:rPr>
          <w:rFonts w:asciiTheme="minorHAnsi" w:hAnsiTheme="minorHAnsi" w:cstheme="minorHAnsi"/>
        </w:rPr>
        <w:t xml:space="preserve"> and material development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6) </w:t>
      </w:r>
      <w:proofErr w:type="gramStart"/>
      <w:r w:rsidRPr="00851E24">
        <w:rPr>
          <w:rFonts w:asciiTheme="minorHAnsi" w:hAnsiTheme="minorHAnsi" w:cstheme="minorHAnsi"/>
        </w:rPr>
        <w:t>pretesting</w:t>
      </w:r>
      <w:proofErr w:type="gramEnd"/>
      <w:r w:rsidRPr="00851E24">
        <w:rPr>
          <w:rFonts w:asciiTheme="minorHAnsi" w:hAnsiTheme="minorHAnsi" w:cstheme="minorHAnsi"/>
        </w:rPr>
        <w:t xml:space="preserve">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7) </w:t>
      </w:r>
      <w:proofErr w:type="gramStart"/>
      <w:r w:rsidRPr="00851E24">
        <w:rPr>
          <w:rFonts w:asciiTheme="minorHAnsi" w:hAnsiTheme="minorHAnsi" w:cstheme="minorHAnsi"/>
        </w:rPr>
        <w:t>production</w:t>
      </w:r>
      <w:proofErr w:type="gramEnd"/>
      <w:r w:rsidRPr="00851E24">
        <w:rPr>
          <w:rFonts w:asciiTheme="minorHAnsi" w:hAnsiTheme="minorHAnsi" w:cstheme="minorHAnsi"/>
        </w:rPr>
        <w:t xml:space="preserve">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8) </w:t>
      </w:r>
      <w:proofErr w:type="gramStart"/>
      <w:r w:rsidRPr="00851E24">
        <w:rPr>
          <w:rFonts w:asciiTheme="minorHAnsi" w:hAnsiTheme="minorHAnsi" w:cstheme="minorHAnsi"/>
        </w:rPr>
        <w:t>implementation</w:t>
      </w:r>
      <w:proofErr w:type="gramEnd"/>
      <w:r w:rsidRPr="00851E24">
        <w:rPr>
          <w:rFonts w:asciiTheme="minorHAnsi" w:hAnsiTheme="minorHAnsi" w:cstheme="minorHAnsi"/>
        </w:rPr>
        <w:t xml:space="preserve"> </w:t>
      </w:r>
    </w:p>
    <w:p w:rsidR="000A7E2C" w:rsidRPr="00851E24" w:rsidRDefault="000A7E2C" w:rsidP="00DB5C44">
      <w:pPr>
        <w:pStyle w:val="Default"/>
        <w:jc w:val="both"/>
        <w:rPr>
          <w:rFonts w:asciiTheme="minorHAnsi" w:hAnsiTheme="minorHAnsi" w:cstheme="minorHAnsi"/>
        </w:rPr>
      </w:pPr>
      <w:r w:rsidRPr="00851E24">
        <w:rPr>
          <w:rFonts w:asciiTheme="minorHAnsi" w:hAnsiTheme="minorHAnsi" w:cstheme="minorHAnsi"/>
        </w:rPr>
        <w:t xml:space="preserve">9) </w:t>
      </w:r>
      <w:proofErr w:type="gramStart"/>
      <w:r w:rsidRPr="00851E24">
        <w:rPr>
          <w:rFonts w:asciiTheme="minorHAnsi" w:hAnsiTheme="minorHAnsi" w:cstheme="minorHAnsi"/>
        </w:rPr>
        <w:t>monitoring</w:t>
      </w:r>
      <w:proofErr w:type="gramEnd"/>
      <w:r w:rsidRPr="00851E24">
        <w:rPr>
          <w:rFonts w:asciiTheme="minorHAnsi" w:hAnsiTheme="minorHAnsi" w:cstheme="minorHAnsi"/>
        </w:rPr>
        <w:t xml:space="preserve"> and evaluation (M&amp;E) </w:t>
      </w:r>
    </w:p>
    <w:p w:rsidR="000A7E2C" w:rsidRPr="00851E24" w:rsidRDefault="000A7E2C" w:rsidP="00DB5C44">
      <w:pPr>
        <w:pStyle w:val="Default"/>
        <w:jc w:val="both"/>
        <w:rPr>
          <w:rFonts w:asciiTheme="minorHAnsi" w:hAnsiTheme="minorHAnsi" w:cstheme="minorHAnsi"/>
        </w:rPr>
      </w:pPr>
    </w:p>
    <w:p w:rsidR="000A7E2C" w:rsidRPr="00851E24" w:rsidRDefault="000A7E2C" w:rsidP="00DB5C44">
      <w:pPr>
        <w:spacing w:after="0"/>
        <w:jc w:val="both"/>
        <w:rPr>
          <w:rFonts w:cstheme="minorHAnsi"/>
          <w:sz w:val="24"/>
          <w:szCs w:val="24"/>
        </w:rPr>
      </w:pPr>
      <w:r w:rsidRPr="00851E24">
        <w:rPr>
          <w:rFonts w:cstheme="minorHAnsi"/>
          <w:sz w:val="24"/>
          <w:szCs w:val="24"/>
        </w:rPr>
        <w:t xml:space="preserve">The first chapter, </w:t>
      </w:r>
      <w:r w:rsidRPr="00851E24">
        <w:rPr>
          <w:rFonts w:cstheme="minorHAnsi"/>
          <w:b/>
          <w:bCs/>
          <w:sz w:val="24"/>
          <w:szCs w:val="24"/>
        </w:rPr>
        <w:t>Situation Analysis</w:t>
      </w:r>
      <w:r w:rsidRPr="00851E24">
        <w:rPr>
          <w:rFonts w:cstheme="minorHAnsi"/>
          <w:sz w:val="24"/>
          <w:szCs w:val="24"/>
        </w:rPr>
        <w:t xml:space="preserve">, provides instructions on how to conduct an abridged assessment of the audience, required infrastructure, and financial constraints. </w:t>
      </w:r>
      <w:r w:rsidR="00F13B2D" w:rsidRPr="00851E24">
        <w:rPr>
          <w:rFonts w:cstheme="minorHAnsi"/>
          <w:sz w:val="24"/>
          <w:szCs w:val="24"/>
        </w:rPr>
        <w:t>This includes determinin</w:t>
      </w:r>
      <w:r w:rsidRPr="00851E24">
        <w:rPr>
          <w:rFonts w:cstheme="minorHAnsi"/>
          <w:sz w:val="24"/>
          <w:szCs w:val="24"/>
        </w:rPr>
        <w:t>g whether mobile phones are an appropriate channel for your program objectives.</w:t>
      </w:r>
      <w:r w:rsidR="00F13B2D" w:rsidRPr="00851E24">
        <w:rPr>
          <w:rFonts w:cstheme="minorHAnsi"/>
          <w:sz w:val="24"/>
          <w:szCs w:val="24"/>
        </w:rPr>
        <w:t xml:space="preserve"> </w:t>
      </w:r>
      <w:r w:rsidR="00BB7AB5" w:rsidRPr="00851E24">
        <w:rPr>
          <w:rFonts w:cstheme="minorHAnsi"/>
          <w:sz w:val="24"/>
          <w:szCs w:val="24"/>
        </w:rPr>
        <w:t xml:space="preserve">BCC theory is also considered, such as the social cognitive theory in the case study for reproductive health. The Situation Analysis chapter refers to Section 1 in the </w:t>
      </w:r>
      <w:proofErr w:type="spellStart"/>
      <w:r w:rsidR="00BB7AB5" w:rsidRPr="00851E24">
        <w:rPr>
          <w:rFonts w:cstheme="minorHAnsi"/>
          <w:sz w:val="24"/>
          <w:szCs w:val="24"/>
        </w:rPr>
        <w:t>mBCC</w:t>
      </w:r>
      <w:proofErr w:type="spellEnd"/>
      <w:r w:rsidR="00BB7AB5" w:rsidRPr="00851E24">
        <w:rPr>
          <w:rFonts w:cstheme="minorHAnsi"/>
          <w:sz w:val="24"/>
          <w:szCs w:val="24"/>
        </w:rPr>
        <w:t xml:space="preserve"> Field Guide Worksheet. </w:t>
      </w:r>
    </w:p>
    <w:p w:rsidR="006619D5" w:rsidRPr="00851E24" w:rsidRDefault="006619D5" w:rsidP="00DB5C44">
      <w:pPr>
        <w:spacing w:after="0"/>
        <w:jc w:val="both"/>
        <w:rPr>
          <w:rFonts w:cstheme="minorHAnsi"/>
          <w:sz w:val="24"/>
          <w:szCs w:val="24"/>
        </w:rPr>
      </w:pPr>
    </w:p>
    <w:p w:rsidR="00DA0156" w:rsidRPr="00851E24" w:rsidRDefault="003E1ABA" w:rsidP="00DB5C44">
      <w:pPr>
        <w:spacing w:after="0"/>
        <w:jc w:val="both"/>
        <w:rPr>
          <w:rFonts w:cstheme="minorHAnsi"/>
          <w:sz w:val="24"/>
          <w:szCs w:val="24"/>
        </w:rPr>
      </w:pPr>
      <w:r w:rsidRPr="00851E24">
        <w:rPr>
          <w:rFonts w:cstheme="minorHAnsi"/>
          <w:sz w:val="24"/>
          <w:szCs w:val="24"/>
        </w:rPr>
        <w:t xml:space="preserve">The </w:t>
      </w:r>
      <w:r w:rsidRPr="00851E24">
        <w:rPr>
          <w:rFonts w:cstheme="minorHAnsi"/>
          <w:b/>
          <w:bCs/>
          <w:sz w:val="24"/>
          <w:szCs w:val="24"/>
        </w:rPr>
        <w:t xml:space="preserve">Audience Segmentation </w:t>
      </w:r>
      <w:r w:rsidRPr="00851E24">
        <w:rPr>
          <w:rFonts w:cstheme="minorHAnsi"/>
          <w:sz w:val="24"/>
          <w:szCs w:val="24"/>
        </w:rPr>
        <w:t xml:space="preserve">chapter considers many factors to help you identify and understand audiences. </w:t>
      </w:r>
      <w:r w:rsidR="00DA0156" w:rsidRPr="00851E24">
        <w:rPr>
          <w:rFonts w:cstheme="minorHAnsi"/>
          <w:sz w:val="24"/>
          <w:szCs w:val="24"/>
        </w:rPr>
        <w:t>This includes the</w:t>
      </w:r>
      <w:r w:rsidRPr="00851E24">
        <w:rPr>
          <w:rFonts w:cstheme="minorHAnsi"/>
          <w:sz w:val="24"/>
          <w:szCs w:val="24"/>
        </w:rPr>
        <w:t xml:space="preserve"> context of the </w:t>
      </w:r>
      <w:r w:rsidR="00DA0156" w:rsidRPr="00851E24">
        <w:rPr>
          <w:rFonts w:cstheme="minorHAnsi"/>
          <w:sz w:val="24"/>
          <w:szCs w:val="24"/>
        </w:rPr>
        <w:t xml:space="preserve">audience’s mobile communication and the role of influencing audiences. For example, husbands may be an influencing audience when wives have limited direct access to mobile phones. </w:t>
      </w:r>
      <w:r w:rsidR="00DA0156" w:rsidRPr="00851E24">
        <w:rPr>
          <w:rFonts w:cstheme="minorHAnsi"/>
          <w:bCs/>
          <w:sz w:val="24"/>
          <w:szCs w:val="24"/>
        </w:rPr>
        <w:t>The</w:t>
      </w:r>
      <w:r w:rsidR="00DA0156" w:rsidRPr="00851E24">
        <w:rPr>
          <w:rFonts w:cstheme="minorHAnsi"/>
          <w:b/>
          <w:bCs/>
          <w:sz w:val="24"/>
          <w:szCs w:val="24"/>
        </w:rPr>
        <w:t xml:space="preserve"> </w:t>
      </w:r>
      <w:r w:rsidR="00DA0156" w:rsidRPr="00851E24">
        <w:rPr>
          <w:rFonts w:cstheme="minorHAnsi"/>
          <w:bCs/>
          <w:sz w:val="24"/>
          <w:szCs w:val="24"/>
        </w:rPr>
        <w:t>Audience Segmentation</w:t>
      </w:r>
      <w:r w:rsidR="00DA0156" w:rsidRPr="00851E24">
        <w:rPr>
          <w:rFonts w:cstheme="minorHAnsi"/>
          <w:b/>
          <w:bCs/>
          <w:sz w:val="24"/>
          <w:szCs w:val="24"/>
        </w:rPr>
        <w:t xml:space="preserve"> </w:t>
      </w:r>
      <w:r w:rsidR="00DA0156" w:rsidRPr="00851E24">
        <w:rPr>
          <w:rFonts w:cstheme="minorHAnsi"/>
          <w:sz w:val="24"/>
          <w:szCs w:val="24"/>
        </w:rPr>
        <w:t xml:space="preserve">chapter refers to Sections 2 and 3 in the </w:t>
      </w:r>
      <w:proofErr w:type="spellStart"/>
      <w:r w:rsidR="00DA0156" w:rsidRPr="00851E24">
        <w:rPr>
          <w:rFonts w:cstheme="minorHAnsi"/>
          <w:sz w:val="24"/>
          <w:szCs w:val="24"/>
        </w:rPr>
        <w:t>mBCC</w:t>
      </w:r>
      <w:proofErr w:type="spellEnd"/>
      <w:r w:rsidR="00DA0156" w:rsidRPr="00851E24">
        <w:rPr>
          <w:rFonts w:cstheme="minorHAnsi"/>
          <w:sz w:val="24"/>
          <w:szCs w:val="24"/>
        </w:rPr>
        <w:t xml:space="preserve"> Field Guide Worksheet. </w:t>
      </w:r>
    </w:p>
    <w:p w:rsidR="003E1ABA" w:rsidRPr="00851E24" w:rsidRDefault="003E1ABA" w:rsidP="00DB5C44">
      <w:pPr>
        <w:spacing w:after="0"/>
        <w:jc w:val="both"/>
        <w:rPr>
          <w:rFonts w:cstheme="minorHAnsi"/>
          <w:sz w:val="24"/>
          <w:szCs w:val="24"/>
        </w:rPr>
      </w:pPr>
    </w:p>
    <w:p w:rsidR="00DA0156" w:rsidRPr="00851E24" w:rsidRDefault="00BB7AB5" w:rsidP="00DB5C44">
      <w:pPr>
        <w:spacing w:after="0"/>
        <w:jc w:val="both"/>
        <w:rPr>
          <w:rFonts w:cstheme="minorHAnsi"/>
          <w:sz w:val="24"/>
          <w:szCs w:val="24"/>
        </w:rPr>
      </w:pPr>
      <w:r w:rsidRPr="00851E24">
        <w:rPr>
          <w:rFonts w:cstheme="minorHAnsi"/>
          <w:sz w:val="24"/>
          <w:szCs w:val="24"/>
        </w:rPr>
        <w:t xml:space="preserve">The </w:t>
      </w:r>
      <w:r w:rsidRPr="00851E24">
        <w:rPr>
          <w:rFonts w:cstheme="minorHAnsi"/>
          <w:b/>
          <w:bCs/>
          <w:sz w:val="24"/>
          <w:szCs w:val="24"/>
        </w:rPr>
        <w:t xml:space="preserve">Behavior Change Objectives </w:t>
      </w:r>
      <w:r w:rsidRPr="00851E24">
        <w:rPr>
          <w:rFonts w:cstheme="minorHAnsi"/>
          <w:sz w:val="24"/>
          <w:szCs w:val="24"/>
        </w:rPr>
        <w:t>chapter focuses is on developing objectives for behavior change</w:t>
      </w:r>
      <w:r w:rsidR="003E1ABA" w:rsidRPr="00851E24">
        <w:rPr>
          <w:rFonts w:cstheme="minorHAnsi"/>
          <w:sz w:val="24"/>
          <w:szCs w:val="24"/>
        </w:rPr>
        <w:t xml:space="preserve"> and health needs</w:t>
      </w:r>
      <w:r w:rsidRPr="00851E24">
        <w:rPr>
          <w:rFonts w:cstheme="minorHAnsi"/>
          <w:sz w:val="24"/>
          <w:szCs w:val="24"/>
        </w:rPr>
        <w:t xml:space="preserve"> that are “SMART”. These measurable objectives can be complemented by</w:t>
      </w:r>
      <w:r w:rsidR="003E1ABA" w:rsidRPr="00851E24">
        <w:rPr>
          <w:rFonts w:cstheme="minorHAnsi"/>
          <w:sz w:val="24"/>
          <w:szCs w:val="24"/>
        </w:rPr>
        <w:t xml:space="preserve"> the</w:t>
      </w:r>
      <w:r w:rsidRPr="00851E24">
        <w:rPr>
          <w:rFonts w:cstheme="minorHAnsi"/>
          <w:sz w:val="24"/>
          <w:szCs w:val="24"/>
        </w:rPr>
        <w:t xml:space="preserve"> </w:t>
      </w:r>
      <w:r w:rsidR="003E1ABA" w:rsidRPr="00851E24">
        <w:rPr>
          <w:rFonts w:cstheme="minorHAnsi"/>
          <w:sz w:val="24"/>
          <w:szCs w:val="24"/>
        </w:rPr>
        <w:t xml:space="preserve">interim metrics that are provided for the mobile channel.  The objectives </w:t>
      </w:r>
      <w:r w:rsidRPr="00851E24">
        <w:rPr>
          <w:rFonts w:cstheme="minorHAnsi"/>
          <w:sz w:val="24"/>
          <w:szCs w:val="24"/>
        </w:rPr>
        <w:t>wi</w:t>
      </w:r>
      <w:r w:rsidR="003E1ABA" w:rsidRPr="00851E24">
        <w:rPr>
          <w:rFonts w:cstheme="minorHAnsi"/>
          <w:sz w:val="24"/>
          <w:szCs w:val="24"/>
        </w:rPr>
        <w:t>ll vary if you are using mobile phones as a standalone communication channel</w:t>
      </w:r>
      <w:r w:rsidRPr="00851E24">
        <w:rPr>
          <w:rFonts w:cstheme="minorHAnsi"/>
          <w:sz w:val="24"/>
          <w:szCs w:val="24"/>
        </w:rPr>
        <w:t xml:space="preserve"> instead of </w:t>
      </w:r>
      <w:r w:rsidR="003E1ABA" w:rsidRPr="00851E24">
        <w:rPr>
          <w:rFonts w:cstheme="minorHAnsi"/>
          <w:sz w:val="24"/>
          <w:szCs w:val="24"/>
        </w:rPr>
        <w:t xml:space="preserve">as part of </w:t>
      </w:r>
      <w:r w:rsidRPr="00851E24">
        <w:rPr>
          <w:rFonts w:cstheme="minorHAnsi"/>
          <w:sz w:val="24"/>
          <w:szCs w:val="24"/>
        </w:rPr>
        <w:t xml:space="preserve">a multi-channel integrated BCC program. </w:t>
      </w:r>
      <w:r w:rsidR="003E1ABA" w:rsidRPr="00851E24">
        <w:rPr>
          <w:rFonts w:cstheme="minorHAnsi"/>
          <w:sz w:val="24"/>
          <w:szCs w:val="24"/>
        </w:rPr>
        <w:t xml:space="preserve"> Mobile phones may complement other channels rather than replace them. </w:t>
      </w:r>
      <w:r w:rsidR="00DA0156" w:rsidRPr="00851E24">
        <w:rPr>
          <w:rFonts w:cstheme="minorHAnsi"/>
          <w:sz w:val="24"/>
          <w:szCs w:val="24"/>
        </w:rPr>
        <w:t xml:space="preserve">The </w:t>
      </w:r>
      <w:r w:rsidR="00DA0156" w:rsidRPr="00851E24">
        <w:rPr>
          <w:rFonts w:cstheme="minorHAnsi"/>
          <w:bCs/>
          <w:sz w:val="24"/>
          <w:szCs w:val="24"/>
        </w:rPr>
        <w:t xml:space="preserve">Behavior Change Objectives </w:t>
      </w:r>
      <w:r w:rsidR="00DA0156" w:rsidRPr="00851E24">
        <w:rPr>
          <w:rFonts w:cstheme="minorHAnsi"/>
          <w:sz w:val="24"/>
          <w:szCs w:val="24"/>
        </w:rPr>
        <w:t xml:space="preserve">chapter refers to Section 4 in the </w:t>
      </w:r>
      <w:proofErr w:type="spellStart"/>
      <w:r w:rsidR="00DA0156" w:rsidRPr="00851E24">
        <w:rPr>
          <w:rFonts w:cstheme="minorHAnsi"/>
          <w:sz w:val="24"/>
          <w:szCs w:val="24"/>
        </w:rPr>
        <w:t>mBCC</w:t>
      </w:r>
      <w:proofErr w:type="spellEnd"/>
      <w:r w:rsidR="00DA0156" w:rsidRPr="00851E24">
        <w:rPr>
          <w:rFonts w:cstheme="minorHAnsi"/>
          <w:sz w:val="24"/>
          <w:szCs w:val="24"/>
        </w:rPr>
        <w:t xml:space="preserve"> Field Guide Worksheet. </w:t>
      </w:r>
    </w:p>
    <w:p w:rsidR="003E1ABA" w:rsidRPr="00851E24" w:rsidRDefault="003E1ABA" w:rsidP="00DB5C44">
      <w:pPr>
        <w:spacing w:after="0"/>
        <w:jc w:val="both"/>
        <w:rPr>
          <w:rFonts w:cstheme="minorHAnsi"/>
          <w:sz w:val="24"/>
          <w:szCs w:val="24"/>
        </w:rPr>
      </w:pPr>
    </w:p>
    <w:p w:rsidR="00DA0156" w:rsidRPr="00851E24" w:rsidRDefault="00DA0156" w:rsidP="00DB5C44">
      <w:pPr>
        <w:spacing w:after="0"/>
        <w:jc w:val="both"/>
        <w:rPr>
          <w:rFonts w:cstheme="minorHAnsi"/>
          <w:sz w:val="24"/>
          <w:szCs w:val="24"/>
        </w:rPr>
      </w:pPr>
      <w:r w:rsidRPr="00851E24">
        <w:rPr>
          <w:rFonts w:cstheme="minorHAnsi"/>
          <w:sz w:val="24"/>
          <w:szCs w:val="24"/>
        </w:rPr>
        <w:t xml:space="preserve">The </w:t>
      </w:r>
      <w:r w:rsidRPr="00851E24">
        <w:rPr>
          <w:rFonts w:cstheme="minorHAnsi"/>
          <w:b/>
          <w:bCs/>
          <w:sz w:val="24"/>
          <w:szCs w:val="24"/>
        </w:rPr>
        <w:t xml:space="preserve">Message Development </w:t>
      </w:r>
      <w:r w:rsidRPr="00851E24">
        <w:rPr>
          <w:rFonts w:cstheme="minorHAnsi"/>
          <w:sz w:val="24"/>
          <w:szCs w:val="24"/>
        </w:rPr>
        <w:t>chapter discusses formative research to developing appropriate messages for the audience. Formative research and pretesting can be important for</w:t>
      </w:r>
      <w:r w:rsidR="000648EB" w:rsidRPr="00851E24">
        <w:rPr>
          <w:rFonts w:cstheme="minorHAnsi"/>
          <w:sz w:val="24"/>
          <w:szCs w:val="24"/>
        </w:rPr>
        <w:t xml:space="preserve"> adapting to</w:t>
      </w:r>
      <w:r w:rsidRPr="00851E24">
        <w:rPr>
          <w:rFonts w:cstheme="minorHAnsi"/>
          <w:sz w:val="24"/>
          <w:szCs w:val="24"/>
        </w:rPr>
        <w:t xml:space="preserve"> language an</w:t>
      </w:r>
      <w:r w:rsidR="000648EB" w:rsidRPr="00851E24">
        <w:rPr>
          <w:rFonts w:cstheme="minorHAnsi"/>
          <w:sz w:val="24"/>
          <w:szCs w:val="24"/>
        </w:rPr>
        <w:t>d literacy requirements in a 160-character SMS or interactive voice response (IVR)</w:t>
      </w:r>
      <w:r w:rsidRPr="00851E24">
        <w:rPr>
          <w:rFonts w:cstheme="minorHAnsi"/>
          <w:sz w:val="24"/>
          <w:szCs w:val="24"/>
        </w:rPr>
        <w:t xml:space="preserve">. </w:t>
      </w:r>
      <w:r w:rsidRPr="00851E24">
        <w:rPr>
          <w:rFonts w:cstheme="minorHAnsi"/>
          <w:sz w:val="24"/>
          <w:szCs w:val="24"/>
        </w:rPr>
        <w:lastRenderedPageBreak/>
        <w:t xml:space="preserve">The </w:t>
      </w:r>
      <w:r w:rsidRPr="00851E24">
        <w:rPr>
          <w:rFonts w:cstheme="minorHAnsi"/>
          <w:bCs/>
          <w:sz w:val="24"/>
          <w:szCs w:val="24"/>
        </w:rPr>
        <w:t>Message Development</w:t>
      </w:r>
      <w:r w:rsidRPr="00851E24">
        <w:rPr>
          <w:rFonts w:cstheme="minorHAnsi"/>
          <w:b/>
          <w:bCs/>
          <w:sz w:val="24"/>
          <w:szCs w:val="24"/>
        </w:rPr>
        <w:t xml:space="preserve"> </w:t>
      </w:r>
      <w:r w:rsidRPr="00851E24">
        <w:rPr>
          <w:rFonts w:cstheme="minorHAnsi"/>
          <w:sz w:val="24"/>
          <w:szCs w:val="24"/>
        </w:rPr>
        <w:t xml:space="preserve">chapter refers to Section 5 Creative Brief in the </w:t>
      </w:r>
      <w:proofErr w:type="spellStart"/>
      <w:r w:rsidRPr="00851E24">
        <w:rPr>
          <w:rFonts w:cstheme="minorHAnsi"/>
          <w:sz w:val="24"/>
          <w:szCs w:val="24"/>
        </w:rPr>
        <w:t>mBCC</w:t>
      </w:r>
      <w:proofErr w:type="spellEnd"/>
      <w:r w:rsidRPr="00851E24">
        <w:rPr>
          <w:rFonts w:cstheme="minorHAnsi"/>
          <w:sz w:val="24"/>
          <w:szCs w:val="24"/>
        </w:rPr>
        <w:t xml:space="preserve"> Field Guide Worksheet, which can be used by partners such as advertising agencies. </w:t>
      </w:r>
    </w:p>
    <w:p w:rsidR="003E1ABA" w:rsidRPr="00851E24" w:rsidRDefault="003E1ABA" w:rsidP="00DB5C44">
      <w:pPr>
        <w:spacing w:after="0"/>
        <w:jc w:val="both"/>
        <w:rPr>
          <w:rFonts w:cstheme="minorHAnsi"/>
          <w:sz w:val="24"/>
          <w:szCs w:val="24"/>
        </w:rPr>
      </w:pPr>
    </w:p>
    <w:p w:rsidR="000648EB" w:rsidRPr="00851E24" w:rsidRDefault="000648EB" w:rsidP="00DB5C44">
      <w:pPr>
        <w:pStyle w:val="Default"/>
        <w:jc w:val="both"/>
        <w:rPr>
          <w:rFonts w:asciiTheme="minorHAnsi" w:hAnsiTheme="minorHAnsi" w:cstheme="minorHAnsi"/>
        </w:rPr>
      </w:pPr>
      <w:r w:rsidRPr="00851E24">
        <w:rPr>
          <w:rFonts w:asciiTheme="minorHAnsi" w:hAnsiTheme="minorHAnsi" w:cstheme="minorHAnsi"/>
        </w:rPr>
        <w:t xml:space="preserve">The </w:t>
      </w:r>
      <w:r w:rsidRPr="00851E24">
        <w:rPr>
          <w:rFonts w:asciiTheme="minorHAnsi" w:hAnsiTheme="minorHAnsi" w:cstheme="minorHAnsi"/>
          <w:b/>
          <w:bCs/>
        </w:rPr>
        <w:t xml:space="preserve">Tools &amp; Technologies </w:t>
      </w:r>
      <w:r w:rsidRPr="00851E24">
        <w:rPr>
          <w:rFonts w:asciiTheme="minorHAnsi" w:hAnsiTheme="minorHAnsi" w:cstheme="minorHAnsi"/>
        </w:rPr>
        <w:t xml:space="preserve">chapter addresses selection of communication support tools and technologies to </w:t>
      </w:r>
      <w:r w:rsidR="00B36897" w:rsidRPr="00851E24">
        <w:rPr>
          <w:rFonts w:asciiTheme="minorHAnsi" w:hAnsiTheme="minorHAnsi" w:cstheme="minorHAnsi"/>
        </w:rPr>
        <w:t xml:space="preserve">deliver </w:t>
      </w:r>
      <w:proofErr w:type="spellStart"/>
      <w:r w:rsidR="00B36897" w:rsidRPr="00851E24">
        <w:rPr>
          <w:rFonts w:asciiTheme="minorHAnsi" w:hAnsiTheme="minorHAnsi" w:cstheme="minorHAnsi"/>
        </w:rPr>
        <w:t>mBCC</w:t>
      </w:r>
      <w:proofErr w:type="spellEnd"/>
      <w:r w:rsidR="00B36897" w:rsidRPr="00851E24">
        <w:rPr>
          <w:rFonts w:asciiTheme="minorHAnsi" w:hAnsiTheme="minorHAnsi" w:cstheme="minorHAnsi"/>
        </w:rPr>
        <w:t xml:space="preserve"> messages, as well as their incorporation with</w:t>
      </w:r>
      <w:r w:rsidRPr="00851E24">
        <w:rPr>
          <w:rFonts w:asciiTheme="minorHAnsi" w:hAnsiTheme="minorHAnsi" w:cstheme="minorHAnsi"/>
        </w:rPr>
        <w:t xml:space="preserve"> other channels. </w:t>
      </w:r>
      <w:r w:rsidR="00B36897" w:rsidRPr="00851E24">
        <w:rPr>
          <w:rFonts w:asciiTheme="minorHAnsi" w:hAnsiTheme="minorHAnsi" w:cstheme="minorHAnsi"/>
        </w:rPr>
        <w:t xml:space="preserve"> Tools can be designed for one-one communication (a phone call to a patient), one-to-many (reminders to all patients), many-to-one (a national radio station </w:t>
      </w:r>
      <w:proofErr w:type="gramStart"/>
      <w:r w:rsidR="00B36897" w:rsidRPr="00851E24">
        <w:rPr>
          <w:rFonts w:asciiTheme="minorHAnsi" w:hAnsiTheme="minorHAnsi" w:cstheme="minorHAnsi"/>
        </w:rPr>
        <w:t>asking  listeners</w:t>
      </w:r>
      <w:proofErr w:type="gramEnd"/>
      <w:r w:rsidR="00B36897" w:rsidRPr="00851E24">
        <w:rPr>
          <w:rFonts w:asciiTheme="minorHAnsi" w:hAnsiTheme="minorHAnsi" w:cstheme="minorHAnsi"/>
        </w:rPr>
        <w:t xml:space="preserve"> to SMS responses to a health quiz) or many-to-many (</w:t>
      </w:r>
      <w:r w:rsidR="00A00832" w:rsidRPr="00851E24">
        <w:rPr>
          <w:rFonts w:asciiTheme="minorHAnsi" w:hAnsiTheme="minorHAnsi" w:cstheme="minorHAnsi"/>
        </w:rPr>
        <w:t>c</w:t>
      </w:r>
      <w:r w:rsidR="00B36897" w:rsidRPr="00851E24">
        <w:rPr>
          <w:rFonts w:asciiTheme="minorHAnsi" w:hAnsiTheme="minorHAnsi" w:cstheme="minorHAnsi"/>
        </w:rPr>
        <w:t>hat rooms or mobile forums). The chapter covers</w:t>
      </w:r>
      <w:r w:rsidRPr="00851E24">
        <w:rPr>
          <w:rFonts w:asciiTheme="minorHAnsi" w:hAnsiTheme="minorHAnsi" w:cstheme="minorHAnsi"/>
        </w:rPr>
        <w:t xml:space="preserve"> </w:t>
      </w:r>
      <w:r w:rsidR="00B36897" w:rsidRPr="00851E24">
        <w:rPr>
          <w:rFonts w:asciiTheme="minorHAnsi" w:hAnsiTheme="minorHAnsi" w:cstheme="minorHAnsi"/>
        </w:rPr>
        <w:t xml:space="preserve">the reach, </w:t>
      </w:r>
      <w:r w:rsidRPr="00851E24">
        <w:rPr>
          <w:rFonts w:asciiTheme="minorHAnsi" w:hAnsiTheme="minorHAnsi" w:cstheme="minorHAnsi"/>
        </w:rPr>
        <w:t>frequency, platforms and applications</w:t>
      </w:r>
      <w:r w:rsidR="00B36897" w:rsidRPr="00851E24">
        <w:rPr>
          <w:rFonts w:asciiTheme="minorHAnsi" w:hAnsiTheme="minorHAnsi" w:cstheme="minorHAnsi"/>
        </w:rPr>
        <w:t xml:space="preserve"> for communication</w:t>
      </w:r>
      <w:r w:rsidRPr="00851E24">
        <w:rPr>
          <w:rFonts w:asciiTheme="minorHAnsi" w:hAnsiTheme="minorHAnsi" w:cstheme="minorHAnsi"/>
        </w:rPr>
        <w:t xml:space="preserve">, </w:t>
      </w:r>
      <w:r w:rsidR="00B36897" w:rsidRPr="00851E24">
        <w:rPr>
          <w:rFonts w:asciiTheme="minorHAnsi" w:hAnsiTheme="minorHAnsi" w:cstheme="minorHAnsi"/>
        </w:rPr>
        <w:t>as well as</w:t>
      </w:r>
      <w:r w:rsidRPr="00851E24">
        <w:rPr>
          <w:rFonts w:asciiTheme="minorHAnsi" w:hAnsiTheme="minorHAnsi" w:cstheme="minorHAnsi"/>
        </w:rPr>
        <w:t xml:space="preserve"> </w:t>
      </w:r>
      <w:r w:rsidR="00B36897" w:rsidRPr="00851E24">
        <w:rPr>
          <w:rFonts w:asciiTheme="minorHAnsi" w:hAnsiTheme="minorHAnsi" w:cstheme="minorHAnsi"/>
        </w:rPr>
        <w:t xml:space="preserve">the </w:t>
      </w:r>
      <w:r w:rsidRPr="00851E24">
        <w:rPr>
          <w:rFonts w:asciiTheme="minorHAnsi" w:hAnsiTheme="minorHAnsi" w:cstheme="minorHAnsi"/>
        </w:rPr>
        <w:t xml:space="preserve">capacity of your </w:t>
      </w:r>
      <w:r w:rsidR="00B36897" w:rsidRPr="00851E24">
        <w:rPr>
          <w:rFonts w:asciiTheme="minorHAnsi" w:hAnsiTheme="minorHAnsi" w:cstheme="minorHAnsi"/>
        </w:rPr>
        <w:t xml:space="preserve">organization </w:t>
      </w:r>
      <w:r w:rsidRPr="00851E24">
        <w:rPr>
          <w:rFonts w:asciiTheme="minorHAnsi" w:hAnsiTheme="minorHAnsi" w:cstheme="minorHAnsi"/>
        </w:rPr>
        <w:t>to manage a technology-based program</w:t>
      </w:r>
      <w:r w:rsidR="00B36897" w:rsidRPr="00851E24">
        <w:rPr>
          <w:rFonts w:asciiTheme="minorHAnsi" w:hAnsiTheme="minorHAnsi" w:cstheme="minorHAnsi"/>
        </w:rPr>
        <w:t xml:space="preserve">.  The </w:t>
      </w:r>
      <w:r w:rsidR="00B36897" w:rsidRPr="00851E24">
        <w:rPr>
          <w:rFonts w:asciiTheme="minorHAnsi" w:hAnsiTheme="minorHAnsi" w:cstheme="minorHAnsi"/>
          <w:bCs/>
        </w:rPr>
        <w:t xml:space="preserve">Tools &amp; Technologies </w:t>
      </w:r>
      <w:r w:rsidR="00B36897" w:rsidRPr="00851E24">
        <w:rPr>
          <w:rFonts w:asciiTheme="minorHAnsi" w:hAnsiTheme="minorHAnsi" w:cstheme="minorHAnsi"/>
        </w:rPr>
        <w:t xml:space="preserve">chapter refers to Sections 6, 7 and </w:t>
      </w:r>
      <w:proofErr w:type="gramStart"/>
      <w:r w:rsidR="00B36897" w:rsidRPr="00851E24">
        <w:rPr>
          <w:rFonts w:asciiTheme="minorHAnsi" w:hAnsiTheme="minorHAnsi" w:cstheme="minorHAnsi"/>
        </w:rPr>
        <w:t>8  in</w:t>
      </w:r>
      <w:proofErr w:type="gramEnd"/>
      <w:r w:rsidR="00B36897" w:rsidRPr="00851E24">
        <w:rPr>
          <w:rFonts w:asciiTheme="minorHAnsi" w:hAnsiTheme="minorHAnsi" w:cstheme="minorHAnsi"/>
        </w:rPr>
        <w:t xml:space="preserve"> the </w:t>
      </w:r>
      <w:proofErr w:type="spellStart"/>
      <w:r w:rsidR="00B36897" w:rsidRPr="00851E24">
        <w:rPr>
          <w:rFonts w:asciiTheme="minorHAnsi" w:hAnsiTheme="minorHAnsi" w:cstheme="minorHAnsi"/>
        </w:rPr>
        <w:t>mBCC</w:t>
      </w:r>
      <w:proofErr w:type="spellEnd"/>
      <w:r w:rsidR="00B36897" w:rsidRPr="00851E24">
        <w:rPr>
          <w:rFonts w:asciiTheme="minorHAnsi" w:hAnsiTheme="minorHAnsi" w:cstheme="minorHAnsi"/>
        </w:rPr>
        <w:t xml:space="preserve"> Field Guide Worksheet</w:t>
      </w:r>
      <w:r w:rsidR="00A00832" w:rsidRPr="00851E24">
        <w:rPr>
          <w:rFonts w:asciiTheme="minorHAnsi" w:hAnsiTheme="minorHAnsi" w:cstheme="minorHAnsi"/>
        </w:rPr>
        <w:t xml:space="preserve">. </w:t>
      </w:r>
    </w:p>
    <w:p w:rsidR="000648EB" w:rsidRPr="00851E24" w:rsidRDefault="000648EB" w:rsidP="00DB5C44">
      <w:pPr>
        <w:spacing w:after="0"/>
        <w:jc w:val="both"/>
        <w:rPr>
          <w:rFonts w:cstheme="minorHAnsi"/>
          <w:sz w:val="24"/>
          <w:szCs w:val="24"/>
        </w:rPr>
      </w:pPr>
    </w:p>
    <w:p w:rsidR="003D2929" w:rsidRPr="00851E24" w:rsidRDefault="003D2929" w:rsidP="00DB5C44">
      <w:pPr>
        <w:pStyle w:val="Default"/>
        <w:jc w:val="both"/>
        <w:rPr>
          <w:rFonts w:asciiTheme="minorHAnsi" w:hAnsiTheme="minorHAnsi" w:cstheme="minorHAnsi"/>
        </w:rPr>
      </w:pPr>
      <w:r w:rsidRPr="00851E24">
        <w:rPr>
          <w:rFonts w:asciiTheme="minorHAnsi" w:hAnsiTheme="minorHAnsi" w:cstheme="minorHAnsi"/>
        </w:rPr>
        <w:t xml:space="preserve">The </w:t>
      </w:r>
      <w:r w:rsidRPr="00851E24">
        <w:rPr>
          <w:rFonts w:asciiTheme="minorHAnsi" w:hAnsiTheme="minorHAnsi" w:cstheme="minorHAnsi"/>
          <w:b/>
          <w:bCs/>
        </w:rPr>
        <w:t xml:space="preserve">Monitoring &amp; Evaluation </w:t>
      </w:r>
      <w:r w:rsidRPr="00851E24">
        <w:rPr>
          <w:rFonts w:asciiTheme="minorHAnsi" w:hAnsiTheme="minorHAnsi" w:cstheme="minorHAnsi"/>
        </w:rPr>
        <w:t xml:space="preserve">chapter discusses M&amp;E challenges that are unique to </w:t>
      </w:r>
      <w:proofErr w:type="spellStart"/>
      <w:r w:rsidRPr="00851E24">
        <w:rPr>
          <w:rFonts w:asciiTheme="minorHAnsi" w:hAnsiTheme="minorHAnsi" w:cstheme="minorHAnsi"/>
        </w:rPr>
        <w:t>mBCC</w:t>
      </w:r>
      <w:proofErr w:type="spellEnd"/>
      <w:r w:rsidRPr="00851E24">
        <w:rPr>
          <w:rFonts w:asciiTheme="minorHAnsi" w:hAnsiTheme="minorHAnsi" w:cstheme="minorHAnsi"/>
        </w:rPr>
        <w:t xml:space="preserve">. </w:t>
      </w:r>
      <w:r w:rsidR="00EB7BE8" w:rsidRPr="00851E24">
        <w:rPr>
          <w:rFonts w:asciiTheme="minorHAnsi" w:hAnsiTheme="minorHAnsi" w:cstheme="minorHAnsi"/>
        </w:rPr>
        <w:t xml:space="preserve">A case study illustrates the need for monitoring message reception is necessary to resolve problems and reach audiences. Evaluating the impact of </w:t>
      </w:r>
      <w:proofErr w:type="spellStart"/>
      <w:r w:rsidR="00EB7BE8" w:rsidRPr="00851E24">
        <w:rPr>
          <w:rFonts w:asciiTheme="minorHAnsi" w:hAnsiTheme="minorHAnsi" w:cstheme="minorHAnsi"/>
        </w:rPr>
        <w:t>mBCC</w:t>
      </w:r>
      <w:proofErr w:type="spellEnd"/>
      <w:r w:rsidR="00EB7BE8" w:rsidRPr="00851E24">
        <w:rPr>
          <w:rFonts w:asciiTheme="minorHAnsi" w:hAnsiTheme="minorHAnsi" w:cstheme="minorHAnsi"/>
        </w:rPr>
        <w:t xml:space="preserve"> can also be difficult in a multi-channel campaign. </w:t>
      </w:r>
      <w:r w:rsidRPr="00851E24">
        <w:rPr>
          <w:rFonts w:asciiTheme="minorHAnsi" w:hAnsiTheme="minorHAnsi" w:cstheme="minorHAnsi"/>
        </w:rPr>
        <w:t xml:space="preserve">The </w:t>
      </w:r>
      <w:r w:rsidRPr="00851E24">
        <w:rPr>
          <w:rFonts w:asciiTheme="minorHAnsi" w:hAnsiTheme="minorHAnsi" w:cstheme="minorHAnsi"/>
          <w:bCs/>
        </w:rPr>
        <w:t>Monitoring &amp; Evaluation</w:t>
      </w:r>
      <w:r w:rsidRPr="00851E24">
        <w:rPr>
          <w:rFonts w:asciiTheme="minorHAnsi" w:hAnsiTheme="minorHAnsi" w:cstheme="minorHAnsi"/>
          <w:b/>
          <w:bCs/>
        </w:rPr>
        <w:t xml:space="preserve"> </w:t>
      </w:r>
      <w:r w:rsidRPr="00851E24">
        <w:rPr>
          <w:rFonts w:asciiTheme="minorHAnsi" w:hAnsiTheme="minorHAnsi" w:cstheme="minorHAnsi"/>
        </w:rPr>
        <w:t>chapter refers to the M&amp;E template</w:t>
      </w:r>
      <w:r w:rsidR="00EB7BE8" w:rsidRPr="00851E24">
        <w:rPr>
          <w:rFonts w:asciiTheme="minorHAnsi" w:hAnsiTheme="minorHAnsi" w:cstheme="minorHAnsi"/>
        </w:rPr>
        <w:t xml:space="preserve"> in </w:t>
      </w:r>
      <w:r w:rsidRPr="00851E24">
        <w:rPr>
          <w:rFonts w:asciiTheme="minorHAnsi" w:hAnsiTheme="minorHAnsi" w:cstheme="minorHAnsi"/>
        </w:rPr>
        <w:t xml:space="preserve">the </w:t>
      </w:r>
      <w:proofErr w:type="spellStart"/>
      <w:r w:rsidRPr="00851E24">
        <w:rPr>
          <w:rFonts w:asciiTheme="minorHAnsi" w:hAnsiTheme="minorHAnsi" w:cstheme="minorHAnsi"/>
        </w:rPr>
        <w:t>mBCC</w:t>
      </w:r>
      <w:proofErr w:type="spellEnd"/>
      <w:r w:rsidRPr="00851E24">
        <w:rPr>
          <w:rFonts w:asciiTheme="minorHAnsi" w:hAnsiTheme="minorHAnsi" w:cstheme="minorHAnsi"/>
        </w:rPr>
        <w:t xml:space="preserve"> Field Guide Worksheet. </w:t>
      </w:r>
    </w:p>
    <w:p w:rsidR="003D2929" w:rsidRPr="00851E24" w:rsidRDefault="003D2929" w:rsidP="00DB5C44">
      <w:pPr>
        <w:pStyle w:val="Default"/>
        <w:jc w:val="both"/>
        <w:rPr>
          <w:rFonts w:asciiTheme="minorHAnsi" w:hAnsiTheme="minorHAnsi" w:cstheme="minorHAnsi"/>
        </w:rPr>
      </w:pPr>
    </w:p>
    <w:p w:rsidR="00615F7C" w:rsidRPr="00851E24" w:rsidRDefault="00EB7BE8" w:rsidP="00DB5C44">
      <w:pPr>
        <w:pStyle w:val="Default"/>
        <w:jc w:val="both"/>
        <w:rPr>
          <w:rFonts w:asciiTheme="minorHAnsi" w:hAnsiTheme="minorHAnsi" w:cstheme="minorHAnsi"/>
          <w:u w:val="single"/>
        </w:rPr>
      </w:pPr>
      <w:r w:rsidRPr="00851E24">
        <w:rPr>
          <w:rFonts w:asciiTheme="minorHAnsi" w:hAnsiTheme="minorHAnsi" w:cstheme="minorHAnsi"/>
          <w:u w:val="single"/>
        </w:rPr>
        <w:t>Group</w:t>
      </w:r>
      <w:r w:rsidR="00AD0BB1" w:rsidRPr="00851E24">
        <w:rPr>
          <w:rFonts w:asciiTheme="minorHAnsi" w:hAnsiTheme="minorHAnsi" w:cstheme="minorHAnsi"/>
          <w:u w:val="single"/>
        </w:rPr>
        <w:t xml:space="preserve"> </w:t>
      </w:r>
      <w:r w:rsidRPr="00851E24">
        <w:rPr>
          <w:rFonts w:asciiTheme="minorHAnsi" w:hAnsiTheme="minorHAnsi" w:cstheme="minorHAnsi"/>
          <w:u w:val="single"/>
        </w:rPr>
        <w:t>Discussion and Q&amp;A</w:t>
      </w:r>
    </w:p>
    <w:p w:rsidR="00A00832" w:rsidRPr="00851E24" w:rsidRDefault="00EB7BE8" w:rsidP="00DB5C44">
      <w:pPr>
        <w:spacing w:after="0"/>
        <w:jc w:val="both"/>
        <w:rPr>
          <w:rFonts w:cstheme="minorHAnsi"/>
          <w:sz w:val="24"/>
          <w:szCs w:val="24"/>
        </w:rPr>
      </w:pPr>
      <w:r w:rsidRPr="00851E24">
        <w:rPr>
          <w:rFonts w:cstheme="minorHAnsi"/>
          <w:sz w:val="24"/>
          <w:szCs w:val="24"/>
        </w:rPr>
        <w:t xml:space="preserve">Participants said the </w:t>
      </w:r>
      <w:proofErr w:type="spellStart"/>
      <w:r w:rsidRPr="00851E24">
        <w:rPr>
          <w:rFonts w:cstheme="minorHAnsi"/>
          <w:sz w:val="24"/>
          <w:szCs w:val="24"/>
        </w:rPr>
        <w:t>mBCC</w:t>
      </w:r>
      <w:proofErr w:type="spellEnd"/>
      <w:r w:rsidRPr="00851E24">
        <w:rPr>
          <w:rFonts w:cstheme="minorHAnsi"/>
          <w:sz w:val="24"/>
          <w:szCs w:val="24"/>
        </w:rPr>
        <w:t xml:space="preserve"> Field Guide </w:t>
      </w:r>
      <w:proofErr w:type="gramStart"/>
      <w:r w:rsidR="00913705" w:rsidRPr="00851E24">
        <w:rPr>
          <w:rFonts w:cstheme="minorHAnsi"/>
          <w:sz w:val="24"/>
          <w:szCs w:val="24"/>
        </w:rPr>
        <w:t>makes</w:t>
      </w:r>
      <w:r w:rsidR="00237853" w:rsidRPr="00851E24">
        <w:rPr>
          <w:rFonts w:cstheme="minorHAnsi"/>
          <w:sz w:val="24"/>
          <w:szCs w:val="24"/>
        </w:rPr>
        <w:t xml:space="preserve">  it</w:t>
      </w:r>
      <w:proofErr w:type="gramEnd"/>
      <w:r w:rsidR="00237853" w:rsidRPr="00851E24">
        <w:rPr>
          <w:rFonts w:cstheme="minorHAnsi"/>
          <w:sz w:val="24"/>
          <w:szCs w:val="24"/>
        </w:rPr>
        <w:t xml:space="preserve"> easier</w:t>
      </w:r>
      <w:r w:rsidR="00913705" w:rsidRPr="00851E24">
        <w:rPr>
          <w:rFonts w:cstheme="minorHAnsi"/>
          <w:sz w:val="24"/>
          <w:szCs w:val="24"/>
        </w:rPr>
        <w:t xml:space="preserve"> to discuss</w:t>
      </w:r>
      <w:r w:rsidR="00237853" w:rsidRPr="00851E24">
        <w:rPr>
          <w:rFonts w:cstheme="minorHAnsi"/>
          <w:sz w:val="24"/>
          <w:szCs w:val="24"/>
        </w:rPr>
        <w:t xml:space="preserve"> </w:t>
      </w:r>
      <w:r w:rsidR="00913705" w:rsidRPr="00851E24">
        <w:rPr>
          <w:rFonts w:cstheme="minorHAnsi"/>
          <w:sz w:val="24"/>
          <w:szCs w:val="24"/>
        </w:rPr>
        <w:t xml:space="preserve">mHealth with </w:t>
      </w:r>
      <w:r w:rsidR="00237853" w:rsidRPr="00851E24">
        <w:rPr>
          <w:rFonts w:cstheme="minorHAnsi"/>
          <w:sz w:val="24"/>
          <w:szCs w:val="24"/>
        </w:rPr>
        <w:t xml:space="preserve">colleagues </w:t>
      </w:r>
      <w:r w:rsidR="00913705" w:rsidRPr="00851E24">
        <w:rPr>
          <w:rFonts w:cstheme="minorHAnsi"/>
          <w:sz w:val="24"/>
          <w:szCs w:val="24"/>
        </w:rPr>
        <w:t xml:space="preserve">that are unfamiliar with mHealth. </w:t>
      </w:r>
      <w:r w:rsidR="00A00832" w:rsidRPr="00851E24">
        <w:rPr>
          <w:rFonts w:cstheme="minorHAnsi"/>
          <w:sz w:val="24"/>
          <w:szCs w:val="24"/>
        </w:rPr>
        <w:t xml:space="preserve"> Comments highlighted numerous sections of the Field Guide. It is important to reiterate the Field Guide’s point that mHealth is one of many tools for BCC, and should not be seen as a substitute for traditional methods. The Field Guide is focused on low-end phones rather than smart phones because the need to reach broad audiences in low resource countries. The Field Guide also acknowledges of reaching target populations due to literacy and access barriers, and the importance of “</w:t>
      </w:r>
      <w:r w:rsidR="00A00832" w:rsidRPr="00851E24">
        <w:rPr>
          <w:rFonts w:cstheme="minorHAnsi"/>
          <w:b/>
          <w:sz w:val="24"/>
          <w:szCs w:val="24"/>
        </w:rPr>
        <w:t>proximate literacy</w:t>
      </w:r>
      <w:r w:rsidR="00A00832" w:rsidRPr="00851E24">
        <w:rPr>
          <w:rFonts w:cstheme="minorHAnsi"/>
          <w:sz w:val="24"/>
          <w:szCs w:val="24"/>
        </w:rPr>
        <w:t xml:space="preserve">” through communication with secondary beneficiaries. </w:t>
      </w:r>
      <w:r w:rsidR="000C445C" w:rsidRPr="00851E24">
        <w:rPr>
          <w:rFonts w:cstheme="minorHAnsi"/>
          <w:sz w:val="24"/>
          <w:szCs w:val="24"/>
        </w:rPr>
        <w:t>The risk</w:t>
      </w:r>
      <w:r w:rsidR="00851E24">
        <w:rPr>
          <w:rFonts w:cstheme="minorHAnsi"/>
          <w:sz w:val="24"/>
          <w:szCs w:val="24"/>
        </w:rPr>
        <w:t>s</w:t>
      </w:r>
      <w:r w:rsidR="000C445C" w:rsidRPr="00851E24">
        <w:rPr>
          <w:rFonts w:cstheme="minorHAnsi"/>
          <w:sz w:val="24"/>
          <w:szCs w:val="24"/>
        </w:rPr>
        <w:t xml:space="preserve"> of n</w:t>
      </w:r>
      <w:r w:rsidR="00A00832" w:rsidRPr="00851E24">
        <w:rPr>
          <w:rFonts w:cstheme="minorHAnsi"/>
          <w:sz w:val="24"/>
          <w:szCs w:val="24"/>
        </w:rPr>
        <w:t xml:space="preserve">egative consequences </w:t>
      </w:r>
      <w:r w:rsidR="000C445C" w:rsidRPr="00851E24">
        <w:rPr>
          <w:rFonts w:cstheme="minorHAnsi"/>
          <w:sz w:val="24"/>
          <w:szCs w:val="24"/>
        </w:rPr>
        <w:t xml:space="preserve">are also covered in the sections on </w:t>
      </w:r>
      <w:r w:rsidR="000C445C" w:rsidRPr="00851E24">
        <w:rPr>
          <w:rFonts w:cstheme="minorHAnsi"/>
          <w:b/>
          <w:sz w:val="24"/>
          <w:szCs w:val="24"/>
        </w:rPr>
        <w:t>sensitive information and privacy</w:t>
      </w:r>
      <w:r w:rsidR="000C445C" w:rsidRPr="00851E24">
        <w:rPr>
          <w:rFonts w:cstheme="minorHAnsi"/>
          <w:sz w:val="24"/>
          <w:szCs w:val="24"/>
        </w:rPr>
        <w:t xml:space="preserve"> in the Situation Analysis chapter. Each of these topics may merit further exploration. </w:t>
      </w:r>
    </w:p>
    <w:p w:rsidR="000C445C" w:rsidRPr="00851E24" w:rsidRDefault="000C445C" w:rsidP="00DB5C44">
      <w:pPr>
        <w:spacing w:after="0"/>
        <w:jc w:val="both"/>
        <w:rPr>
          <w:rFonts w:cstheme="minorHAnsi"/>
          <w:sz w:val="24"/>
          <w:szCs w:val="24"/>
        </w:rPr>
      </w:pPr>
    </w:p>
    <w:p w:rsidR="000C445C" w:rsidRPr="00851E24" w:rsidRDefault="000C445C" w:rsidP="00DB5C44">
      <w:pPr>
        <w:spacing w:after="0"/>
        <w:jc w:val="both"/>
        <w:rPr>
          <w:rFonts w:cstheme="minorHAnsi"/>
          <w:sz w:val="24"/>
          <w:szCs w:val="24"/>
        </w:rPr>
      </w:pPr>
      <w:r w:rsidRPr="00851E24">
        <w:rPr>
          <w:rFonts w:cstheme="minorHAnsi"/>
          <w:sz w:val="24"/>
          <w:szCs w:val="24"/>
        </w:rPr>
        <w:t xml:space="preserve">Participants also raised numerous ways to improve and expand the </w:t>
      </w:r>
      <w:proofErr w:type="spellStart"/>
      <w:r w:rsidRPr="00851E24">
        <w:rPr>
          <w:rFonts w:cstheme="minorHAnsi"/>
          <w:sz w:val="24"/>
          <w:szCs w:val="24"/>
        </w:rPr>
        <w:t>mBCC</w:t>
      </w:r>
      <w:proofErr w:type="spellEnd"/>
      <w:r w:rsidRPr="00851E24">
        <w:rPr>
          <w:rFonts w:cstheme="minorHAnsi"/>
          <w:sz w:val="24"/>
          <w:szCs w:val="24"/>
        </w:rPr>
        <w:t xml:space="preserve"> Field Guide. A section could list </w:t>
      </w:r>
      <w:r w:rsidRPr="00851E24">
        <w:rPr>
          <w:rFonts w:cstheme="minorHAnsi"/>
          <w:b/>
          <w:sz w:val="24"/>
          <w:szCs w:val="24"/>
        </w:rPr>
        <w:t>ways to evaluate technology tools</w:t>
      </w:r>
      <w:r w:rsidRPr="00851E24">
        <w:rPr>
          <w:rFonts w:cstheme="minorHAnsi"/>
          <w:sz w:val="24"/>
          <w:szCs w:val="24"/>
        </w:rPr>
        <w:t xml:space="preserve"> for </w:t>
      </w:r>
      <w:proofErr w:type="spellStart"/>
      <w:r w:rsidRPr="00851E24">
        <w:rPr>
          <w:rFonts w:cstheme="minorHAnsi"/>
          <w:sz w:val="24"/>
          <w:szCs w:val="24"/>
        </w:rPr>
        <w:t>mBCC</w:t>
      </w:r>
      <w:proofErr w:type="spellEnd"/>
      <w:r w:rsidRPr="00851E24">
        <w:rPr>
          <w:rFonts w:cstheme="minorHAnsi"/>
          <w:sz w:val="24"/>
          <w:szCs w:val="24"/>
        </w:rPr>
        <w:t xml:space="preserve">. A check sheet for cost would also make it easier to </w:t>
      </w:r>
      <w:r w:rsidRPr="00851E24">
        <w:rPr>
          <w:rFonts w:cstheme="minorHAnsi"/>
          <w:b/>
          <w:sz w:val="24"/>
          <w:szCs w:val="24"/>
        </w:rPr>
        <w:t>estimate the costs of using technology tools</w:t>
      </w:r>
      <w:r w:rsidRPr="00851E24">
        <w:rPr>
          <w:rFonts w:cstheme="minorHAnsi"/>
          <w:sz w:val="24"/>
          <w:szCs w:val="24"/>
        </w:rPr>
        <w:t xml:space="preserve">. The Field Guide’s List of Acronyms could also be expanded into </w:t>
      </w:r>
      <w:proofErr w:type="gramStart"/>
      <w:r w:rsidRPr="00851E24">
        <w:rPr>
          <w:rFonts w:cstheme="minorHAnsi"/>
          <w:sz w:val="24"/>
          <w:szCs w:val="24"/>
        </w:rPr>
        <w:t>a</w:t>
      </w:r>
      <w:proofErr w:type="gramEnd"/>
      <w:r w:rsidRPr="00851E24">
        <w:rPr>
          <w:rFonts w:cstheme="minorHAnsi"/>
          <w:sz w:val="24"/>
          <w:szCs w:val="24"/>
        </w:rPr>
        <w:t xml:space="preserve"> </w:t>
      </w:r>
      <w:proofErr w:type="spellStart"/>
      <w:r w:rsidRPr="00851E24">
        <w:rPr>
          <w:rFonts w:cstheme="minorHAnsi"/>
          <w:sz w:val="24"/>
          <w:szCs w:val="24"/>
        </w:rPr>
        <w:t>mBCC</w:t>
      </w:r>
      <w:proofErr w:type="spellEnd"/>
      <w:r w:rsidRPr="00851E24">
        <w:rPr>
          <w:rFonts w:cstheme="minorHAnsi"/>
          <w:sz w:val="24"/>
          <w:szCs w:val="24"/>
        </w:rPr>
        <w:t xml:space="preserve"> glossary. Guidance for </w:t>
      </w:r>
      <w:proofErr w:type="spellStart"/>
      <w:r w:rsidRPr="00851E24">
        <w:rPr>
          <w:rFonts w:cstheme="minorHAnsi"/>
          <w:sz w:val="24"/>
          <w:szCs w:val="24"/>
        </w:rPr>
        <w:t>mBCC</w:t>
      </w:r>
      <w:proofErr w:type="spellEnd"/>
      <w:r w:rsidRPr="00851E24">
        <w:rPr>
          <w:rFonts w:cstheme="minorHAnsi"/>
          <w:sz w:val="24"/>
          <w:szCs w:val="24"/>
        </w:rPr>
        <w:t xml:space="preserve"> would also be welcome </w:t>
      </w:r>
      <w:r w:rsidRPr="00851E24">
        <w:rPr>
          <w:rFonts w:cstheme="minorHAnsi"/>
          <w:b/>
          <w:sz w:val="24"/>
          <w:szCs w:val="24"/>
        </w:rPr>
        <w:t>on past failures, behavioral incentives, discussion with mobile operators, and games for mobile phones. A case study library</w:t>
      </w:r>
      <w:r w:rsidRPr="00851E24">
        <w:rPr>
          <w:rFonts w:cstheme="minorHAnsi"/>
          <w:sz w:val="24"/>
          <w:szCs w:val="24"/>
        </w:rPr>
        <w:t xml:space="preserve"> was suggested to meet these needs. </w:t>
      </w:r>
    </w:p>
    <w:p w:rsidR="00851E24" w:rsidRDefault="00851E24" w:rsidP="00DB5C44">
      <w:pPr>
        <w:spacing w:after="0"/>
        <w:jc w:val="both"/>
        <w:rPr>
          <w:rFonts w:cstheme="minorHAnsi"/>
          <w:sz w:val="24"/>
          <w:szCs w:val="24"/>
        </w:rPr>
      </w:pPr>
    </w:p>
    <w:p w:rsidR="00564751" w:rsidRPr="0004244C" w:rsidRDefault="00851E24" w:rsidP="00DB5C44">
      <w:pPr>
        <w:spacing w:after="0"/>
        <w:jc w:val="both"/>
        <w:rPr>
          <w:rFonts w:cstheme="minorHAnsi"/>
          <w:i/>
          <w:shd w:val="clear" w:color="auto" w:fill="FFFFFF"/>
        </w:rPr>
      </w:pPr>
      <w:r>
        <w:rPr>
          <w:rFonts w:cstheme="minorHAnsi"/>
          <w:sz w:val="24"/>
          <w:szCs w:val="24"/>
        </w:rPr>
        <w:t>Regarding next steps</w:t>
      </w:r>
      <w:r w:rsidR="00564751" w:rsidRPr="00851E24">
        <w:rPr>
          <w:rFonts w:cstheme="minorHAnsi"/>
          <w:sz w:val="24"/>
          <w:szCs w:val="24"/>
        </w:rPr>
        <w:t xml:space="preserve">, use </w:t>
      </w:r>
      <w:r>
        <w:rPr>
          <w:rFonts w:cstheme="minorHAnsi"/>
          <w:sz w:val="24"/>
          <w:szCs w:val="24"/>
        </w:rPr>
        <w:t>of the</w:t>
      </w:r>
      <w:r w:rsidR="00564751" w:rsidRPr="00851E24">
        <w:rPr>
          <w:rFonts w:cstheme="minorHAnsi"/>
          <w:sz w:val="24"/>
          <w:szCs w:val="24"/>
        </w:rPr>
        <w:t xml:space="preserve"> </w:t>
      </w:r>
      <w:proofErr w:type="spellStart"/>
      <w:r w:rsidR="00564751" w:rsidRPr="00851E24">
        <w:rPr>
          <w:rFonts w:cstheme="minorHAnsi"/>
          <w:sz w:val="24"/>
          <w:szCs w:val="24"/>
        </w:rPr>
        <w:t>mBCC</w:t>
      </w:r>
      <w:proofErr w:type="spellEnd"/>
      <w:r w:rsidR="00564751" w:rsidRPr="00851E24">
        <w:rPr>
          <w:rFonts w:cstheme="minorHAnsi"/>
          <w:sz w:val="24"/>
          <w:szCs w:val="24"/>
        </w:rPr>
        <w:t xml:space="preserve"> Field Guide and feedback are encouraged. It has </w:t>
      </w:r>
      <w:proofErr w:type="gramStart"/>
      <w:r w:rsidR="00564751" w:rsidRPr="00851E24">
        <w:rPr>
          <w:rFonts w:cstheme="minorHAnsi"/>
          <w:sz w:val="24"/>
          <w:szCs w:val="24"/>
        </w:rPr>
        <w:t xml:space="preserve">been </w:t>
      </w:r>
      <w:r w:rsidR="000C445C" w:rsidRPr="00851E24">
        <w:rPr>
          <w:rFonts w:cstheme="minorHAnsi"/>
          <w:sz w:val="24"/>
          <w:szCs w:val="24"/>
        </w:rPr>
        <w:t xml:space="preserve"> </w:t>
      </w:r>
      <w:r w:rsidR="00564751" w:rsidRPr="00851E24">
        <w:rPr>
          <w:rFonts w:cstheme="minorHAnsi"/>
          <w:sz w:val="24"/>
          <w:szCs w:val="24"/>
        </w:rPr>
        <w:t>a</w:t>
      </w:r>
      <w:r w:rsidR="00A00832" w:rsidRPr="00851E24">
        <w:rPr>
          <w:rFonts w:cstheme="minorHAnsi"/>
          <w:sz w:val="24"/>
          <w:szCs w:val="24"/>
        </w:rPr>
        <w:t>nnounced</w:t>
      </w:r>
      <w:proofErr w:type="gramEnd"/>
      <w:r w:rsidR="00A00832" w:rsidRPr="00851E24">
        <w:rPr>
          <w:rFonts w:cstheme="minorHAnsi"/>
          <w:sz w:val="24"/>
          <w:szCs w:val="24"/>
        </w:rPr>
        <w:t xml:space="preserve"> on various </w:t>
      </w:r>
      <w:proofErr w:type="spellStart"/>
      <w:r w:rsidR="00A00832" w:rsidRPr="00851E24">
        <w:rPr>
          <w:rFonts w:cstheme="minorHAnsi"/>
          <w:sz w:val="24"/>
          <w:szCs w:val="24"/>
        </w:rPr>
        <w:t>listservs</w:t>
      </w:r>
      <w:proofErr w:type="spellEnd"/>
      <w:r w:rsidR="00564751" w:rsidRPr="00851E24">
        <w:rPr>
          <w:rFonts w:cstheme="minorHAnsi"/>
          <w:sz w:val="24"/>
          <w:szCs w:val="24"/>
        </w:rPr>
        <w:t xml:space="preserve"> and </w:t>
      </w:r>
      <w:r w:rsidR="00564751" w:rsidRPr="00851E24">
        <w:rPr>
          <w:rFonts w:cstheme="minorHAnsi"/>
          <w:b/>
          <w:sz w:val="24"/>
          <w:szCs w:val="24"/>
        </w:rPr>
        <w:t>further dissemination is welcome</w:t>
      </w:r>
      <w:r w:rsidR="00564751" w:rsidRPr="00851E24">
        <w:rPr>
          <w:rFonts w:cstheme="minorHAnsi"/>
          <w:sz w:val="24"/>
          <w:szCs w:val="24"/>
        </w:rPr>
        <w:t xml:space="preserve">. The Field Guide could </w:t>
      </w:r>
      <w:r>
        <w:rPr>
          <w:rFonts w:cstheme="minorHAnsi"/>
          <w:sz w:val="24"/>
          <w:szCs w:val="24"/>
        </w:rPr>
        <w:t>help</w:t>
      </w:r>
      <w:r w:rsidR="00564751" w:rsidRPr="00851E24">
        <w:rPr>
          <w:rFonts w:cstheme="minorHAnsi"/>
          <w:sz w:val="24"/>
          <w:szCs w:val="24"/>
        </w:rPr>
        <w:t xml:space="preserve"> donors, partners and mHealth technology providers seeking guidance on program </w:t>
      </w:r>
      <w:r w:rsidR="00564751" w:rsidRPr="00851E24">
        <w:rPr>
          <w:rFonts w:cstheme="minorHAnsi"/>
          <w:sz w:val="24"/>
          <w:szCs w:val="24"/>
        </w:rPr>
        <w:lastRenderedPageBreak/>
        <w:t xml:space="preserve">planning. </w:t>
      </w:r>
      <w:r w:rsidR="004160BF">
        <w:rPr>
          <w:rFonts w:cstheme="minorHAnsi"/>
          <w:sz w:val="24"/>
          <w:szCs w:val="24"/>
        </w:rPr>
        <w:t xml:space="preserve">The </w:t>
      </w:r>
      <w:proofErr w:type="spellStart"/>
      <w:r w:rsidR="004160BF" w:rsidRPr="00851E24">
        <w:rPr>
          <w:rFonts w:cstheme="minorHAnsi"/>
          <w:sz w:val="24"/>
          <w:szCs w:val="24"/>
        </w:rPr>
        <w:t>mBCC</w:t>
      </w:r>
      <w:proofErr w:type="spellEnd"/>
      <w:r w:rsidR="004160BF" w:rsidRPr="00851E24">
        <w:rPr>
          <w:rFonts w:cstheme="minorHAnsi"/>
          <w:sz w:val="24"/>
          <w:szCs w:val="24"/>
        </w:rPr>
        <w:t xml:space="preserve"> Field Guide </w:t>
      </w:r>
      <w:r w:rsidR="004160BF">
        <w:rPr>
          <w:rFonts w:cstheme="minorHAnsi"/>
          <w:sz w:val="24"/>
          <w:szCs w:val="24"/>
        </w:rPr>
        <w:t>can also be complemented by the a related guide</w:t>
      </w:r>
      <w:r w:rsidR="0004244C">
        <w:rPr>
          <w:rFonts w:cstheme="minorHAnsi"/>
          <w:sz w:val="24"/>
          <w:szCs w:val="24"/>
        </w:rPr>
        <w:t xml:space="preserve">, </w:t>
      </w:r>
      <w:r w:rsidR="004160BF">
        <w:rPr>
          <w:rFonts w:cstheme="minorHAnsi"/>
          <w:sz w:val="24"/>
          <w:szCs w:val="24"/>
        </w:rPr>
        <w:t xml:space="preserve"> </w:t>
      </w:r>
      <w:hyperlink r:id="rId11" w:history="1">
        <w:r w:rsidR="004160BF" w:rsidRPr="0004244C">
          <w:rPr>
            <w:rStyle w:val="Emphasis"/>
            <w:rFonts w:cstheme="minorHAnsi"/>
            <w:b/>
            <w:i w:val="0"/>
            <w:bdr w:val="none" w:sz="0" w:space="0" w:color="auto" w:frame="1"/>
          </w:rPr>
          <w:t>Communications for change: How to use text messaging as an effective behavior change campaigning tool</w:t>
        </w:r>
      </w:hyperlink>
      <w:r w:rsidR="0004244C">
        <w:rPr>
          <w:rFonts w:cstheme="minorHAnsi"/>
          <w:i/>
          <w:shd w:val="clear" w:color="auto" w:fill="FFFFFF"/>
        </w:rPr>
        <w:t xml:space="preserve">, </w:t>
      </w:r>
      <w:r w:rsidR="0004244C">
        <w:rPr>
          <w:rFonts w:cstheme="minorHAnsi"/>
          <w:shd w:val="clear" w:color="auto" w:fill="FFFFFF"/>
        </w:rPr>
        <w:t>p</w:t>
      </w:r>
      <w:r w:rsidR="0004244C" w:rsidRPr="0004244C">
        <w:rPr>
          <w:rFonts w:cstheme="minorHAnsi"/>
          <w:shd w:val="clear" w:color="auto" w:fill="FFFFFF"/>
        </w:rPr>
        <w:t xml:space="preserve">roduced by </w:t>
      </w:r>
      <w:proofErr w:type="spellStart"/>
      <w:r w:rsidR="0004244C" w:rsidRPr="0004244C">
        <w:rPr>
          <w:rFonts w:cstheme="minorHAnsi"/>
          <w:shd w:val="clear" w:color="auto" w:fill="FFFFFF"/>
        </w:rPr>
        <w:t>FrontlineSMS</w:t>
      </w:r>
      <w:proofErr w:type="spellEnd"/>
      <w:r w:rsidR="0004244C" w:rsidRPr="0004244C">
        <w:rPr>
          <w:rFonts w:cstheme="minorHAnsi"/>
          <w:shd w:val="clear" w:color="auto" w:fill="FFFFFF"/>
        </w:rPr>
        <w:t xml:space="preserve"> and Text to Change and available</w:t>
      </w:r>
      <w:r w:rsidR="0004244C">
        <w:rPr>
          <w:rFonts w:cstheme="minorHAnsi"/>
          <w:i/>
          <w:shd w:val="clear" w:color="auto" w:fill="FFFFFF"/>
        </w:rPr>
        <w:t xml:space="preserve"> </w:t>
      </w:r>
      <w:r w:rsidR="0004244C" w:rsidRPr="0004244C">
        <w:rPr>
          <w:rFonts w:cstheme="minorHAnsi"/>
          <w:shd w:val="clear" w:color="auto" w:fill="FFFFFF"/>
        </w:rPr>
        <w:t>at</w:t>
      </w:r>
      <w:r w:rsidR="0004244C">
        <w:rPr>
          <w:rFonts w:cstheme="minorHAnsi"/>
          <w:i/>
          <w:shd w:val="clear" w:color="auto" w:fill="FFFFFF"/>
        </w:rPr>
        <w:t xml:space="preserve"> </w:t>
      </w:r>
      <w:hyperlink r:id="rId12" w:history="1">
        <w:r w:rsidR="0004244C">
          <w:rPr>
            <w:rStyle w:val="Hyperlink"/>
          </w:rPr>
          <w:t>http://www.frontlinesms.com/wp-content/uploads/2012/03/TTC_Online_Final.pdf</w:t>
        </w:r>
      </w:hyperlink>
      <w:r w:rsidR="0004244C">
        <w:t xml:space="preserve"> . </w:t>
      </w:r>
      <w:r w:rsidR="00564751" w:rsidRPr="0004244C">
        <w:rPr>
          <w:rFonts w:cstheme="minorHAnsi"/>
          <w:sz w:val="24"/>
          <w:szCs w:val="24"/>
        </w:rPr>
        <w:t>It was also</w:t>
      </w:r>
      <w:r w:rsidR="00564751" w:rsidRPr="00851E24">
        <w:rPr>
          <w:rFonts w:cstheme="minorHAnsi"/>
          <w:sz w:val="24"/>
          <w:szCs w:val="24"/>
        </w:rPr>
        <w:t xml:space="preserve"> suggested that </w:t>
      </w:r>
      <w:proofErr w:type="gramStart"/>
      <w:r w:rsidR="00564751" w:rsidRPr="00851E24">
        <w:rPr>
          <w:rFonts w:cstheme="minorHAnsi"/>
          <w:sz w:val="24"/>
          <w:szCs w:val="24"/>
        </w:rPr>
        <w:t>the a</w:t>
      </w:r>
      <w:proofErr w:type="gramEnd"/>
      <w:r w:rsidR="00564751" w:rsidRPr="00851E24">
        <w:rPr>
          <w:rFonts w:cstheme="minorHAnsi"/>
          <w:sz w:val="24"/>
          <w:szCs w:val="24"/>
        </w:rPr>
        <w:t xml:space="preserve"> discussion</w:t>
      </w:r>
      <w:r w:rsidR="0004244C">
        <w:rPr>
          <w:rFonts w:cstheme="minorHAnsi"/>
          <w:sz w:val="24"/>
          <w:szCs w:val="24"/>
        </w:rPr>
        <w:t xml:space="preserve"> on </w:t>
      </w:r>
      <w:proofErr w:type="spellStart"/>
      <w:r w:rsidR="0004244C">
        <w:rPr>
          <w:rFonts w:cstheme="minorHAnsi"/>
          <w:sz w:val="24"/>
          <w:szCs w:val="24"/>
        </w:rPr>
        <w:t>mBCC</w:t>
      </w:r>
      <w:proofErr w:type="spellEnd"/>
      <w:r w:rsidR="00564751" w:rsidRPr="00851E24">
        <w:rPr>
          <w:rFonts w:cstheme="minorHAnsi"/>
          <w:sz w:val="24"/>
          <w:szCs w:val="24"/>
        </w:rPr>
        <w:t xml:space="preserve"> would be convenient to </w:t>
      </w:r>
      <w:r w:rsidR="00564751" w:rsidRPr="0004244C">
        <w:rPr>
          <w:rFonts w:cstheme="minorHAnsi"/>
          <w:b/>
          <w:sz w:val="24"/>
          <w:szCs w:val="24"/>
        </w:rPr>
        <w:t xml:space="preserve">schedule </w:t>
      </w:r>
      <w:r w:rsidR="0004244C" w:rsidRPr="0004244C">
        <w:rPr>
          <w:rFonts w:cstheme="minorHAnsi"/>
          <w:b/>
          <w:sz w:val="24"/>
          <w:szCs w:val="24"/>
        </w:rPr>
        <w:t xml:space="preserve">with interested field staff </w:t>
      </w:r>
      <w:r w:rsidR="00564751" w:rsidRPr="0004244C">
        <w:rPr>
          <w:rFonts w:cstheme="minorHAnsi"/>
          <w:b/>
          <w:sz w:val="24"/>
          <w:szCs w:val="24"/>
        </w:rPr>
        <w:t>at the</w:t>
      </w:r>
      <w:r w:rsidR="00564751" w:rsidRPr="00851E24">
        <w:rPr>
          <w:rFonts w:cstheme="minorHAnsi"/>
          <w:sz w:val="24"/>
          <w:szCs w:val="24"/>
        </w:rPr>
        <w:t xml:space="preserve"> </w:t>
      </w:r>
      <w:r w:rsidR="00564751" w:rsidRPr="00851E24">
        <w:rPr>
          <w:rFonts w:cstheme="minorHAnsi"/>
          <w:b/>
          <w:sz w:val="24"/>
          <w:szCs w:val="24"/>
        </w:rPr>
        <w:t>Global Health Council conference</w:t>
      </w:r>
      <w:r w:rsidR="00564751" w:rsidRPr="00851E24">
        <w:rPr>
          <w:rFonts w:cstheme="minorHAnsi"/>
          <w:sz w:val="24"/>
          <w:szCs w:val="24"/>
        </w:rPr>
        <w:t xml:space="preserve">. </w:t>
      </w:r>
    </w:p>
    <w:p w:rsidR="00A00832" w:rsidRPr="00851E24" w:rsidRDefault="00A00832" w:rsidP="00DB5C44">
      <w:pPr>
        <w:spacing w:after="0"/>
        <w:jc w:val="both"/>
        <w:rPr>
          <w:rFonts w:cstheme="minorHAnsi"/>
          <w:sz w:val="24"/>
          <w:szCs w:val="24"/>
        </w:rPr>
      </w:pPr>
    </w:p>
    <w:p w:rsidR="005466C0" w:rsidRPr="00851E24" w:rsidRDefault="005466C0" w:rsidP="00DB5C44">
      <w:pPr>
        <w:spacing w:after="0"/>
        <w:jc w:val="both"/>
        <w:rPr>
          <w:rFonts w:cstheme="minorHAnsi"/>
          <w:sz w:val="24"/>
          <w:szCs w:val="24"/>
        </w:rPr>
      </w:pPr>
    </w:p>
    <w:p w:rsidR="005B707B" w:rsidRPr="00E85456" w:rsidRDefault="005B707B" w:rsidP="00DB5C44">
      <w:pPr>
        <w:spacing w:after="0"/>
        <w:jc w:val="both"/>
        <w:rPr>
          <w:rFonts w:cstheme="minorHAnsi"/>
          <w:b/>
          <w:sz w:val="24"/>
          <w:szCs w:val="24"/>
        </w:rPr>
      </w:pPr>
      <w:r w:rsidRPr="00E85456">
        <w:rPr>
          <w:rFonts w:cstheme="minorHAnsi"/>
          <w:b/>
          <w:sz w:val="24"/>
          <w:szCs w:val="24"/>
        </w:rPr>
        <w:t>About the mHealth Working Group</w:t>
      </w:r>
    </w:p>
    <w:p w:rsidR="005B707B" w:rsidRPr="008B5266" w:rsidRDefault="005B707B" w:rsidP="00DB5C44">
      <w:pPr>
        <w:spacing w:after="0"/>
        <w:jc w:val="both"/>
        <w:rPr>
          <w:rFonts w:cstheme="minorHAnsi"/>
          <w:b/>
          <w:sz w:val="24"/>
          <w:szCs w:val="24"/>
        </w:rPr>
      </w:pPr>
      <w:r w:rsidRPr="00E85456">
        <w:rPr>
          <w:rFonts w:cstheme="minorHAnsi"/>
          <w:sz w:val="24"/>
          <w:szCs w:val="24"/>
        </w:rPr>
        <w:t xml:space="preserve">Founded in 2009, the mHealth Working Group is a collaborative forum for </w:t>
      </w:r>
      <w:r w:rsidRPr="00E85456">
        <w:rPr>
          <w:rFonts w:ascii="Calibri" w:eastAsia="Times New Roman" w:hAnsi="Calibri" w:cs="Calibri"/>
          <w:sz w:val="24"/>
          <w:szCs w:val="24"/>
        </w:rPr>
        <w:t>convening, knowledge sharing, promising practices, collaboration, capacity building, advocacy, and member leadership</w:t>
      </w:r>
      <w:r w:rsidRPr="00E85456">
        <w:rPr>
          <w:rFonts w:cstheme="minorHAnsi"/>
          <w:sz w:val="24"/>
          <w:szCs w:val="24"/>
        </w:rPr>
        <w:t xml:space="preserve">.  Composed of more than 600 individuals representing over 150 organizations worldwide, the mHealth Working Group seeks to frame mobile technology within a larger global health strategy. By applying public health standards and practices to mHealth, we promote approaches that are appropriate, evidence-based, interoperable, scalable and sustainable in resource-poor settings. The mHealth Working Group is facilitated and supported by USAID’s K4Health Project. Our advisory board includes </w:t>
      </w:r>
      <w:proofErr w:type="spellStart"/>
      <w:r w:rsidRPr="00E85456">
        <w:rPr>
          <w:rFonts w:cs="Arial"/>
          <w:sz w:val="24"/>
          <w:szCs w:val="24"/>
        </w:rPr>
        <w:t>Abt</w:t>
      </w:r>
      <w:proofErr w:type="spellEnd"/>
      <w:r w:rsidRPr="00E85456">
        <w:rPr>
          <w:rFonts w:cs="Arial"/>
          <w:sz w:val="24"/>
          <w:szCs w:val="24"/>
        </w:rPr>
        <w:t xml:space="preserve"> Associates, Catholic Relief Services, FHI360, Georgetown University Institute for Reproductive Health, Jhpiego, John Snow Inc., Johns Hopkins Center for Communication Programs, Management Sciences for Health, Population Services International and Save the Children. </w:t>
      </w:r>
      <w:r w:rsidRPr="00E85456">
        <w:rPr>
          <w:sz w:val="24"/>
          <w:szCs w:val="24"/>
        </w:rPr>
        <w:t xml:space="preserve"> </w:t>
      </w:r>
      <w:r w:rsidRPr="008B5266">
        <w:rPr>
          <w:rFonts w:cstheme="minorHAnsi"/>
          <w:b/>
          <w:sz w:val="24"/>
          <w:szCs w:val="24"/>
        </w:rPr>
        <w:t>Minutes from monthly meetings, as well as more information about the group, are on the mHealth Toolkit at http://www.k4health.org/toolkits/mhealth/mhealth-working-group-0. Interested colleagues are welcome to receive future announcements by joining the listserv at knowledge-gateway.org/</w:t>
      </w:r>
      <w:proofErr w:type="spellStart"/>
      <w:r w:rsidRPr="008B5266">
        <w:rPr>
          <w:rFonts w:cstheme="minorHAnsi"/>
          <w:b/>
          <w:sz w:val="24"/>
          <w:szCs w:val="24"/>
        </w:rPr>
        <w:t>mhealth</w:t>
      </w:r>
      <w:proofErr w:type="spellEnd"/>
      <w:r w:rsidRPr="008B5266">
        <w:rPr>
          <w:rFonts w:cstheme="minorHAnsi"/>
          <w:b/>
          <w:sz w:val="24"/>
          <w:szCs w:val="24"/>
        </w:rPr>
        <w:t>.</w:t>
      </w:r>
    </w:p>
    <w:p w:rsidR="00F13B2D" w:rsidRPr="00851E24" w:rsidRDefault="00F13B2D" w:rsidP="006668C2">
      <w:pPr>
        <w:spacing w:after="0"/>
        <w:rPr>
          <w:rFonts w:cstheme="minorHAnsi"/>
          <w:sz w:val="24"/>
          <w:szCs w:val="24"/>
        </w:rPr>
      </w:pPr>
    </w:p>
    <w:p w:rsidR="00F13B2D" w:rsidRPr="00851E24" w:rsidRDefault="00F13B2D" w:rsidP="006668C2">
      <w:pPr>
        <w:spacing w:after="0"/>
        <w:rPr>
          <w:rFonts w:cstheme="minorHAnsi"/>
          <w:sz w:val="24"/>
          <w:szCs w:val="24"/>
        </w:rPr>
      </w:pPr>
    </w:p>
    <w:p w:rsidR="006B7DB2" w:rsidRDefault="006B7DB2">
      <w:pPr>
        <w:rPr>
          <w:rFonts w:cstheme="minorHAnsi"/>
          <w:sz w:val="24"/>
          <w:szCs w:val="24"/>
        </w:rPr>
      </w:pPr>
      <w:r>
        <w:rPr>
          <w:rFonts w:cstheme="minorHAnsi"/>
          <w:sz w:val="24"/>
          <w:szCs w:val="24"/>
        </w:rPr>
        <w:br w:type="page"/>
      </w:r>
    </w:p>
    <w:p w:rsidR="00893093" w:rsidRDefault="006B7DB2" w:rsidP="006B7DB2">
      <w:pPr>
        <w:spacing w:after="0"/>
        <w:jc w:val="center"/>
        <w:rPr>
          <w:rFonts w:eastAsia="Times New Roman" w:cstheme="minorHAnsi"/>
          <w:sz w:val="24"/>
          <w:szCs w:val="24"/>
        </w:rPr>
      </w:pPr>
      <w:r w:rsidRPr="006B7DB2">
        <w:rPr>
          <w:rFonts w:cstheme="minorHAnsi"/>
          <w:b/>
          <w:sz w:val="24"/>
          <w:szCs w:val="24"/>
        </w:rPr>
        <w:lastRenderedPageBreak/>
        <w:t>Meeting Participants-</w:t>
      </w:r>
      <w:r>
        <w:rPr>
          <w:rFonts w:cstheme="minorHAnsi"/>
          <w:sz w:val="24"/>
          <w:szCs w:val="24"/>
        </w:rPr>
        <w:t xml:space="preserve"> </w:t>
      </w:r>
      <w:r w:rsidRPr="00851E24">
        <w:rPr>
          <w:rFonts w:eastAsia="Times New Roman" w:cstheme="minorHAnsi"/>
          <w:b/>
          <w:sz w:val="24"/>
          <w:szCs w:val="24"/>
        </w:rPr>
        <w:t>mHealth Working Group Meeting</w:t>
      </w:r>
      <w:r>
        <w:rPr>
          <w:rFonts w:eastAsia="Times New Roman" w:cstheme="minorHAnsi"/>
          <w:b/>
          <w:sz w:val="24"/>
          <w:szCs w:val="24"/>
        </w:rPr>
        <w:t xml:space="preserve"> </w:t>
      </w:r>
      <w:r w:rsidRPr="00851E24">
        <w:rPr>
          <w:rFonts w:eastAsia="Times New Roman" w:cstheme="minorHAnsi"/>
          <w:b/>
          <w:sz w:val="24"/>
          <w:szCs w:val="24"/>
        </w:rPr>
        <w:t xml:space="preserve">March 16, </w:t>
      </w:r>
      <w:r>
        <w:rPr>
          <w:rFonts w:eastAsia="Times New Roman" w:cstheme="minorHAnsi"/>
          <w:b/>
          <w:sz w:val="24"/>
          <w:szCs w:val="24"/>
        </w:rPr>
        <w:t>2012</w:t>
      </w:r>
    </w:p>
    <w:tbl>
      <w:tblPr>
        <w:tblW w:w="6045" w:type="dxa"/>
        <w:jc w:val="center"/>
        <w:tblInd w:w="93" w:type="dxa"/>
        <w:tblLook w:val="04A0" w:firstRow="1" w:lastRow="0" w:firstColumn="1" w:lastColumn="0" w:noHBand="0" w:noVBand="1"/>
      </w:tblPr>
      <w:tblGrid>
        <w:gridCol w:w="440"/>
        <w:gridCol w:w="284"/>
        <w:gridCol w:w="2020"/>
        <w:gridCol w:w="3505"/>
      </w:tblGrid>
      <w:tr w:rsidR="00FD1FB3" w:rsidRPr="00FD1FB3" w:rsidTr="00DB5C44">
        <w:trPr>
          <w:trHeight w:val="240"/>
          <w:jc w:val="center"/>
        </w:trPr>
        <w:tc>
          <w:tcPr>
            <w:tcW w:w="520" w:type="dxa"/>
            <w:gridSpan w:val="2"/>
            <w:tcBorders>
              <w:top w:val="single" w:sz="4" w:space="0" w:color="auto"/>
              <w:left w:val="single" w:sz="4" w:space="0" w:color="auto"/>
              <w:bottom w:val="single" w:sz="4" w:space="0" w:color="auto"/>
              <w:right w:val="nil"/>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sz w:val="20"/>
                <w:szCs w:val="20"/>
              </w:rPr>
            </w:pPr>
            <w:r w:rsidRPr="00FD1FB3">
              <w:rPr>
                <w:rFonts w:ascii="Calibri" w:eastAsia="Times New Roman" w:hAnsi="Calibri" w:cs="Calibri"/>
                <w:color w:val="000000"/>
                <w:sz w:val="20"/>
                <w:szCs w:val="20"/>
              </w:rPr>
              <w:t> </w:t>
            </w:r>
          </w:p>
        </w:tc>
        <w:tc>
          <w:tcPr>
            <w:tcW w:w="2020" w:type="dxa"/>
            <w:tcBorders>
              <w:top w:val="single" w:sz="4" w:space="0" w:color="auto"/>
              <w:left w:val="nil"/>
              <w:bottom w:val="single" w:sz="4" w:space="0" w:color="auto"/>
              <w:right w:val="nil"/>
            </w:tcBorders>
            <w:shd w:val="clear" w:color="auto" w:fill="auto"/>
            <w:noWrap/>
            <w:vAlign w:val="bottom"/>
            <w:hideMark/>
          </w:tcPr>
          <w:p w:rsidR="00FD1FB3" w:rsidRPr="00FD1FB3" w:rsidRDefault="00FD1FB3" w:rsidP="00FD1FB3">
            <w:pPr>
              <w:spacing w:after="0" w:line="240" w:lineRule="auto"/>
              <w:jc w:val="center"/>
              <w:rPr>
                <w:rFonts w:ascii="Calibri" w:eastAsia="Times New Roman" w:hAnsi="Calibri" w:cs="Calibri"/>
                <w:b/>
                <w:bCs/>
                <w:color w:val="000000"/>
                <w:sz w:val="20"/>
                <w:szCs w:val="20"/>
              </w:rPr>
            </w:pPr>
            <w:r w:rsidRPr="00FD1FB3">
              <w:rPr>
                <w:rFonts w:ascii="Calibri" w:eastAsia="Times New Roman" w:hAnsi="Calibri" w:cs="Calibri"/>
                <w:b/>
                <w:bCs/>
                <w:color w:val="000000"/>
                <w:sz w:val="20"/>
                <w:szCs w:val="20"/>
              </w:rPr>
              <w:t>Name</w:t>
            </w:r>
          </w:p>
        </w:tc>
        <w:tc>
          <w:tcPr>
            <w:tcW w:w="3505" w:type="dxa"/>
            <w:tcBorders>
              <w:top w:val="single" w:sz="4" w:space="0" w:color="auto"/>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center"/>
              <w:rPr>
                <w:rFonts w:ascii="Calibri" w:eastAsia="Times New Roman" w:hAnsi="Calibri" w:cs="Calibri"/>
                <w:b/>
                <w:bCs/>
                <w:color w:val="000000"/>
                <w:sz w:val="20"/>
                <w:szCs w:val="20"/>
              </w:rPr>
            </w:pPr>
            <w:r w:rsidRPr="00FD1FB3">
              <w:rPr>
                <w:rFonts w:ascii="Calibri" w:eastAsia="Times New Roman" w:hAnsi="Calibri" w:cs="Calibri"/>
                <w:b/>
                <w:bCs/>
                <w:color w:val="000000"/>
                <w:sz w:val="20"/>
                <w:szCs w:val="20"/>
              </w:rPr>
              <w:t>Organization</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Awa </w:t>
            </w:r>
            <w:proofErr w:type="spellStart"/>
            <w:r w:rsidRPr="00FD1FB3">
              <w:rPr>
                <w:rFonts w:ascii="Calibri" w:eastAsia="Times New Roman" w:hAnsi="Calibri" w:cs="Calibri"/>
                <w:color w:val="000000"/>
              </w:rPr>
              <w:t>Dieng</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Gael O'Sullivan</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Michael Rodriguez</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4</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Michael Rodriguez</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5</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Pam Riley</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6</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Shalu</w:t>
            </w:r>
            <w:proofErr w:type="spellEnd"/>
            <w:r w:rsidRPr="00FD1FB3">
              <w:rPr>
                <w:rFonts w:ascii="Calibri" w:eastAsia="Times New Roman" w:hAnsi="Calibri" w:cs="Calibri"/>
                <w:color w:val="000000"/>
              </w:rPr>
              <w:t xml:space="preserve"> </w:t>
            </w:r>
            <w:proofErr w:type="spellStart"/>
            <w:r w:rsidRPr="00FD1FB3">
              <w:rPr>
                <w:rFonts w:ascii="Calibri" w:eastAsia="Times New Roman" w:hAnsi="Calibri" w:cs="Calibri"/>
                <w:color w:val="000000"/>
              </w:rPr>
              <w:t>Umapathy</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7</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Stephen </w:t>
            </w:r>
            <w:proofErr w:type="spellStart"/>
            <w:r w:rsidRPr="00FD1FB3">
              <w:rPr>
                <w:rFonts w:ascii="Calibri" w:eastAsia="Times New Roman" w:hAnsi="Calibri" w:cs="Calibri"/>
                <w:color w:val="000000"/>
              </w:rPr>
              <w:t>Rahaim</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Abt</w:t>
            </w:r>
            <w:proofErr w:type="spellEnd"/>
            <w:r w:rsidRPr="00FD1FB3">
              <w:rPr>
                <w:rFonts w:ascii="Calibri" w:eastAsia="Times New Roman" w:hAnsi="Calibri" w:cs="Calibri"/>
                <w:color w:val="000000"/>
              </w:rPr>
              <w:t xml:space="preserve"> Associates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8</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Aleya</w:t>
            </w:r>
            <w:proofErr w:type="spellEnd"/>
            <w:r w:rsidRPr="00FD1FB3">
              <w:rPr>
                <w:rFonts w:ascii="Calibri" w:eastAsia="Times New Roman" w:hAnsi="Calibri" w:cs="Calibri"/>
                <w:color w:val="000000"/>
              </w:rPr>
              <w:t xml:space="preserve"> Horn Kennedy</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ARHP</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9</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Carrie Miller</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Catholic Relief Services</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10</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Sarah Emerson</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CDC Foundation</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11</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Cathryn</w:t>
            </w:r>
            <w:proofErr w:type="spellEnd"/>
            <w:r w:rsidRPr="00FD1FB3">
              <w:rPr>
                <w:rFonts w:ascii="Calibri" w:eastAsia="Times New Roman" w:hAnsi="Calibri" w:cs="Calibri"/>
                <w:color w:val="000000"/>
              </w:rPr>
              <w:t xml:space="preserve"> Wood</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DB5C44">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Development Media International </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12</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Nick </w:t>
            </w:r>
            <w:proofErr w:type="spellStart"/>
            <w:r w:rsidRPr="00FD1FB3">
              <w:rPr>
                <w:rFonts w:ascii="Calibri" w:eastAsia="Times New Roman" w:hAnsi="Calibri" w:cs="Calibri"/>
                <w:color w:val="000000"/>
              </w:rPr>
              <w:t>Amland</w:t>
            </w:r>
            <w:proofErr w:type="spellEnd"/>
            <w:r w:rsidRPr="00FD1FB3">
              <w:rPr>
                <w:rFonts w:ascii="Calibri" w:eastAsia="Times New Roman" w:hAnsi="Calibri" w:cs="Calibri"/>
                <w:color w:val="000000"/>
              </w:rPr>
              <w:t xml:space="preserve"> </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Dimagi</w:t>
            </w:r>
            <w:proofErr w:type="spellEnd"/>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13</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Caitlin K. Murphy</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FHI360</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14</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Laura Raney</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FHI360</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15</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Michael </w:t>
            </w:r>
            <w:proofErr w:type="spellStart"/>
            <w:r w:rsidRPr="00FD1FB3">
              <w:rPr>
                <w:rFonts w:ascii="Calibri" w:eastAsia="Times New Roman" w:hAnsi="Calibri" w:cs="Calibri"/>
                <w:color w:val="000000"/>
              </w:rPr>
              <w:t>Pezone</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FHI360</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16</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Lawrence Wasserman</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Forsight</w:t>
            </w:r>
            <w:proofErr w:type="spellEnd"/>
            <w:r w:rsidRPr="00FD1FB3">
              <w:rPr>
                <w:rFonts w:ascii="Calibri" w:eastAsia="Times New Roman" w:hAnsi="Calibri" w:cs="Calibri"/>
                <w:color w:val="000000"/>
              </w:rPr>
              <w:t xml:space="preserve"> 2000 </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17</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Rick </w:t>
            </w:r>
            <w:proofErr w:type="spellStart"/>
            <w:r w:rsidRPr="00FD1FB3">
              <w:rPr>
                <w:rFonts w:ascii="Calibri" w:eastAsia="Times New Roman" w:hAnsi="Calibri" w:cs="Calibri"/>
                <w:color w:val="000000"/>
              </w:rPr>
              <w:t>Doerr</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GBI</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18</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Soumya</w:t>
            </w:r>
            <w:proofErr w:type="spellEnd"/>
            <w:r w:rsidRPr="00FD1FB3">
              <w:rPr>
                <w:rFonts w:ascii="Calibri" w:eastAsia="Times New Roman" w:hAnsi="Calibri" w:cs="Calibri"/>
                <w:color w:val="000000"/>
              </w:rPr>
              <w:t xml:space="preserve"> Alva</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ICF International</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19</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Meredith </w:t>
            </w:r>
            <w:proofErr w:type="spellStart"/>
            <w:r w:rsidRPr="00FD1FB3">
              <w:rPr>
                <w:rFonts w:ascii="Calibri" w:eastAsia="Times New Roman" w:hAnsi="Calibri" w:cs="Calibri"/>
                <w:color w:val="000000"/>
              </w:rPr>
              <w:t>Puleio</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IRH</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20</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Meredith </w:t>
            </w:r>
            <w:proofErr w:type="spellStart"/>
            <w:r w:rsidRPr="00FD1FB3">
              <w:rPr>
                <w:rFonts w:ascii="Calibri" w:eastAsia="Times New Roman" w:hAnsi="Calibri" w:cs="Calibri"/>
                <w:color w:val="000000"/>
              </w:rPr>
              <w:t>Puleio</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IRH</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21</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Angela Nash Mercado</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JHU CCP</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22</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Kirstin Bose</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JHU CCP</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23</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Mohamad</w:t>
            </w:r>
            <w:proofErr w:type="spellEnd"/>
            <w:r w:rsidRPr="00FD1FB3">
              <w:rPr>
                <w:rFonts w:ascii="Calibri" w:eastAsia="Times New Roman" w:hAnsi="Calibri" w:cs="Calibri"/>
                <w:color w:val="000000"/>
              </w:rPr>
              <w:t xml:space="preserve"> </w:t>
            </w:r>
            <w:proofErr w:type="spellStart"/>
            <w:r w:rsidRPr="00FD1FB3">
              <w:rPr>
                <w:rFonts w:ascii="Calibri" w:eastAsia="Times New Roman" w:hAnsi="Calibri" w:cs="Calibri"/>
                <w:color w:val="000000"/>
              </w:rPr>
              <w:t>Sy-Ar</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JHU CCP</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24</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Darrin Adams</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Johns Hopkins SPH</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25</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David </w:t>
            </w:r>
            <w:proofErr w:type="spellStart"/>
            <w:r w:rsidRPr="00FD1FB3">
              <w:rPr>
                <w:rFonts w:ascii="Calibri" w:eastAsia="Times New Roman" w:hAnsi="Calibri" w:cs="Calibri"/>
                <w:color w:val="000000"/>
              </w:rPr>
              <w:t>Kulick</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Louisiana Public Health Institute</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26</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Judy Gold</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Marie </w:t>
            </w:r>
            <w:proofErr w:type="spellStart"/>
            <w:r w:rsidRPr="00FD1FB3">
              <w:rPr>
                <w:rFonts w:ascii="Calibri" w:eastAsia="Times New Roman" w:hAnsi="Calibri" w:cs="Calibri"/>
                <w:color w:val="000000"/>
              </w:rPr>
              <w:t>Stopes</w:t>
            </w:r>
            <w:proofErr w:type="spellEnd"/>
            <w:r w:rsidRPr="00FD1FB3">
              <w:rPr>
                <w:rFonts w:ascii="Calibri" w:eastAsia="Times New Roman" w:hAnsi="Calibri" w:cs="Calibri"/>
                <w:color w:val="000000"/>
              </w:rPr>
              <w:t xml:space="preserve"> International</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27</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Scott </w:t>
            </w:r>
            <w:proofErr w:type="spellStart"/>
            <w:r w:rsidRPr="00FD1FB3">
              <w:rPr>
                <w:rFonts w:ascii="Calibri" w:eastAsia="Times New Roman" w:hAnsi="Calibri" w:cs="Calibri"/>
                <w:color w:val="000000"/>
              </w:rPr>
              <w:t>Teesdale</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MCDI</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28</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Kelly </w:t>
            </w:r>
            <w:proofErr w:type="spellStart"/>
            <w:r w:rsidRPr="00FD1FB3">
              <w:rPr>
                <w:rFonts w:ascii="Calibri" w:eastAsia="Times New Roman" w:hAnsi="Calibri" w:cs="Calibri"/>
                <w:color w:val="000000"/>
              </w:rPr>
              <w:t>Keisling</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mHealth Working Group</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29</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Suzanne </w:t>
            </w:r>
            <w:proofErr w:type="spellStart"/>
            <w:r w:rsidRPr="00FD1FB3">
              <w:rPr>
                <w:rFonts w:ascii="Calibri" w:eastAsia="Times New Roman" w:hAnsi="Calibri" w:cs="Calibri"/>
                <w:color w:val="000000"/>
              </w:rPr>
              <w:t>McQuesy</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MSH</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30</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Kristin Saucier</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PASMO</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31</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Andrew </w:t>
            </w:r>
            <w:proofErr w:type="spellStart"/>
            <w:r w:rsidRPr="00FD1FB3">
              <w:rPr>
                <w:rFonts w:ascii="Calibri" w:eastAsia="Times New Roman" w:hAnsi="Calibri" w:cs="Calibri"/>
                <w:color w:val="000000"/>
              </w:rPr>
              <w:t>Karlyn</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Pop Council</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32</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Julie McBride</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PSI</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33</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Jessica Glickman</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RI</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34</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Marco </w:t>
            </w:r>
            <w:proofErr w:type="spellStart"/>
            <w:r w:rsidRPr="00FD1FB3">
              <w:rPr>
                <w:rFonts w:ascii="Calibri" w:eastAsia="Times New Roman" w:hAnsi="Calibri" w:cs="Calibri"/>
                <w:color w:val="000000"/>
              </w:rPr>
              <w:t>Ambrosio</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Sapient</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35</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David V. </w:t>
            </w:r>
            <w:proofErr w:type="spellStart"/>
            <w:r w:rsidRPr="00FD1FB3">
              <w:rPr>
                <w:rFonts w:ascii="Calibri" w:eastAsia="Times New Roman" w:hAnsi="Calibri" w:cs="Calibri"/>
                <w:color w:val="000000"/>
              </w:rPr>
              <w:t>Isaak</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proofErr w:type="spellStart"/>
            <w:r w:rsidRPr="00FD1FB3">
              <w:rPr>
                <w:rFonts w:ascii="Calibri" w:eastAsia="Times New Roman" w:hAnsi="Calibri" w:cs="Calibri"/>
                <w:color w:val="000000"/>
              </w:rPr>
              <w:t>SixBlue</w:t>
            </w:r>
            <w:proofErr w:type="spellEnd"/>
            <w:r w:rsidRPr="00FD1FB3">
              <w:rPr>
                <w:rFonts w:ascii="Calibri" w:eastAsia="Times New Roman" w:hAnsi="Calibri" w:cs="Calibri"/>
                <w:color w:val="000000"/>
              </w:rPr>
              <w:t xml:space="preserve"> Data</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36</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Jennifer A. White</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 State Department</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37</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Andrei </w:t>
            </w:r>
            <w:proofErr w:type="spellStart"/>
            <w:r w:rsidRPr="00FD1FB3">
              <w:rPr>
                <w:rFonts w:ascii="Calibri" w:eastAsia="Times New Roman" w:hAnsi="Calibri" w:cs="Calibri"/>
                <w:color w:val="000000"/>
              </w:rPr>
              <w:t>Sinioukov</w:t>
            </w:r>
            <w:proofErr w:type="spellEnd"/>
          </w:p>
        </w:tc>
        <w:tc>
          <w:tcPr>
            <w:tcW w:w="3505" w:type="dxa"/>
            <w:tcBorders>
              <w:top w:val="nil"/>
              <w:left w:val="nil"/>
              <w:bottom w:val="single" w:sz="4" w:space="0" w:color="auto"/>
              <w:right w:val="single" w:sz="4" w:space="0" w:color="auto"/>
            </w:tcBorders>
            <w:shd w:val="clear" w:color="auto" w:fill="auto"/>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38</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Adam </w:t>
            </w:r>
            <w:proofErr w:type="spellStart"/>
            <w:r w:rsidRPr="00FD1FB3">
              <w:rPr>
                <w:rFonts w:ascii="Calibri" w:eastAsia="Times New Roman" w:hAnsi="Calibri" w:cs="Calibri"/>
                <w:color w:val="000000"/>
              </w:rPr>
              <w:t>Slote</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39</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Andrea Harris</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40</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Kama Garrison</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41</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Megan Matthews</w:t>
            </w:r>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42</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Noah </w:t>
            </w:r>
            <w:proofErr w:type="spellStart"/>
            <w:r w:rsidRPr="00FD1FB3">
              <w:rPr>
                <w:rFonts w:ascii="Calibri" w:eastAsia="Times New Roman" w:hAnsi="Calibri" w:cs="Calibri"/>
                <w:color w:val="000000"/>
              </w:rPr>
              <w:t>Sprafkin</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r w:rsidR="00FD1FB3" w:rsidRPr="00FD1FB3" w:rsidTr="00DB5C44">
        <w:trPr>
          <w:trHeight w:val="240"/>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jc w:val="right"/>
              <w:rPr>
                <w:rFonts w:ascii="Calibri" w:eastAsia="Times New Roman" w:hAnsi="Calibri" w:cs="Calibri"/>
                <w:color w:val="000000"/>
              </w:rPr>
            </w:pPr>
            <w:r w:rsidRPr="00FD1FB3">
              <w:rPr>
                <w:rFonts w:ascii="Calibri" w:eastAsia="Times New Roman" w:hAnsi="Calibri" w:cs="Calibri"/>
                <w:color w:val="000000"/>
              </w:rPr>
              <w:t>43</w:t>
            </w:r>
          </w:p>
        </w:tc>
        <w:tc>
          <w:tcPr>
            <w:tcW w:w="2304" w:type="dxa"/>
            <w:gridSpan w:val="2"/>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 xml:space="preserve">Peggy </w:t>
            </w:r>
            <w:proofErr w:type="spellStart"/>
            <w:r w:rsidRPr="00FD1FB3">
              <w:rPr>
                <w:rFonts w:ascii="Calibri" w:eastAsia="Times New Roman" w:hAnsi="Calibri" w:cs="Calibri"/>
                <w:color w:val="000000"/>
              </w:rPr>
              <w:t>D'Adamo</w:t>
            </w:r>
            <w:proofErr w:type="spellEnd"/>
          </w:p>
        </w:tc>
        <w:tc>
          <w:tcPr>
            <w:tcW w:w="3505" w:type="dxa"/>
            <w:tcBorders>
              <w:top w:val="nil"/>
              <w:left w:val="nil"/>
              <w:bottom w:val="single" w:sz="4" w:space="0" w:color="auto"/>
              <w:right w:val="single" w:sz="4" w:space="0" w:color="auto"/>
            </w:tcBorders>
            <w:shd w:val="clear" w:color="auto" w:fill="auto"/>
            <w:noWrap/>
            <w:vAlign w:val="bottom"/>
            <w:hideMark/>
          </w:tcPr>
          <w:p w:rsidR="00FD1FB3" w:rsidRPr="00FD1FB3" w:rsidRDefault="00FD1FB3" w:rsidP="00FD1FB3">
            <w:pPr>
              <w:spacing w:after="0" w:line="240" w:lineRule="auto"/>
              <w:rPr>
                <w:rFonts w:ascii="Calibri" w:eastAsia="Times New Roman" w:hAnsi="Calibri" w:cs="Calibri"/>
                <w:color w:val="000000"/>
              </w:rPr>
            </w:pPr>
            <w:r w:rsidRPr="00FD1FB3">
              <w:rPr>
                <w:rFonts w:ascii="Calibri" w:eastAsia="Times New Roman" w:hAnsi="Calibri" w:cs="Calibri"/>
                <w:color w:val="000000"/>
              </w:rPr>
              <w:t>USAID</w:t>
            </w:r>
          </w:p>
        </w:tc>
      </w:tr>
    </w:tbl>
    <w:p w:rsidR="00FD1FB3" w:rsidRPr="006B7DB2" w:rsidRDefault="00FD1FB3" w:rsidP="00DB5C44">
      <w:pPr>
        <w:spacing w:after="0"/>
        <w:rPr>
          <w:rFonts w:eastAsia="Times New Roman" w:cstheme="minorHAnsi"/>
          <w:sz w:val="24"/>
          <w:szCs w:val="24"/>
        </w:rPr>
      </w:pPr>
    </w:p>
    <w:sectPr w:rsidR="00FD1FB3" w:rsidRPr="006B7DB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8EC" w:rsidRDefault="003A58EC" w:rsidP="00637CC4">
      <w:pPr>
        <w:spacing w:after="0" w:line="240" w:lineRule="auto"/>
      </w:pPr>
      <w:r>
        <w:separator/>
      </w:r>
    </w:p>
  </w:endnote>
  <w:endnote w:type="continuationSeparator" w:id="0">
    <w:p w:rsidR="003A58EC" w:rsidRDefault="003A58EC" w:rsidP="0063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373910"/>
      <w:docPartObj>
        <w:docPartGallery w:val="Page Numbers (Bottom of Page)"/>
        <w:docPartUnique/>
      </w:docPartObj>
    </w:sdtPr>
    <w:sdtEndPr>
      <w:rPr>
        <w:noProof/>
      </w:rPr>
    </w:sdtEndPr>
    <w:sdtContent>
      <w:p w:rsidR="00637CC4" w:rsidRDefault="00637CC4">
        <w:pPr>
          <w:pStyle w:val="Footer"/>
          <w:jc w:val="right"/>
        </w:pPr>
        <w:r>
          <w:fldChar w:fldCharType="begin"/>
        </w:r>
        <w:r>
          <w:instrText xml:space="preserve"> PAGE   \* MERGEFORMAT </w:instrText>
        </w:r>
        <w:r>
          <w:fldChar w:fldCharType="separate"/>
        </w:r>
        <w:r w:rsidR="001B6D5E">
          <w:rPr>
            <w:noProof/>
          </w:rPr>
          <w:t>1</w:t>
        </w:r>
        <w:r>
          <w:rPr>
            <w:noProof/>
          </w:rPr>
          <w:fldChar w:fldCharType="end"/>
        </w:r>
      </w:p>
    </w:sdtContent>
  </w:sdt>
  <w:p w:rsidR="00637CC4" w:rsidRDefault="00637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8EC" w:rsidRDefault="003A58EC" w:rsidP="00637CC4">
      <w:pPr>
        <w:spacing w:after="0" w:line="240" w:lineRule="auto"/>
      </w:pPr>
      <w:r>
        <w:separator/>
      </w:r>
    </w:p>
  </w:footnote>
  <w:footnote w:type="continuationSeparator" w:id="0">
    <w:p w:rsidR="003A58EC" w:rsidRDefault="003A58EC" w:rsidP="00637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288"/>
    <w:multiLevelType w:val="hybridMultilevel"/>
    <w:tmpl w:val="E6E80DC8"/>
    <w:lvl w:ilvl="0" w:tplc="0220D598">
      <w:start w:val="1"/>
      <w:numFmt w:val="bullet"/>
      <w:lvlText w:val="•"/>
      <w:lvlJc w:val="left"/>
      <w:pPr>
        <w:tabs>
          <w:tab w:val="num" w:pos="720"/>
        </w:tabs>
        <w:ind w:left="720" w:hanging="360"/>
      </w:pPr>
      <w:rPr>
        <w:rFonts w:ascii="Georgia" w:hAnsi="Georgia" w:hint="default"/>
      </w:rPr>
    </w:lvl>
    <w:lvl w:ilvl="1" w:tplc="E82698C2" w:tentative="1">
      <w:start w:val="1"/>
      <w:numFmt w:val="bullet"/>
      <w:lvlText w:val="•"/>
      <w:lvlJc w:val="left"/>
      <w:pPr>
        <w:tabs>
          <w:tab w:val="num" w:pos="1440"/>
        </w:tabs>
        <w:ind w:left="1440" w:hanging="360"/>
      </w:pPr>
      <w:rPr>
        <w:rFonts w:ascii="Georgia" w:hAnsi="Georgia" w:hint="default"/>
      </w:rPr>
    </w:lvl>
    <w:lvl w:ilvl="2" w:tplc="D05E3B00" w:tentative="1">
      <w:start w:val="1"/>
      <w:numFmt w:val="bullet"/>
      <w:lvlText w:val="•"/>
      <w:lvlJc w:val="left"/>
      <w:pPr>
        <w:tabs>
          <w:tab w:val="num" w:pos="2160"/>
        </w:tabs>
        <w:ind w:left="2160" w:hanging="360"/>
      </w:pPr>
      <w:rPr>
        <w:rFonts w:ascii="Georgia" w:hAnsi="Georgia" w:hint="default"/>
      </w:rPr>
    </w:lvl>
    <w:lvl w:ilvl="3" w:tplc="C31C9AAE" w:tentative="1">
      <w:start w:val="1"/>
      <w:numFmt w:val="bullet"/>
      <w:lvlText w:val="•"/>
      <w:lvlJc w:val="left"/>
      <w:pPr>
        <w:tabs>
          <w:tab w:val="num" w:pos="2880"/>
        </w:tabs>
        <w:ind w:left="2880" w:hanging="360"/>
      </w:pPr>
      <w:rPr>
        <w:rFonts w:ascii="Georgia" w:hAnsi="Georgia" w:hint="default"/>
      </w:rPr>
    </w:lvl>
    <w:lvl w:ilvl="4" w:tplc="9BDCD6D4" w:tentative="1">
      <w:start w:val="1"/>
      <w:numFmt w:val="bullet"/>
      <w:lvlText w:val="•"/>
      <w:lvlJc w:val="left"/>
      <w:pPr>
        <w:tabs>
          <w:tab w:val="num" w:pos="3600"/>
        </w:tabs>
        <w:ind w:left="3600" w:hanging="360"/>
      </w:pPr>
      <w:rPr>
        <w:rFonts w:ascii="Georgia" w:hAnsi="Georgia" w:hint="default"/>
      </w:rPr>
    </w:lvl>
    <w:lvl w:ilvl="5" w:tplc="3ECA47A6" w:tentative="1">
      <w:start w:val="1"/>
      <w:numFmt w:val="bullet"/>
      <w:lvlText w:val="•"/>
      <w:lvlJc w:val="left"/>
      <w:pPr>
        <w:tabs>
          <w:tab w:val="num" w:pos="4320"/>
        </w:tabs>
        <w:ind w:left="4320" w:hanging="360"/>
      </w:pPr>
      <w:rPr>
        <w:rFonts w:ascii="Georgia" w:hAnsi="Georgia" w:hint="default"/>
      </w:rPr>
    </w:lvl>
    <w:lvl w:ilvl="6" w:tplc="2E7E17E4" w:tentative="1">
      <w:start w:val="1"/>
      <w:numFmt w:val="bullet"/>
      <w:lvlText w:val="•"/>
      <w:lvlJc w:val="left"/>
      <w:pPr>
        <w:tabs>
          <w:tab w:val="num" w:pos="5040"/>
        </w:tabs>
        <w:ind w:left="5040" w:hanging="360"/>
      </w:pPr>
      <w:rPr>
        <w:rFonts w:ascii="Georgia" w:hAnsi="Georgia" w:hint="default"/>
      </w:rPr>
    </w:lvl>
    <w:lvl w:ilvl="7" w:tplc="DCAEBF20" w:tentative="1">
      <w:start w:val="1"/>
      <w:numFmt w:val="bullet"/>
      <w:lvlText w:val="•"/>
      <w:lvlJc w:val="left"/>
      <w:pPr>
        <w:tabs>
          <w:tab w:val="num" w:pos="5760"/>
        </w:tabs>
        <w:ind w:left="5760" w:hanging="360"/>
      </w:pPr>
      <w:rPr>
        <w:rFonts w:ascii="Georgia" w:hAnsi="Georgia" w:hint="default"/>
      </w:rPr>
    </w:lvl>
    <w:lvl w:ilvl="8" w:tplc="9F6EE6FE" w:tentative="1">
      <w:start w:val="1"/>
      <w:numFmt w:val="bullet"/>
      <w:lvlText w:val="•"/>
      <w:lvlJc w:val="left"/>
      <w:pPr>
        <w:tabs>
          <w:tab w:val="num" w:pos="6480"/>
        </w:tabs>
        <w:ind w:left="6480" w:hanging="360"/>
      </w:pPr>
      <w:rPr>
        <w:rFonts w:ascii="Georgia" w:hAnsi="Georg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93"/>
    <w:rsid w:val="0004244C"/>
    <w:rsid w:val="000648EB"/>
    <w:rsid w:val="000A7E2C"/>
    <w:rsid w:val="000C445C"/>
    <w:rsid w:val="00167194"/>
    <w:rsid w:val="001B6D5E"/>
    <w:rsid w:val="001F0198"/>
    <w:rsid w:val="00237853"/>
    <w:rsid w:val="002A17CE"/>
    <w:rsid w:val="002B12C9"/>
    <w:rsid w:val="003A58EC"/>
    <w:rsid w:val="003A5FD8"/>
    <w:rsid w:val="003D2929"/>
    <w:rsid w:val="003E1ABA"/>
    <w:rsid w:val="004160BF"/>
    <w:rsid w:val="005466C0"/>
    <w:rsid w:val="00564751"/>
    <w:rsid w:val="00580884"/>
    <w:rsid w:val="00584DA7"/>
    <w:rsid w:val="005B707B"/>
    <w:rsid w:val="005F1820"/>
    <w:rsid w:val="00615F7C"/>
    <w:rsid w:val="00637CC4"/>
    <w:rsid w:val="006619D5"/>
    <w:rsid w:val="006668C2"/>
    <w:rsid w:val="006B7DB2"/>
    <w:rsid w:val="006E1E6B"/>
    <w:rsid w:val="00723683"/>
    <w:rsid w:val="007D448E"/>
    <w:rsid w:val="00851E24"/>
    <w:rsid w:val="00893093"/>
    <w:rsid w:val="008B5266"/>
    <w:rsid w:val="008B5E80"/>
    <w:rsid w:val="00913705"/>
    <w:rsid w:val="009E66BB"/>
    <w:rsid w:val="009F0E2F"/>
    <w:rsid w:val="00A00832"/>
    <w:rsid w:val="00A6685F"/>
    <w:rsid w:val="00A750A5"/>
    <w:rsid w:val="00A97FEB"/>
    <w:rsid w:val="00AD0BB1"/>
    <w:rsid w:val="00B24154"/>
    <w:rsid w:val="00B36897"/>
    <w:rsid w:val="00B66466"/>
    <w:rsid w:val="00B674F9"/>
    <w:rsid w:val="00BA4270"/>
    <w:rsid w:val="00BA43D9"/>
    <w:rsid w:val="00BB7AB5"/>
    <w:rsid w:val="00C0746D"/>
    <w:rsid w:val="00C1188A"/>
    <w:rsid w:val="00D10AF2"/>
    <w:rsid w:val="00DA0156"/>
    <w:rsid w:val="00DB5C44"/>
    <w:rsid w:val="00E80938"/>
    <w:rsid w:val="00EB7BE8"/>
    <w:rsid w:val="00F13B2D"/>
    <w:rsid w:val="00F728DC"/>
    <w:rsid w:val="00FD1FB3"/>
    <w:rsid w:val="00FD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E2F"/>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4160BF"/>
    <w:rPr>
      <w:i/>
      <w:iCs/>
    </w:rPr>
  </w:style>
  <w:style w:type="character" w:styleId="Hyperlink">
    <w:name w:val="Hyperlink"/>
    <w:basedOn w:val="DefaultParagraphFont"/>
    <w:uiPriority w:val="99"/>
    <w:unhideWhenUsed/>
    <w:rsid w:val="0004244C"/>
    <w:rPr>
      <w:color w:val="0000FF"/>
      <w:u w:val="single"/>
    </w:rPr>
  </w:style>
  <w:style w:type="paragraph" w:styleId="Header">
    <w:name w:val="header"/>
    <w:basedOn w:val="Normal"/>
    <w:link w:val="HeaderChar"/>
    <w:uiPriority w:val="99"/>
    <w:unhideWhenUsed/>
    <w:rsid w:val="00637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C4"/>
  </w:style>
  <w:style w:type="paragraph" w:styleId="Footer">
    <w:name w:val="footer"/>
    <w:basedOn w:val="Normal"/>
    <w:link w:val="FooterChar"/>
    <w:uiPriority w:val="99"/>
    <w:unhideWhenUsed/>
    <w:rsid w:val="0063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E2F"/>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4160BF"/>
    <w:rPr>
      <w:i/>
      <w:iCs/>
    </w:rPr>
  </w:style>
  <w:style w:type="character" w:styleId="Hyperlink">
    <w:name w:val="Hyperlink"/>
    <w:basedOn w:val="DefaultParagraphFont"/>
    <w:uiPriority w:val="99"/>
    <w:unhideWhenUsed/>
    <w:rsid w:val="0004244C"/>
    <w:rPr>
      <w:color w:val="0000FF"/>
      <w:u w:val="single"/>
    </w:rPr>
  </w:style>
  <w:style w:type="paragraph" w:styleId="Header">
    <w:name w:val="header"/>
    <w:basedOn w:val="Normal"/>
    <w:link w:val="HeaderChar"/>
    <w:uiPriority w:val="99"/>
    <w:unhideWhenUsed/>
    <w:rsid w:val="00637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C4"/>
  </w:style>
  <w:style w:type="paragraph" w:styleId="Footer">
    <w:name w:val="footer"/>
    <w:basedOn w:val="Normal"/>
    <w:link w:val="FooterChar"/>
    <w:uiPriority w:val="99"/>
    <w:unhideWhenUsed/>
    <w:rsid w:val="0063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05887">
      <w:bodyDiv w:val="1"/>
      <w:marLeft w:val="0"/>
      <w:marRight w:val="0"/>
      <w:marTop w:val="0"/>
      <w:marBottom w:val="0"/>
      <w:divBdr>
        <w:top w:val="none" w:sz="0" w:space="0" w:color="auto"/>
        <w:left w:val="none" w:sz="0" w:space="0" w:color="auto"/>
        <w:bottom w:val="none" w:sz="0" w:space="0" w:color="auto"/>
        <w:right w:val="none" w:sz="0" w:space="0" w:color="auto"/>
      </w:divBdr>
    </w:div>
    <w:div w:id="549070731">
      <w:bodyDiv w:val="1"/>
      <w:marLeft w:val="0"/>
      <w:marRight w:val="0"/>
      <w:marTop w:val="0"/>
      <w:marBottom w:val="0"/>
      <w:divBdr>
        <w:top w:val="none" w:sz="0" w:space="0" w:color="auto"/>
        <w:left w:val="none" w:sz="0" w:space="0" w:color="auto"/>
        <w:bottom w:val="none" w:sz="0" w:space="0" w:color="auto"/>
        <w:right w:val="none" w:sz="0" w:space="0" w:color="auto"/>
      </w:divBdr>
      <w:divsChild>
        <w:div w:id="520558086">
          <w:marLeft w:val="576"/>
          <w:marRight w:val="0"/>
          <w:marTop w:val="60"/>
          <w:marBottom w:val="0"/>
          <w:divBdr>
            <w:top w:val="none" w:sz="0" w:space="0" w:color="auto"/>
            <w:left w:val="none" w:sz="0" w:space="0" w:color="auto"/>
            <w:bottom w:val="none" w:sz="0" w:space="0" w:color="auto"/>
            <w:right w:val="none" w:sz="0" w:space="0" w:color="auto"/>
          </w:divBdr>
        </w:div>
        <w:div w:id="275603574">
          <w:marLeft w:val="576"/>
          <w:marRight w:val="0"/>
          <w:marTop w:val="60"/>
          <w:marBottom w:val="0"/>
          <w:divBdr>
            <w:top w:val="none" w:sz="0" w:space="0" w:color="auto"/>
            <w:left w:val="none" w:sz="0" w:space="0" w:color="auto"/>
            <w:bottom w:val="none" w:sz="0" w:space="0" w:color="auto"/>
            <w:right w:val="none" w:sz="0" w:space="0" w:color="auto"/>
          </w:divBdr>
        </w:div>
        <w:div w:id="1124034163">
          <w:marLeft w:val="576"/>
          <w:marRight w:val="0"/>
          <w:marTop w:val="60"/>
          <w:marBottom w:val="0"/>
          <w:divBdr>
            <w:top w:val="none" w:sz="0" w:space="0" w:color="auto"/>
            <w:left w:val="none" w:sz="0" w:space="0" w:color="auto"/>
            <w:bottom w:val="none" w:sz="0" w:space="0" w:color="auto"/>
            <w:right w:val="none" w:sz="0" w:space="0" w:color="auto"/>
          </w:divBdr>
        </w:div>
        <w:div w:id="206987952">
          <w:marLeft w:val="576"/>
          <w:marRight w:val="0"/>
          <w:marTop w:val="60"/>
          <w:marBottom w:val="0"/>
          <w:divBdr>
            <w:top w:val="none" w:sz="0" w:space="0" w:color="auto"/>
            <w:left w:val="none" w:sz="0" w:space="0" w:color="auto"/>
            <w:bottom w:val="none" w:sz="0" w:space="0" w:color="auto"/>
            <w:right w:val="none" w:sz="0" w:space="0" w:color="auto"/>
          </w:divBdr>
        </w:div>
        <w:div w:id="1155536715">
          <w:marLeft w:val="576"/>
          <w:marRight w:val="0"/>
          <w:marTop w:val="60"/>
          <w:marBottom w:val="0"/>
          <w:divBdr>
            <w:top w:val="none" w:sz="0" w:space="0" w:color="auto"/>
            <w:left w:val="none" w:sz="0" w:space="0" w:color="auto"/>
            <w:bottom w:val="none" w:sz="0" w:space="0" w:color="auto"/>
            <w:right w:val="none" w:sz="0" w:space="0" w:color="auto"/>
          </w:divBdr>
        </w:div>
        <w:div w:id="1062825365">
          <w:marLeft w:val="576"/>
          <w:marRight w:val="0"/>
          <w:marTop w:val="60"/>
          <w:marBottom w:val="0"/>
          <w:divBdr>
            <w:top w:val="none" w:sz="0" w:space="0" w:color="auto"/>
            <w:left w:val="none" w:sz="0" w:space="0" w:color="auto"/>
            <w:bottom w:val="none" w:sz="0" w:space="0" w:color="auto"/>
            <w:right w:val="none" w:sz="0" w:space="0" w:color="auto"/>
          </w:divBdr>
        </w:div>
        <w:div w:id="1313635067">
          <w:marLeft w:val="576"/>
          <w:marRight w:val="0"/>
          <w:marTop w:val="60"/>
          <w:marBottom w:val="0"/>
          <w:divBdr>
            <w:top w:val="none" w:sz="0" w:space="0" w:color="auto"/>
            <w:left w:val="none" w:sz="0" w:space="0" w:color="auto"/>
            <w:bottom w:val="none" w:sz="0" w:space="0" w:color="auto"/>
            <w:right w:val="none" w:sz="0" w:space="0" w:color="auto"/>
          </w:divBdr>
        </w:div>
      </w:divsChild>
    </w:div>
    <w:div w:id="1149326823">
      <w:bodyDiv w:val="1"/>
      <w:marLeft w:val="0"/>
      <w:marRight w:val="0"/>
      <w:marTop w:val="0"/>
      <w:marBottom w:val="0"/>
      <w:divBdr>
        <w:top w:val="none" w:sz="0" w:space="0" w:color="auto"/>
        <w:left w:val="none" w:sz="0" w:space="0" w:color="auto"/>
        <w:bottom w:val="none" w:sz="0" w:space="0" w:color="auto"/>
        <w:right w:val="none" w:sz="0" w:space="0" w:color="auto"/>
      </w:divBdr>
    </w:div>
    <w:div w:id="1640528651">
      <w:bodyDiv w:val="1"/>
      <w:marLeft w:val="0"/>
      <w:marRight w:val="0"/>
      <w:marTop w:val="0"/>
      <w:marBottom w:val="0"/>
      <w:divBdr>
        <w:top w:val="none" w:sz="0" w:space="0" w:color="auto"/>
        <w:left w:val="none" w:sz="0" w:space="0" w:color="auto"/>
        <w:bottom w:val="none" w:sz="0" w:space="0" w:color="auto"/>
        <w:right w:val="none" w:sz="0" w:space="0" w:color="auto"/>
      </w:divBdr>
    </w:div>
    <w:div w:id="200324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bccfieldguide.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rontlinesms.com/wp-content/uploads/2012/03/TTC_Online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biportal.net/document-library-2/search-document-library/?appSession=991171528626360&amp;RecordID=259&amp;PageID=3&amp;PrevPageID=2&amp;cpipage=1&amp;CPIsortType=&amp;CPIorderBy=&amp;cbCurrentRecordPosition=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raney@fhi360.org" TargetMode="External"/><Relationship Id="rId4" Type="http://schemas.openxmlformats.org/officeDocument/2006/relationships/settings" Target="settings.xml"/><Relationship Id="rId9" Type="http://schemas.openxmlformats.org/officeDocument/2006/relationships/hyperlink" Target="mailto:Keisling.kelly@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FHI</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Laura Raney (US - VA)</cp:lastModifiedBy>
  <cp:revision>2</cp:revision>
  <dcterms:created xsi:type="dcterms:W3CDTF">2012-07-27T16:00:00Z</dcterms:created>
  <dcterms:modified xsi:type="dcterms:W3CDTF">2012-07-27T16:00:00Z</dcterms:modified>
</cp:coreProperties>
</file>