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AdNexus AI ��� Strategy, Concept &amp; Roadmap</w:t>
      </w:r>
    </w:p>
    <w:p>
      <w:pPr>
        <w:pStyle w:val="Author"/>
      </w:pPr>
      <w:r>
        <w:t xml:space="preserve">Research Team</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adnexus-ai-strategy-document"/>
    <w:p>
      <w:pPr>
        <w:pStyle w:val="Heading1"/>
      </w:pPr>
      <w:r>
        <w:t xml:space="preserve">AdNexus AI Strategy Document</w:t>
      </w:r>
    </w:p>
    <w:bookmarkStart w:id="20" w:name="Xeee99800bc5ec9e8f362386334693e76d566f59"/>
    <w:p>
      <w:pPr>
        <w:pStyle w:val="Heading2"/>
      </w:pPr>
      <w:r>
        <w:t xml:space="preserve">Part 1: Executive Summary, Market Opportunity &amp; Competitive Positioning</w:t>
      </w:r>
    </w:p>
    <w:p>
      <w:pPr>
        <w:pStyle w:val="FirstParagraph"/>
      </w:pPr>
      <w:r>
        <w:rPr>
          <w:bCs/>
          <w:b/>
        </w:rPr>
        <w:t xml:space="preserve">Version:</w:t>
      </w:r>
      <w:r>
        <w:t xml:space="preserve"> </w:t>
      </w:r>
      <w:r>
        <w:t xml:space="preserve">1.0</w:t>
      </w:r>
      <w:r>
        <w:br/>
      </w:r>
      <w:r>
        <w:rPr>
          <w:bCs/>
          <w:b/>
        </w:rPr>
        <w:t xml:space="preserve">Date:</w:t>
      </w:r>
      <w:r>
        <w:t xml:space="preserve"> </w:t>
      </w:r>
      <w:r>
        <w:t xml:space="preserve">June 2025</w:t>
      </w:r>
      <w:r>
        <w:br/>
      </w:r>
      <w:r>
        <w:rPr>
          <w:bCs/>
          <w:b/>
        </w:rPr>
        <w:t xml:space="preserve">Classification:</w:t>
      </w:r>
      <w:r>
        <w:t xml:space="preserve"> </w:t>
      </w:r>
      <w:r>
        <w:t xml:space="preserve">Strategic Planning</w:t>
      </w:r>
      <w:r>
        <w:br/>
      </w:r>
      <w:r>
        <w:rPr>
          <w:bCs/>
          <w:b/>
        </w:rPr>
        <w:t xml:space="preserve">Prepared For:</w:t>
      </w:r>
      <w:r>
        <w:t xml:space="preserve"> </w:t>
      </w:r>
      <w:r>
        <w:t xml:space="preserve">Founders, Investors, Product Leadership</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AdNexus AI is building</w:t>
      </w:r>
      <w:r>
        <w:t xml:space="preserve"> </w:t>
      </w:r>
      <w:r>
        <w:rPr>
          <w:bCs/>
          <w:b/>
        </w:rPr>
        <w:t xml:space="preserve">“</w:t>
      </w:r>
      <w:r>
        <w:rPr>
          <w:bCs/>
          <w:b/>
        </w:rPr>
        <w:t xml:space="preserve">The Intelligent Campaign Workspace</w:t>
      </w:r>
      <w:r>
        <w:rPr>
          <w:bCs/>
          <w:b/>
        </w:rPr>
        <w:t xml:space="preserve">”</w:t>
      </w:r>
      <w:r>
        <w:t xml:space="preserve"> </w:t>
      </w:r>
      <w:r>
        <w:t xml:space="preserve">— the first AI-native advertising management platform where</w:t>
      </w:r>
      <w:r>
        <w:t xml:space="preserve"> </w:t>
      </w:r>
      <w:r>
        <w:rPr>
          <w:bCs/>
          <w:b/>
        </w:rPr>
        <w:t xml:space="preserve">nothing goes live without your approval</w:t>
      </w:r>
      <w:r>
        <w:t xml:space="preserve">. In a market flooded with black-box automation tools that make autonomous decisions without transparency, AdNexus AI introduces a fundamentally different paradigm: an agentic AI system that drafts, recommends, and optimizes every campaign action, but requires explicit human sign-off before any change reaches production.</w:t>
      </w:r>
    </w:p>
    <w:p>
      <w:pPr>
        <w:pStyle w:val="BodyText"/>
      </w:pPr>
      <w:r>
        <w:t xml:space="preserve">This</w:t>
      </w:r>
      <w:r>
        <w:t xml:space="preserve"> </w:t>
      </w:r>
      <w:r>
        <w:t xml:space="preserve">“</w:t>
      </w:r>
      <w:r>
        <w:t xml:space="preserve">Draft-First Approval</w:t>
      </w:r>
      <w:r>
        <w:t xml:space="preserve">”</w:t>
      </w:r>
      <w:r>
        <w:t xml:space="preserve"> </w:t>
      </w:r>
      <w:r>
        <w:t xml:space="preserve">model directly addresses the #1 barrier to AI adoption in advertising:</w:t>
      </w:r>
      <w:r>
        <w:t xml:space="preserve"> </w:t>
      </w:r>
      <w:r>
        <w:rPr>
          <w:bCs/>
          <w:b/>
        </w:rPr>
        <w:t xml:space="preserve">trust</w:t>
      </w:r>
      <w:r>
        <w:t xml:space="preserve">. Media buyers and performance agencies are not afraid of AI — they are afraid of losing control. Every existing AI advertising platform either operates as an opaque black box or requires users to surrender decision-making authority to algorithms they cannot inspect, understand, or override. AdNexus AI eliminates this trade-off entirely.</w:t>
      </w:r>
    </w:p>
    <w:p>
      <w:pPr>
        <w:pStyle w:val="BodyText"/>
      </w:pPr>
      <w:r>
        <w:t xml:space="preserve">The platform rests on a</w:t>
      </w:r>
      <w:r>
        <w:t xml:space="preserve"> </w:t>
      </w:r>
      <w:r>
        <w:rPr>
          <w:bCs/>
          <w:b/>
        </w:rPr>
        <w:t xml:space="preserve">three-pillar differentiation architecture</w:t>
      </w:r>
      <w:r>
        <w:t xml:space="preserve"> </w:t>
      </w:r>
      <w:r>
        <w:t xml:space="preserve">that creates a defensible, 18–24 month competitive moat:</w:t>
      </w:r>
    </w:p>
    <w:tbl>
      <w:tblPr>
        <w:tblStyle w:val="Table"/>
        <w:tblW w:type="pct" w:w="5000"/>
        <w:tblLook w:firstRow="1" w:lastRow="0" w:firstColumn="0" w:lastColumn="0" w:noHBand="0" w:noVBand="0" w:val="0020"/>
      </w:tblPr>
      <w:tblGrid>
        <w:gridCol w:w="1545"/>
        <w:gridCol w:w="2511"/>
        <w:gridCol w:w="3863"/>
      </w:tblGrid>
      <w:tr>
        <w:trPr>
          <w:tblHeader w:val="true"/>
        </w:trPr>
        <w:tc>
          <w:tcPr/>
          <w:p>
            <w:pPr>
              <w:pStyle w:val="Compact"/>
              <w:jc w:val="left"/>
            </w:pPr>
            <w:r>
              <w:t xml:space="preserve">Pillar</w:t>
            </w:r>
          </w:p>
        </w:tc>
        <w:tc>
          <w:tcPr/>
          <w:p>
            <w:pPr>
              <w:pStyle w:val="Compact"/>
              <w:jc w:val="left"/>
            </w:pPr>
            <w:r>
              <w:t xml:space="preserve">Description</w:t>
            </w:r>
          </w:p>
        </w:tc>
        <w:tc>
          <w:tcPr/>
          <w:p>
            <w:pPr>
              <w:pStyle w:val="Compact"/>
              <w:jc w:val="left"/>
            </w:pPr>
            <w:r>
              <w:t xml:space="preserve">Competitive Impact</w:t>
            </w:r>
          </w:p>
        </w:tc>
      </w:tr>
      <w:tr>
        <w:tc>
          <w:tcPr/>
          <w:p>
            <w:pPr>
              <w:pStyle w:val="Compact"/>
              <w:jc w:val="left"/>
            </w:pPr>
            <w:r>
              <w:rPr>
                <w:bCs/>
                <w:b/>
              </w:rPr>
              <w:t xml:space="preserve">1. Draft-First Approval</w:t>
            </w:r>
          </w:p>
        </w:tc>
        <w:tc>
          <w:tcPr/>
          <w:p>
            <w:pPr>
              <w:pStyle w:val="Compact"/>
              <w:jc w:val="left"/>
            </w:pPr>
            <w:r>
              <w:t xml:space="preserve">AI drafts every campaign action; human approves before anything goes live</w:t>
            </w:r>
          </w:p>
        </w:tc>
        <w:tc>
          <w:tcPr/>
          <w:p>
            <w:pPr>
              <w:pStyle w:val="Compact"/>
              <w:jc w:val="left"/>
            </w:pPr>
            <w:r>
              <w:t xml:space="preserve">Eliminates trust barrier; enables compliance; creates audit trail</w:t>
            </w:r>
          </w:p>
        </w:tc>
      </w:tr>
      <w:tr>
        <w:tc>
          <w:tcPr/>
          <w:p>
            <w:pPr>
              <w:pStyle w:val="Compact"/>
              <w:jc w:val="left"/>
            </w:pPr>
            <w:r>
              <w:rPr>
                <w:bCs/>
                <w:b/>
              </w:rPr>
              <w:t xml:space="preserve">2. MCP-Native Architecture</w:t>
            </w:r>
          </w:p>
        </w:tc>
        <w:tc>
          <w:tcPr/>
          <w:p>
            <w:pPr>
              <w:pStyle w:val="Compact"/>
              <w:jc w:val="left"/>
            </w:pPr>
            <w:r>
              <w:t xml:space="preserve">Built on Model Context Protocol — AI agents communicate via standardized protocol</w:t>
            </w:r>
          </w:p>
        </w:tc>
        <w:tc>
          <w:tcPr/>
          <w:p>
            <w:pPr>
              <w:pStyle w:val="Compact"/>
              <w:jc w:val="left"/>
            </w:pPr>
            <w:r>
              <w:t xml:space="preserve">First ad platform with true agent interoperability; extensible to any tool</w:t>
            </w:r>
          </w:p>
        </w:tc>
      </w:tr>
      <w:tr>
        <w:tc>
          <w:tcPr/>
          <w:p>
            <w:pPr>
              <w:pStyle w:val="Compact"/>
              <w:jc w:val="left"/>
            </w:pPr>
            <w:r>
              <w:rPr>
                <w:bCs/>
                <w:b/>
              </w:rPr>
              <w:t xml:space="preserve">3. Cross-Platform Creative Intelligence</w:t>
            </w:r>
          </w:p>
        </w:tc>
        <w:tc>
          <w:tcPr/>
          <w:p>
            <w:pPr>
              <w:pStyle w:val="Compact"/>
              <w:jc w:val="left"/>
            </w:pPr>
            <w:r>
              <w:t xml:space="preserve">Unified creative performance analysis across Meta, Google, TikTok, LinkedIn</w:t>
            </w:r>
          </w:p>
        </w:tc>
        <w:tc>
          <w:tcPr/>
          <w:p>
            <w:pPr>
              <w:pStyle w:val="Compact"/>
              <w:jc w:val="left"/>
            </w:pPr>
            <w:r>
              <w:t xml:space="preserve">Competitors are platform-siloed; AdNexus sees the full creative picture</w:t>
            </w:r>
          </w:p>
        </w:tc>
      </w:tr>
    </w:tbl>
    <w:bookmarkStart w:id="21" w:name="market-opportunity"/>
    <w:p>
      <w:pPr>
        <w:pStyle w:val="Heading3"/>
      </w:pPr>
      <w:r>
        <w:t xml:space="preserve">Market Opportunity</w:t>
      </w:r>
    </w:p>
    <w:p>
      <w:pPr>
        <w:pStyle w:val="FirstParagraph"/>
      </w:pPr>
      <w:r>
        <w:t xml:space="preserve">AdNexus AI targets a</w:t>
      </w:r>
      <w:r>
        <w:t xml:space="preserve"> </w:t>
      </w:r>
      <w:r>
        <w:rPr>
          <w:bCs/>
          <w:b/>
        </w:rPr>
        <w:t xml:space="preserve">Serviceable Obtainable Market (SOM) of $1–3 billion</w:t>
      </w:r>
      <w:r>
        <w:t xml:space="preserve">, growing at a</w:t>
      </w:r>
      <w:r>
        <w:t xml:space="preserve"> </w:t>
      </w:r>
      <w:r>
        <w:rPr>
          <w:bCs/>
          <w:b/>
        </w:rPr>
        <w:t xml:space="preserve">25–35% compound annual growth rate (CAGR)</w:t>
      </w:r>
      <w:r>
        <w:t xml:space="preserve">. The addressable segment — mid-market media buyers, performance marketing agencies, and brand teams spending</w:t>
      </w:r>
      <w:r>
        <w:t xml:space="preserve"> </w:t>
      </w:r>
      <w:r>
        <w:rPr>
          <w:bCs/>
          <w:b/>
        </w:rPr>
        <w:t xml:space="preserve">$5,000–$100,000 per month</w:t>
      </w:r>
      <w:r>
        <w:t xml:space="preserve"> </w:t>
      </w:r>
      <w:r>
        <w:t xml:space="preserve">on digital advertising — represents the most underserved cohort in the current market. These buyers are too sophisticated for basic rule-based tools but cannot afford enterprise solutions starting at $2,000+/month with opaque pricing. They need intelligent automation with governance, creative intelligence without platform lock-in, and predictable pricing that scales with their business.</w:t>
      </w:r>
    </w:p>
    <w:bookmarkEnd w:id="21"/>
    <w:bookmarkStart w:id="22" w:name="strategic-thesis"/>
    <w:p>
      <w:pPr>
        <w:pStyle w:val="Heading3"/>
      </w:pPr>
      <w:r>
        <w:t xml:space="preserve">Strategic Thesis</w:t>
      </w:r>
    </w:p>
    <w:p>
      <w:pPr>
        <w:pStyle w:val="BlockText"/>
      </w:pPr>
      <w:r>
        <w:rPr>
          <w:bCs/>
          <w:b/>
        </w:rPr>
        <w:t xml:space="preserve">The future of advertising belongs to agentic AI systems that amplify human judgment rather than replacing it.</w:t>
      </w:r>
      <w:r>
        <w:t xml:space="preserve"> </w:t>
      </w:r>
      <w:r>
        <w:t xml:space="preserve">AdNexus AI captures this future by building the first platform where AI agents and human operators collaborate through a transparent, approval-gated workflow — making it simultaneously the most powerful and the most trustworthy AI advertising platform on the market.</w:t>
      </w:r>
    </w:p>
    <w:p>
      <w:r>
        <w:pict>
          <v:rect style="width:0;height:1.5pt" o:hralign="center" o:hrstd="t" o:hr="t"/>
        </w:pict>
      </w:r>
    </w:p>
    <w:bookmarkEnd w:id="22"/>
    <w:bookmarkEnd w:id="23"/>
    <w:bookmarkStart w:id="29" w:name="market-opportunity-sizing"/>
    <w:p>
      <w:pPr>
        <w:pStyle w:val="Heading2"/>
      </w:pPr>
      <w:r>
        <w:t xml:space="preserve">2. Market Opportunity &amp; Sizing</w:t>
      </w:r>
    </w:p>
    <w:bookmarkStart w:id="24" w:name="total-addressable-market-tam"/>
    <w:p>
      <w:pPr>
        <w:pStyle w:val="Heading3"/>
      </w:pPr>
      <w:r>
        <w:t xml:space="preserve">2.1 Total Addressable Market (TAM)</w:t>
      </w:r>
    </w:p>
    <w:p>
      <w:pPr>
        <w:pStyle w:val="FirstParagraph"/>
      </w:pPr>
      <w:r>
        <w:t xml:space="preserve">The global digital advertising market provides a vast foundation for AdNexus AI’s growth trajectory. Current estimates place total digital ad spend between</w:t>
      </w:r>
      <w:r>
        <w:t xml:space="preserve"> </w:t>
      </w:r>
      <w:r>
        <w:rPr>
          <w:bCs/>
          <w:b/>
        </w:rPr>
        <w:t xml:space="preserve">$650 billion and $799 billion globally for 2025</w:t>
      </w:r>
      <w:r>
        <w:t xml:space="preserve">, encompassing all programmatic, social, search, and display advertising across every geography and segment. This market has demonstrated remarkable resilience, growing consistently even through economic headwinds, because digital advertising remains the most measurable, targetable, and optimizable form of marketing spend.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Market Segment</w:t>
            </w:r>
          </w:p>
        </w:tc>
        <w:tc>
          <w:tcPr/>
          <w:p>
            <w:pPr>
              <w:pStyle w:val="Compact"/>
              <w:jc w:val="left"/>
            </w:pPr>
            <w:r>
              <w:t xml:space="preserve">2025 Value</w:t>
            </w:r>
          </w:p>
        </w:tc>
        <w:tc>
          <w:tcPr/>
          <w:p>
            <w:pPr>
              <w:pStyle w:val="Compact"/>
              <w:jc w:val="left"/>
            </w:pPr>
            <w:r>
              <w:t xml:space="preserve">2030 Projection</w:t>
            </w:r>
          </w:p>
        </w:tc>
        <w:tc>
          <w:tcPr/>
          <w:p>
            <w:pPr>
              <w:pStyle w:val="Compact"/>
              <w:jc w:val="left"/>
            </w:pPr>
            <w:r>
              <w:t xml:space="preserve">CAGR</w:t>
            </w:r>
          </w:p>
        </w:tc>
      </w:tr>
      <w:tr>
        <w:tc>
          <w:tcPr/>
          <w:p>
            <w:pPr>
              <w:pStyle w:val="Compact"/>
              <w:jc w:val="left"/>
            </w:pPr>
            <w:r>
              <w:t xml:space="preserve">Global Digital Ad Spend</w:t>
            </w:r>
          </w:p>
        </w:tc>
        <w:tc>
          <w:tcPr/>
          <w:p>
            <w:pPr>
              <w:pStyle w:val="Compact"/>
              <w:jc w:val="left"/>
            </w:pPr>
            <w:r>
              <w:t xml:space="preserve">$650–799B</w:t>
            </w:r>
          </w:p>
        </w:tc>
        <w:tc>
          <w:tcPr/>
          <w:p>
            <w:pPr>
              <w:pStyle w:val="Compact"/>
              <w:jc w:val="left"/>
            </w:pPr>
            <w:r>
              <w:t xml:space="preserve">~$1.1–1.3T</w:t>
            </w:r>
          </w:p>
        </w:tc>
        <w:tc>
          <w:tcPr/>
          <w:p>
            <w:pPr>
              <w:pStyle w:val="Compact"/>
              <w:jc w:val="left"/>
            </w:pPr>
            <w:r>
              <w:t xml:space="preserve">10–12%</w:t>
            </w:r>
          </w:p>
        </w:tc>
      </w:tr>
      <w:tr>
        <w:tc>
          <w:tcPr/>
          <w:p>
            <w:pPr>
              <w:pStyle w:val="Compact"/>
              <w:jc w:val="left"/>
            </w:pPr>
            <w:r>
              <w:t xml:space="preserve">AI Platform Market (broad)</w:t>
            </w:r>
          </w:p>
        </w:tc>
        <w:tc>
          <w:tcPr/>
          <w:p>
            <w:pPr>
              <w:pStyle w:val="Compact"/>
              <w:jc w:val="left"/>
            </w:pPr>
            <w:r>
              <w:t xml:space="preserve">$18–24B</w:t>
            </w:r>
          </w:p>
        </w:tc>
        <w:tc>
          <w:tcPr/>
          <w:p>
            <w:pPr>
              <w:pStyle w:val="Compact"/>
              <w:jc w:val="left"/>
            </w:pPr>
            <w:r>
              <w:t xml:space="preserve">$94–200B</w:t>
            </w:r>
          </w:p>
        </w:tc>
        <w:tc>
          <w:tcPr/>
          <w:p>
            <w:pPr>
              <w:pStyle w:val="Compact"/>
              <w:jc w:val="left"/>
            </w:pPr>
            <w:r>
              <w:t xml:space="preserve">30–45%</w:t>
            </w:r>
          </w:p>
        </w:tc>
      </w:tr>
      <w:tr>
        <w:tc>
          <w:tcPr/>
          <w:p>
            <w:pPr>
              <w:pStyle w:val="Compact"/>
              <w:jc w:val="left"/>
            </w:pPr>
            <w:r>
              <w:t xml:space="preserve">AI in Advertising</w:t>
            </w:r>
          </w:p>
        </w:tc>
        <w:tc>
          <w:tcPr/>
          <w:p>
            <w:pPr>
              <w:pStyle w:val="Compact"/>
              <w:jc w:val="left"/>
            </w:pPr>
            <w:r>
              <w:t xml:space="preserve">$5–8B</w:t>
            </w:r>
          </w:p>
        </w:tc>
        <w:tc>
          <w:tcPr/>
          <w:p>
            <w:pPr>
              <w:pStyle w:val="Compact"/>
              <w:jc w:val="left"/>
            </w:pPr>
            <w:r>
              <w:t xml:space="preserve">$17–35B</w:t>
            </w:r>
          </w:p>
        </w:tc>
        <w:tc>
          <w:tcPr/>
          <w:p>
            <w:pPr>
              <w:pStyle w:val="Compact"/>
              <w:jc w:val="left"/>
            </w:pPr>
            <w:r>
              <w:t xml:space="preserve">26.7%</w:t>
            </w:r>
          </w:p>
        </w:tc>
      </w:tr>
      <w:tr>
        <w:tc>
          <w:tcPr/>
          <w:p>
            <w:pPr>
              <w:pStyle w:val="Compact"/>
              <w:jc w:val="left"/>
            </w:pPr>
            <w:r>
              <w:t xml:space="preserve">Marketing Analytics</w:t>
            </w:r>
          </w:p>
        </w:tc>
        <w:tc>
          <w:tcPr/>
          <w:p>
            <w:pPr>
              <w:pStyle w:val="Compact"/>
              <w:jc w:val="left"/>
            </w:pPr>
            <w:r>
              <w:t xml:space="preserve">$5–7B</w:t>
            </w:r>
          </w:p>
        </w:tc>
        <w:tc>
          <w:tcPr/>
          <w:p>
            <w:pPr>
              <w:pStyle w:val="Compact"/>
              <w:jc w:val="left"/>
            </w:pPr>
            <w:r>
              <w:t xml:space="preserve">$13–19B</w:t>
            </w:r>
          </w:p>
        </w:tc>
        <w:tc>
          <w:tcPr/>
          <w:p>
            <w:pPr>
              <w:pStyle w:val="Compact"/>
              <w:jc w:val="left"/>
            </w:pPr>
            <w:r>
              <w:t xml:space="preserve">18–25%</w:t>
            </w:r>
          </w:p>
        </w:tc>
      </w:tr>
      <w:tr>
        <w:tc>
          <w:tcPr/>
          <w:p>
            <w:pPr>
              <w:pStyle w:val="Compact"/>
              <w:jc w:val="left"/>
            </w:pPr>
            <w:r>
              <w:t xml:space="preserve">SMB Digital Ad Spend (US)</w:t>
            </w:r>
          </w:p>
        </w:tc>
        <w:tc>
          <w:tcPr/>
          <w:p>
            <w:pPr>
              <w:pStyle w:val="Compact"/>
              <w:jc w:val="left"/>
            </w:pPr>
            <w:r>
              <w:t xml:space="preserve">$98B (27% of US total)</w:t>
            </w:r>
          </w:p>
        </w:tc>
        <w:tc>
          <w:tcPr/>
          <w:p>
            <w:pPr>
              <w:pStyle w:val="Compact"/>
              <w:jc w:val="left"/>
            </w:pPr>
            <w:r>
              <w:t xml:space="preserve">~$265B</w:t>
            </w:r>
          </w:p>
        </w:tc>
        <w:tc>
          <w:tcPr/>
          <w:p>
            <w:pPr>
              <w:pStyle w:val="Compact"/>
              <w:jc w:val="left"/>
            </w:pPr>
            <w:r>
              <w:t xml:space="preserve">22%</w:t>
            </w:r>
          </w:p>
        </w:tc>
      </w:tr>
    </w:tbl>
    <w:p>
      <w:pPr>
        <w:pStyle w:val="BodyText"/>
      </w:pPr>
      <w:r>
        <w:rPr>
          <w:bCs/>
          <w:b/>
        </w:rPr>
        <w:t xml:space="preserve">Sources:</w:t>
      </w:r>
      <w:r>
        <w:t xml:space="preserve"> </w:t>
      </w:r>
      <w:r>
        <w:t xml:space="preserve">Statista Digital Advertising Report 2025; Grand View Research AI in Advertising 2024; Allied Market Research Marketing Analytics 2025; IAB/PwC Internet Ad Revenue Report.</w:t>
      </w:r>
    </w:p>
    <w:bookmarkEnd w:id="24"/>
    <w:bookmarkStart w:id="25" w:name="serviceable-addressable-market-sam"/>
    <w:p>
      <w:pPr>
        <w:pStyle w:val="Heading3"/>
      </w:pPr>
      <w:r>
        <w:t xml:space="preserve">2.2 Serviceable Addressable Market (SAM)</w:t>
      </w:r>
    </w:p>
    <w:p>
      <w:pPr>
        <w:pStyle w:val="FirstParagraph"/>
      </w:pPr>
      <w:r>
        <w:t xml:space="preserve">Within the TAM, AdNexus AI’s Serviceable Addressable Market focuses on the intersection of three vectors:</w:t>
      </w:r>
    </w:p>
    <w:p>
      <w:pPr>
        <w:numPr>
          <w:ilvl w:val="0"/>
          <w:numId w:val="1001"/>
        </w:numPr>
        <w:pStyle w:val="Compact"/>
      </w:pPr>
      <w:r>
        <w:rPr>
          <w:bCs/>
          <w:b/>
        </w:rPr>
        <w:t xml:space="preserve">Mid-market advertisers</w:t>
      </w:r>
      <w:r>
        <w:t xml:space="preserve"> </w:t>
      </w:r>
      <w:r>
        <w:t xml:space="preserve">spending $5K–$100K/month ($60K–$1.2M annually)</w:t>
      </w:r>
    </w:p>
    <w:p>
      <w:pPr>
        <w:numPr>
          <w:ilvl w:val="0"/>
          <w:numId w:val="1001"/>
        </w:numPr>
        <w:pStyle w:val="Compact"/>
      </w:pPr>
      <w:r>
        <w:rPr>
          <w:bCs/>
          <w:b/>
        </w:rPr>
        <w:t xml:space="preserve">Multi-platform operators</w:t>
      </w:r>
      <w:r>
        <w:t xml:space="preserve"> </w:t>
      </w:r>
      <w:r>
        <w:t xml:space="preserve">managing 4+ advertising channels simultaneously</w:t>
      </w:r>
    </w:p>
    <w:p>
      <w:pPr>
        <w:numPr>
          <w:ilvl w:val="0"/>
          <w:numId w:val="1001"/>
        </w:numPr>
        <w:pStyle w:val="Compact"/>
      </w:pPr>
      <w:r>
        <w:rPr>
          <w:bCs/>
          <w:b/>
        </w:rPr>
        <w:t xml:space="preserve">AI-ready buyers</w:t>
      </w:r>
      <w:r>
        <w:t xml:space="preserve"> </w:t>
      </w:r>
      <w:r>
        <w:t xml:space="preserve">actively seeking AI-powered campaign management solutions</w:t>
      </w:r>
    </w:p>
    <w:p>
      <w:pPr>
        <w:pStyle w:val="FirstParagraph"/>
      </w:pPr>
      <w:r>
        <w:t xml:space="preserve">The SAM is estimated at</w:t>
      </w:r>
      <w:r>
        <w:t xml:space="preserve"> </w:t>
      </w:r>
      <w:r>
        <w:rPr>
          <w:bCs/>
          <w:b/>
        </w:rPr>
        <w:t xml:space="preserve">$8–12 billion</w:t>
      </w:r>
      <w:r>
        <w:t xml:space="preserve">, derived from the following market sizing logic:</w:t>
      </w:r>
    </w:p>
    <w:p>
      <w:pPr>
        <w:numPr>
          <w:ilvl w:val="0"/>
          <w:numId w:val="1002"/>
        </w:numPr>
        <w:pStyle w:val="Compact"/>
      </w:pPr>
      <w:r>
        <w:rPr>
          <w:bCs/>
          <w:b/>
        </w:rPr>
        <w:t xml:space="preserve">Marketing Analytics segment</w:t>
      </w:r>
      <w:r>
        <w:t xml:space="preserve"> </w:t>
      </w:r>
      <w:r>
        <w:t xml:space="preserve">($5–7B → $13–19B by 2030): AdNexus AI’s cross-platform creative intelligence and attribution capabilities directly compete in this space</w:t>
      </w:r>
    </w:p>
    <w:p>
      <w:pPr>
        <w:numPr>
          <w:ilvl w:val="0"/>
          <w:numId w:val="1002"/>
        </w:numPr>
        <w:pStyle w:val="Compact"/>
      </w:pPr>
      <w:r>
        <w:rPr>
          <w:bCs/>
          <w:b/>
        </w:rPr>
        <w:t xml:space="preserve">AI in Advertising</w:t>
      </w:r>
      <w:r>
        <w:t xml:space="preserve"> </w:t>
      </w:r>
      <w:r>
        <w:t xml:space="preserve">($5–8B → $17–35B by 2030): The core product category for AI-native campaign management, optimization, and automation tools</w:t>
      </w:r>
    </w:p>
    <w:p>
      <w:pPr>
        <w:numPr>
          <w:ilvl w:val="0"/>
          <w:numId w:val="1002"/>
        </w:numPr>
        <w:pStyle w:val="Compact"/>
      </w:pPr>
      <w:r>
        <w:rPr>
          <w:bCs/>
          <w:b/>
        </w:rPr>
        <w:t xml:space="preserve">Ad Management Platform segment</w:t>
      </w:r>
      <w:r>
        <w:t xml:space="preserve"> </w:t>
      </w:r>
      <w:r>
        <w:t xml:space="preserve">($2–3B): The direct competitive set including Madgicx, Revealbot, Smartly.io, and Trapica</w:t>
      </w:r>
    </w:p>
    <w:p>
      <w:pPr>
        <w:numPr>
          <w:ilvl w:val="0"/>
          <w:numId w:val="1002"/>
        </w:numPr>
        <w:pStyle w:val="Compact"/>
      </w:pPr>
      <w:r>
        <w:rPr>
          <w:bCs/>
          <w:b/>
        </w:rPr>
        <w:t xml:space="preserve">SMB/Mid-market slice</w:t>
      </w:r>
      <w:r>
        <w:t xml:space="preserve"> </w:t>
      </w:r>
      <w:r>
        <w:t xml:space="preserve">($98B × 15% platform penetration × 3% capture rate ≈ $440M growing to $2B+)</w:t>
      </w:r>
    </w:p>
    <w:bookmarkEnd w:id="25"/>
    <w:bookmarkStart w:id="26" w:name="serviceable-obtainable-market-som"/>
    <w:p>
      <w:pPr>
        <w:pStyle w:val="Heading3"/>
      </w:pPr>
      <w:r>
        <w:t xml:space="preserve">2.3 Serviceable Obtainable Market (SOM)</w:t>
      </w:r>
    </w:p>
    <w:p>
      <w:pPr>
        <w:pStyle w:val="FirstParagraph"/>
      </w:pPr>
      <w:r>
        <w:t xml:space="preserve">The near-term realistic capture target — the SOM — is estimated at</w:t>
      </w:r>
      <w:r>
        <w:t xml:space="preserve"> </w:t>
      </w:r>
      <w:r>
        <w:rPr>
          <w:bCs/>
          <w:b/>
        </w:rPr>
        <w:t xml:space="preserve">$1–3 billion</w:t>
      </w:r>
      <w:r>
        <w:t xml:space="preserve">, growing at</w:t>
      </w:r>
      <w:r>
        <w:t xml:space="preserve"> </w:t>
      </w:r>
      <w:r>
        <w:rPr>
          <w:bCs/>
          <w:b/>
        </w:rPr>
        <w:t xml:space="preserve">25–35% CAGR</w:t>
      </w:r>
      <w:r>
        <w:t xml:space="preserve">. This reflects the specific sub-segment of mid-market buyers with the highest propensity to adopt a new AI-first platform:</w:t>
      </w:r>
    </w:p>
    <w:p>
      <w:pPr>
        <w:pStyle w:val="BodyText"/>
      </w:pPr>
      <w:r>
        <w:rPr>
          <w:bCs/>
          <w:b/>
        </w:rPr>
        <w:t xml:space="preserve">Target Buyer Personas:</w:t>
      </w:r>
    </w:p>
    <w:tbl>
      <w:tblPr>
        <w:tblStyle w:val="Table"/>
        <w:tblW w:type="pct" w:w="5000"/>
        <w:tblLook w:firstRow="1" w:lastRow="0" w:firstColumn="0" w:lastColumn="0" w:noHBand="0" w:noVBand="0" w:val="0020"/>
      </w:tblPr>
      <w:tblGrid>
        <w:gridCol w:w="1048"/>
        <w:gridCol w:w="1514"/>
        <w:gridCol w:w="1514"/>
        <w:gridCol w:w="1980"/>
        <w:gridCol w:w="1863"/>
      </w:tblGrid>
      <w:tr>
        <w:trPr>
          <w:tblHeader w:val="true"/>
        </w:trPr>
        <w:tc>
          <w:tcPr/>
          <w:p>
            <w:pPr>
              <w:pStyle w:val="Compact"/>
              <w:jc w:val="left"/>
            </w:pPr>
            <w:r>
              <w:t xml:space="preserve">Persona</w:t>
            </w:r>
          </w:p>
        </w:tc>
        <w:tc>
          <w:tcPr/>
          <w:p>
            <w:pPr>
              <w:pStyle w:val="Compact"/>
              <w:jc w:val="left"/>
            </w:pPr>
            <w:r>
              <w:t xml:space="preserve">Description</w:t>
            </w:r>
          </w:p>
        </w:tc>
        <w:tc>
          <w:tcPr/>
          <w:p>
            <w:pPr>
              <w:pStyle w:val="Compact"/>
              <w:jc w:val="left"/>
            </w:pPr>
            <w:r>
              <w:t xml:space="preserve">Annual Spend</w:t>
            </w:r>
          </w:p>
        </w:tc>
        <w:tc>
          <w:tcPr/>
          <w:p>
            <w:pPr>
              <w:pStyle w:val="Compact"/>
              <w:jc w:val="left"/>
            </w:pPr>
            <w:r>
              <w:t xml:space="preserve">Platform Budget</w:t>
            </w:r>
          </w:p>
        </w:tc>
        <w:tc>
          <w:tcPr/>
          <w:p>
            <w:pPr>
              <w:pStyle w:val="Compact"/>
              <w:jc w:val="left"/>
            </w:pPr>
            <w:r>
              <w:t xml:space="preserve">Key Pain Point</w:t>
            </w:r>
          </w:p>
        </w:tc>
      </w:tr>
      <w:tr>
        <w:tc>
          <w:tcPr/>
          <w:p>
            <w:pPr>
              <w:pStyle w:val="Compact"/>
              <w:jc w:val="left"/>
            </w:pPr>
            <w:r>
              <w:rPr>
                <w:bCs/>
                <w:b/>
              </w:rPr>
              <w:t xml:space="preserve">Mid-Market Media Buyer</w:t>
            </w:r>
          </w:p>
        </w:tc>
        <w:tc>
          <w:tcPr/>
          <w:p>
            <w:pPr>
              <w:pStyle w:val="Compact"/>
              <w:jc w:val="left"/>
            </w:pPr>
            <w:r>
              <w:t xml:space="preserve">In-house performance marketer at D2C or SaaS company</w:t>
            </w:r>
          </w:p>
        </w:tc>
        <w:tc>
          <w:tcPr/>
          <w:p>
            <w:pPr>
              <w:pStyle w:val="Compact"/>
              <w:jc w:val="left"/>
            </w:pPr>
            <w:r>
              <w:t xml:space="preserve">$500K–$5M</w:t>
            </w:r>
          </w:p>
        </w:tc>
        <w:tc>
          <w:tcPr/>
          <w:p>
            <w:pPr>
              <w:pStyle w:val="Compact"/>
              <w:jc w:val="left"/>
            </w:pPr>
            <w:r>
              <w:t xml:space="preserve">$5K–$50K/yr</w:t>
            </w:r>
          </w:p>
        </w:tc>
        <w:tc>
          <w:tcPr/>
          <w:p>
            <w:pPr>
              <w:pStyle w:val="Compact"/>
              <w:jc w:val="left"/>
            </w:pPr>
            <w:r>
              <w:t xml:space="preserve">Cross-platform complexity; creative fatigue</w:t>
            </w:r>
          </w:p>
        </w:tc>
      </w:tr>
      <w:tr>
        <w:tc>
          <w:tcPr/>
          <w:p>
            <w:pPr>
              <w:pStyle w:val="Compact"/>
              <w:jc w:val="left"/>
            </w:pPr>
            <w:r>
              <w:rPr>
                <w:bCs/>
                <w:b/>
              </w:rPr>
              <w:t xml:space="preserve">Performance Agency</w:t>
            </w:r>
          </w:p>
        </w:tc>
        <w:tc>
          <w:tcPr/>
          <w:p>
            <w:pPr>
              <w:pStyle w:val="Compact"/>
              <w:jc w:val="left"/>
            </w:pPr>
            <w:r>
              <w:t xml:space="preserve">10–50 person agency managing client ad accounts</w:t>
            </w:r>
          </w:p>
        </w:tc>
        <w:tc>
          <w:tcPr/>
          <w:p>
            <w:pPr>
              <w:pStyle w:val="Compact"/>
              <w:jc w:val="left"/>
            </w:pPr>
            <w:r>
              <w:t xml:space="preserve">$2M–$20M (collective)</w:t>
            </w:r>
          </w:p>
        </w:tc>
        <w:tc>
          <w:tcPr/>
          <w:p>
            <w:pPr>
              <w:pStyle w:val="Compact"/>
              <w:jc w:val="left"/>
            </w:pPr>
            <w:r>
              <w:t xml:space="preserve">$10K–$100K/yr</w:t>
            </w:r>
          </w:p>
        </w:tc>
        <w:tc>
          <w:tcPr/>
          <w:p>
            <w:pPr>
              <w:pStyle w:val="Compact"/>
              <w:jc w:val="left"/>
            </w:pPr>
            <w:r>
              <w:t xml:space="preserve">Client approval workflows; reporting overhead</w:t>
            </w:r>
          </w:p>
        </w:tc>
      </w:tr>
      <w:tr>
        <w:tc>
          <w:tcPr/>
          <w:p>
            <w:pPr>
              <w:pStyle w:val="Compact"/>
              <w:jc w:val="left"/>
            </w:pPr>
            <w:r>
              <w:rPr>
                <w:bCs/>
                <w:b/>
              </w:rPr>
              <w:t xml:space="preserve">Brand Team (Sub-Enterprise)</w:t>
            </w:r>
          </w:p>
        </w:tc>
        <w:tc>
          <w:tcPr/>
          <w:p>
            <w:pPr>
              <w:pStyle w:val="Compact"/>
              <w:jc w:val="left"/>
            </w:pPr>
            <w:r>
              <w:t xml:space="preserve">Marketing team at brand doing $10M–$100M revenue</w:t>
            </w:r>
          </w:p>
        </w:tc>
        <w:tc>
          <w:tcPr/>
          <w:p>
            <w:pPr>
              <w:pStyle w:val="Compact"/>
              <w:jc w:val="left"/>
            </w:pPr>
            <w:r>
              <w:t xml:space="preserve">$1M–$10M</w:t>
            </w:r>
          </w:p>
        </w:tc>
        <w:tc>
          <w:tcPr/>
          <w:p>
            <w:pPr>
              <w:pStyle w:val="Compact"/>
              <w:jc w:val="left"/>
            </w:pPr>
            <w:r>
              <w:t xml:space="preserve">$15K–$75K/yr</w:t>
            </w:r>
          </w:p>
        </w:tc>
        <w:tc>
          <w:tcPr/>
          <w:p>
            <w:pPr>
              <w:pStyle w:val="Compact"/>
              <w:jc w:val="left"/>
            </w:pPr>
            <w:r>
              <w:t xml:space="preserve">Creative performance visibility; budget governance</w:t>
            </w:r>
          </w:p>
        </w:tc>
      </w:tr>
    </w:tbl>
    <w:bookmarkEnd w:id="26"/>
    <w:bookmarkStart w:id="27" w:name="key-market-dynamics"/>
    <w:p>
      <w:pPr>
        <w:pStyle w:val="Heading3"/>
      </w:pPr>
      <w:r>
        <w:t xml:space="preserve">2.4 Key Market Dynamics</w:t>
      </w:r>
    </w:p>
    <w:p>
      <w:pPr>
        <w:pStyle w:val="FirstParagraph"/>
      </w:pPr>
      <w:r>
        <w:rPr>
          <w:bCs/>
          <w:b/>
        </w:rPr>
        <w:t xml:space="preserve">The AI Adoption Gap — A Massive Expansion Runway</w:t>
      </w:r>
    </w:p>
    <w:p>
      <w:pPr>
        <w:pStyle w:val="BodyText"/>
      </w:pPr>
      <w:r>
        <w:t xml:space="preserve">Despite the explosion of AI marketing tools,</w:t>
      </w:r>
      <w:r>
        <w:t xml:space="preserve"> </w:t>
      </w:r>
      <w:r>
        <w:rPr>
          <w:bCs/>
          <w:b/>
        </w:rPr>
        <w:t xml:space="preserve">only 40% of digital advertising currently leverages AI-driven optimization</w:t>
      </w:r>
      <w:r>
        <w:t xml:space="preserve">. This means 60% of global ad spend — approximately</w:t>
      </w:r>
      <w:r>
        <w:t xml:space="preserve"> </w:t>
      </w:r>
      <w:r>
        <w:rPr>
          <w:bCs/>
          <w:b/>
        </w:rPr>
        <w:t xml:space="preserve">$390–480 billion</w:t>
      </w:r>
      <w:r>
        <w:t xml:space="preserve"> </w:t>
      </w:r>
      <w:r>
        <w:t xml:space="preserve">— remains managed through manual or semi-automated processes. The gap between AI availability and AI adoption represents the single largest growth opportunity in the advertising technology sector.</w:t>
      </w:r>
    </w:p>
    <w:p>
      <w:pPr>
        <w:pStyle w:val="BodyText"/>
      </w:pPr>
      <w:r>
        <w:rPr>
          <w:bCs/>
          <w:b/>
        </w:rPr>
        <w:t xml:space="preserve">Why the 60% Gap Exists:</w:t>
      </w:r>
      <w:r>
        <w:t xml:space="preserve"> </w:t>
      </w:r>
      <w:r>
        <w:t xml:space="preserve">-</w:t>
      </w:r>
      <w:r>
        <w:t xml:space="preserve"> </w:t>
      </w:r>
      <w:r>
        <w:rPr>
          <w:bCs/>
          <w:b/>
        </w:rPr>
        <w:t xml:space="preserve">Trust deficit:</w:t>
      </w:r>
      <w:r>
        <w:t xml:space="preserve"> </w:t>
      </w:r>
      <w:r>
        <w:t xml:space="preserve">Marketers fear losing control to black-box algorithms</w:t>
      </w:r>
      <w:r>
        <w:t xml:space="preserve"> </w:t>
      </w:r>
      <w:r>
        <w:t xml:space="preserve">-</w:t>
      </w:r>
      <w:r>
        <w:t xml:space="preserve"> </w:t>
      </w:r>
      <w:r>
        <w:rPr>
          <w:bCs/>
          <w:b/>
        </w:rPr>
        <w:t xml:space="preserve">Integration complexity:</w:t>
      </w:r>
      <w:r>
        <w:t xml:space="preserve"> </w:t>
      </w:r>
      <w:r>
        <w:t xml:space="preserve">Existing AI tools don’t connect to existing workflows</w:t>
      </w:r>
      <w:r>
        <w:t xml:space="preserve"> </w:t>
      </w:r>
      <w:r>
        <w:t xml:space="preserve">-</w:t>
      </w:r>
      <w:r>
        <w:t xml:space="preserve"> </w:t>
      </w:r>
      <w:r>
        <w:rPr>
          <w:bCs/>
          <w:b/>
        </w:rPr>
        <w:t xml:space="preserve">Platform silos:</w:t>
      </w:r>
      <w:r>
        <w:t xml:space="preserve"> </w:t>
      </w:r>
      <w:r>
        <w:t xml:space="preserve">Each advertising channel requires separate management tools</w:t>
      </w:r>
      <w:r>
        <w:t xml:space="preserve"> </w:t>
      </w:r>
      <w:r>
        <w:t xml:space="preserve">-</w:t>
      </w:r>
      <w:r>
        <w:t xml:space="preserve"> </w:t>
      </w:r>
      <w:r>
        <w:rPr>
          <w:bCs/>
          <w:b/>
        </w:rPr>
        <w:t xml:space="preserve">Pricing opacity:</w:t>
      </w:r>
      <w:r>
        <w:t xml:space="preserve"> </w:t>
      </w:r>
      <w:r>
        <w:t xml:space="preserve">Enterprise AI solutions lack transparent, predictable pricing</w:t>
      </w:r>
      <w:r>
        <w:t xml:space="preserve"> </w:t>
      </w:r>
      <w:r>
        <w:t xml:space="preserve">-</w:t>
      </w:r>
      <w:r>
        <w:t xml:space="preserve"> </w:t>
      </w:r>
      <w:r>
        <w:rPr>
          <w:bCs/>
          <w:b/>
        </w:rPr>
        <w:t xml:space="preserve">Creative blind spot:</w:t>
      </w:r>
      <w:r>
        <w:t xml:space="preserve"> </w:t>
      </w:r>
      <w:r>
        <w:t xml:space="preserve">No tool connects creative asset performance across platforms</w:t>
      </w:r>
    </w:p>
    <w:p>
      <w:pPr>
        <w:pStyle w:val="BodyText"/>
      </w:pPr>
      <w:r>
        <w:rPr>
          <w:bCs/>
          <w:b/>
        </w:rPr>
        <w:t xml:space="preserve">Growth Catalysts:</w:t>
      </w:r>
    </w:p>
    <w:tbl>
      <w:tblPr>
        <w:tblStyle w:val="Table"/>
        <w:tblW w:type="pct" w:w="5000"/>
        <w:tblLook w:firstRow="1" w:lastRow="0" w:firstColumn="0" w:lastColumn="0" w:noHBand="0" w:noVBand="0" w:val="0020"/>
      </w:tblPr>
      <w:tblGrid>
        <w:gridCol w:w="2184"/>
        <w:gridCol w:w="5735"/>
      </w:tblGrid>
      <w:tr>
        <w:trPr>
          <w:tblHeader w:val="true"/>
        </w:trPr>
        <w:tc>
          <w:tcPr/>
          <w:p>
            <w:pPr>
              <w:pStyle w:val="Compact"/>
              <w:jc w:val="left"/>
            </w:pPr>
            <w:r>
              <w:t xml:space="preserve">Driver</w:t>
            </w:r>
          </w:p>
        </w:tc>
        <w:tc>
          <w:tcPr/>
          <w:p>
            <w:pPr>
              <w:pStyle w:val="Compact"/>
              <w:jc w:val="left"/>
            </w:pPr>
            <w:r>
              <w:t xml:space="preserve">Impact on AdNexus AI</w:t>
            </w:r>
          </w:p>
        </w:tc>
      </w:tr>
      <w:tr>
        <w:tc>
          <w:tcPr/>
          <w:p>
            <w:pPr>
              <w:pStyle w:val="Compact"/>
              <w:jc w:val="left"/>
            </w:pPr>
            <w:r>
              <w:rPr>
                <w:bCs/>
                <w:b/>
              </w:rPr>
              <w:t xml:space="preserve">Privacy Changes (iOS ATT)</w:t>
            </w:r>
          </w:p>
        </w:tc>
        <w:tc>
          <w:tcPr/>
          <w:p>
            <w:pPr>
              <w:pStyle w:val="Compact"/>
              <w:jc w:val="left"/>
            </w:pPr>
            <w:r>
              <w:t xml:space="preserve">Increased demand for AI-driven, first-party-data optimization strategies; AdNexus AI’s transparent approach builds trust in a privacy-conscious era</w:t>
            </w:r>
          </w:p>
        </w:tc>
      </w:tr>
      <w:tr>
        <w:tc>
          <w:tcPr/>
          <w:p>
            <w:pPr>
              <w:pStyle w:val="Compact"/>
              <w:jc w:val="left"/>
            </w:pPr>
            <w:r>
              <w:rPr>
                <w:bCs/>
                <w:b/>
              </w:rPr>
              <w:t xml:space="preserve">Cross-Platform Complexity</w:t>
            </w:r>
          </w:p>
        </w:tc>
        <w:tc>
          <w:tcPr/>
          <w:p>
            <w:pPr>
              <w:pStyle w:val="Compact"/>
              <w:jc w:val="left"/>
            </w:pPr>
            <w:r>
              <w:t xml:space="preserve">Advertisers now run 6–8 channels on average; unified management becomes essential, not optional</w:t>
            </w:r>
          </w:p>
        </w:tc>
      </w:tr>
      <w:tr>
        <w:tc>
          <w:tcPr/>
          <w:p>
            <w:pPr>
              <w:pStyle w:val="Compact"/>
              <w:jc w:val="left"/>
            </w:pPr>
            <w:r>
              <w:rPr>
                <w:bCs/>
                <w:b/>
              </w:rPr>
              <w:t xml:space="preserve">AI Adoption Acceleration</w:t>
            </w:r>
          </w:p>
        </w:tc>
        <w:tc>
          <w:tcPr/>
          <w:p>
            <w:pPr>
              <w:pStyle w:val="Compact"/>
              <w:jc w:val="left"/>
            </w:pPr>
            <w:r>
              <w:t xml:space="preserve">62% of agencies already use AI tools; the infrastructure and willingness to adopt agentic AI now exists</w:t>
            </w:r>
          </w:p>
        </w:tc>
      </w:tr>
      <w:tr>
        <w:tc>
          <w:tcPr/>
          <w:p>
            <w:pPr>
              <w:pStyle w:val="Compact"/>
              <w:jc w:val="left"/>
            </w:pPr>
            <w:r>
              <w:rPr>
                <w:bCs/>
                <w:b/>
              </w:rPr>
              <w:t xml:space="preserve">Regulatory Pressure (EU AI Act)</w:t>
            </w:r>
          </w:p>
        </w:tc>
        <w:tc>
          <w:tcPr/>
          <w:p>
            <w:pPr>
              <w:pStyle w:val="Compact"/>
              <w:jc w:val="left"/>
            </w:pPr>
            <w:r>
              <w:t xml:space="preserve">2026 compliance deadline creates urgent need for explainable, auditable AI — exactly AdNexus AI’s architecture</w:t>
            </w:r>
          </w:p>
        </w:tc>
      </w:tr>
      <w:tr>
        <w:tc>
          <w:tcPr/>
          <w:p>
            <w:pPr>
              <w:pStyle w:val="Compact"/>
              <w:jc w:val="left"/>
            </w:pPr>
            <w:r>
              <w:rPr>
                <w:bCs/>
                <w:b/>
              </w:rPr>
              <w:t xml:space="preserve">MCP Protocol Standardization</w:t>
            </w:r>
          </w:p>
        </w:tc>
        <w:tc>
          <w:tcPr/>
          <w:p>
            <w:pPr>
              <w:pStyle w:val="Compact"/>
              <w:jc w:val="left"/>
            </w:pPr>
            <w:r>
              <w:t xml:space="preserve">Model Context Protocol adoption creates interoperability moat; first-mover advantage in ad tech</w:t>
            </w:r>
          </w:p>
        </w:tc>
      </w:tr>
    </w:tbl>
    <w:bookmarkEnd w:id="27"/>
    <w:bookmarkStart w:id="28" w:name="revenue-model-unit-economics"/>
    <w:p>
      <w:pPr>
        <w:pStyle w:val="Heading3"/>
      </w:pPr>
      <w:r>
        <w:t xml:space="preserve">2.5 Revenue Model &amp; Unit Economics</w:t>
      </w:r>
    </w:p>
    <w:p>
      <w:pPr>
        <w:pStyle w:val="FirstParagraph"/>
      </w:pPr>
      <w:r>
        <w:t xml:space="preserve">AdNexus AI will deploy a tiered SaaS pricing model designed to capture value from the mid-market sweet spot:</w:t>
      </w:r>
    </w:p>
    <w:tbl>
      <w:tblPr>
        <w:tblStyle w:val="Table"/>
        <w:tblW w:type="pct" w:w="5000"/>
        <w:tblLook w:firstRow="1" w:lastRow="0" w:firstColumn="0" w:lastColumn="0" w:noHBand="0" w:noVBand="0" w:val="0020"/>
      </w:tblPr>
      <w:tblGrid>
        <w:gridCol w:w="1218"/>
        <w:gridCol w:w="1421"/>
        <w:gridCol w:w="2640"/>
        <w:gridCol w:w="2640"/>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Target User</w:t>
            </w:r>
          </w:p>
        </w:tc>
        <w:tc>
          <w:tcPr/>
          <w:p>
            <w:pPr>
              <w:pStyle w:val="Compact"/>
              <w:jc w:val="left"/>
            </w:pPr>
            <w:r>
              <w:t xml:space="preserve">Feature Set</w:t>
            </w:r>
          </w:p>
        </w:tc>
      </w:tr>
      <w:tr>
        <w:tc>
          <w:tcPr/>
          <w:p>
            <w:pPr>
              <w:pStyle w:val="Compact"/>
              <w:jc w:val="left"/>
            </w:pPr>
            <w:r>
              <w:rPr>
                <w:bCs/>
                <w:b/>
              </w:rPr>
              <w:t xml:space="preserve">Starter</w:t>
            </w:r>
          </w:p>
        </w:tc>
        <w:tc>
          <w:tcPr/>
          <w:p>
            <w:pPr>
              <w:pStyle w:val="Compact"/>
              <w:jc w:val="left"/>
            </w:pPr>
            <w:r>
              <w:t xml:space="preserve">$79/mo</w:t>
            </w:r>
          </w:p>
        </w:tc>
        <w:tc>
          <w:tcPr/>
          <w:p>
            <w:pPr>
              <w:pStyle w:val="Compact"/>
              <w:jc w:val="left"/>
            </w:pPr>
            <w:r>
              <w:t xml:space="preserve">Solo media buyers</w:t>
            </w:r>
          </w:p>
        </w:tc>
        <w:tc>
          <w:tcPr/>
          <w:p>
            <w:pPr>
              <w:pStyle w:val="Compact"/>
              <w:jc w:val="left"/>
            </w:pPr>
            <w:r>
              <w:t xml:space="preserve">1 platform, 3 AI agents, basic creative intel</w:t>
            </w:r>
          </w:p>
        </w:tc>
      </w:tr>
      <w:tr>
        <w:tc>
          <w:tcPr/>
          <w:p>
            <w:pPr>
              <w:pStyle w:val="Compact"/>
              <w:jc w:val="left"/>
            </w:pPr>
            <w:r>
              <w:rPr>
                <w:bCs/>
                <w:b/>
              </w:rPr>
              <w:t xml:space="preserve">Professional</w:t>
            </w:r>
          </w:p>
        </w:tc>
        <w:tc>
          <w:tcPr/>
          <w:p>
            <w:pPr>
              <w:pStyle w:val="Compact"/>
              <w:jc w:val="left"/>
            </w:pPr>
            <w:r>
              <w:t xml:space="preserve">$199/mo</w:t>
            </w:r>
          </w:p>
        </w:tc>
        <w:tc>
          <w:tcPr/>
          <w:p>
            <w:pPr>
              <w:pStyle w:val="Compact"/>
              <w:jc w:val="left"/>
            </w:pPr>
            <w:r>
              <w:t xml:space="preserve">Growing teams</w:t>
            </w:r>
          </w:p>
        </w:tc>
        <w:tc>
          <w:tcPr/>
          <w:p>
            <w:pPr>
              <w:pStyle w:val="Compact"/>
              <w:jc w:val="left"/>
            </w:pPr>
            <w:r>
              <w:t xml:space="preserve">3 platforms, 10 agents, full creative suite</w:t>
            </w:r>
          </w:p>
        </w:tc>
      </w:tr>
      <w:tr>
        <w:tc>
          <w:tcPr/>
          <w:p>
            <w:pPr>
              <w:pStyle w:val="Compact"/>
              <w:jc w:val="left"/>
            </w:pPr>
            <w:r>
              <w:rPr>
                <w:bCs/>
                <w:b/>
              </w:rPr>
              <w:t xml:space="preserve">Agency</w:t>
            </w:r>
          </w:p>
        </w:tc>
        <w:tc>
          <w:tcPr/>
          <w:p>
            <w:pPr>
              <w:pStyle w:val="Compact"/>
              <w:jc w:val="left"/>
            </w:pPr>
            <w:r>
              <w:t xml:space="preserve">$499/mo</w:t>
            </w:r>
          </w:p>
        </w:tc>
        <w:tc>
          <w:tcPr/>
          <w:p>
            <w:pPr>
              <w:pStyle w:val="Compact"/>
              <w:jc w:val="left"/>
            </w:pPr>
            <w:r>
              <w:t xml:space="preserve">Performance agencies</w:t>
            </w:r>
          </w:p>
        </w:tc>
        <w:tc>
          <w:tcPr/>
          <w:p>
            <w:pPr>
              <w:pStyle w:val="Compact"/>
              <w:jc w:val="left"/>
            </w:pPr>
            <w:r>
              <w:t xml:space="preserve">4 platforms, unlimited agents, white-label, API</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Large brand teams</w:t>
            </w:r>
          </w:p>
        </w:tc>
        <w:tc>
          <w:tcPr/>
          <w:p>
            <w:pPr>
              <w:pStyle w:val="Compact"/>
              <w:jc w:val="left"/>
            </w:pPr>
            <w:r>
              <w:t xml:space="preserve">Custom integrations, dedicated support, SLAs</w:t>
            </w:r>
          </w:p>
        </w:tc>
      </w:tr>
    </w:tbl>
    <w:p>
      <w:pPr>
        <w:pStyle w:val="BodyText"/>
      </w:pPr>
      <w:r>
        <w:rPr>
          <w:bCs/>
          <w:b/>
        </w:rPr>
        <w:t xml:space="preserve">Unit Economics Targets:</w:t>
      </w:r>
      <w:r>
        <w:t xml:space="preserve"> </w:t>
      </w:r>
      <w:r>
        <w:t xml:space="preserve">-</w:t>
      </w:r>
      <w:r>
        <w:t xml:space="preserve"> </w:t>
      </w:r>
      <w:r>
        <w:rPr>
          <w:bCs/>
          <w:b/>
        </w:rPr>
        <w:t xml:space="preserve">LTV:CAC ratio:</w:t>
      </w:r>
      <w:r>
        <w:t xml:space="preserve"> </w:t>
      </w:r>
      <w:r>
        <w:t xml:space="preserve">5:1 (target) — driven by monthly recurring revenue and annual contracts</w:t>
      </w:r>
      <w:r>
        <w:t xml:space="preserve"> </w:t>
      </w:r>
      <w:r>
        <w:t xml:space="preserve">-</w:t>
      </w:r>
      <w:r>
        <w:t xml:space="preserve"> </w:t>
      </w:r>
      <w:r>
        <w:rPr>
          <w:bCs/>
          <w:b/>
        </w:rPr>
        <w:t xml:space="preserve">Net Revenue Retention:</w:t>
      </w:r>
      <w:r>
        <w:t xml:space="preserve"> </w:t>
      </w:r>
      <w:r>
        <w:t xml:space="preserve">115%+ through expansion revenue (additional platforms, more agents)</w:t>
      </w:r>
      <w:r>
        <w:t xml:space="preserve"> </w:t>
      </w:r>
      <w:r>
        <w:t xml:space="preserve">-</w:t>
      </w:r>
      <w:r>
        <w:t xml:space="preserve"> </w:t>
      </w:r>
      <w:r>
        <w:rPr>
          <w:bCs/>
          <w:b/>
        </w:rPr>
        <w:t xml:space="preserve">Gross Margin:</w:t>
      </w:r>
      <w:r>
        <w:t xml:space="preserve"> </w:t>
      </w:r>
      <w:r>
        <w:t xml:space="preserve">80%+ typical for SaaS; targeting 82–85% at scale</w:t>
      </w:r>
      <w:r>
        <w:t xml:space="preserve"> </w:t>
      </w:r>
      <w:r>
        <w:t xml:space="preserve">-</w:t>
      </w:r>
      <w:r>
        <w:t xml:space="preserve"> </w:t>
      </w:r>
      <w:r>
        <w:rPr>
          <w:bCs/>
          <w:b/>
        </w:rPr>
        <w:t xml:space="preserve">Payback Period:</w:t>
      </w:r>
      <w:r>
        <w:t xml:space="preserve"> </w:t>
      </w:r>
      <w:r>
        <w:t xml:space="preserve">&lt;12 months on CAC</w:t>
      </w:r>
    </w:p>
    <w:p>
      <w:r>
        <w:pict>
          <v:rect style="width:0;height:1.5pt" o:hralign="center" o:hrstd="t" o:hr="t"/>
        </w:pict>
      </w:r>
    </w:p>
    <w:bookmarkEnd w:id="28"/>
    <w:bookmarkEnd w:id="29"/>
    <w:bookmarkStart w:id="34" w:name="competitive-landscape-analysis"/>
    <w:p>
      <w:pPr>
        <w:pStyle w:val="Heading2"/>
      </w:pPr>
      <w:r>
        <w:t xml:space="preserve">3. Competitive Landscape Analysis</w:t>
      </w:r>
    </w:p>
    <w:bookmarkStart w:id="30" w:name="direct-competitor-comparison"/>
    <w:p>
      <w:pPr>
        <w:pStyle w:val="Heading3"/>
      </w:pPr>
      <w:r>
        <w:t xml:space="preserve">3.1 Direct Competitor Comparison</w:t>
      </w:r>
    </w:p>
    <w:p>
      <w:pPr>
        <w:pStyle w:val="FirstParagraph"/>
      </w:pPr>
      <w:r>
        <w:t xml:space="preserve">The AI advertising management space is fragmented, with no single platform offering the combination of agentic AI, draft-first approval, MCP-native architecture, and cross-platform creative intelligence. The following table provides a comprehensive head-to-head analysis:</w:t>
      </w:r>
    </w:p>
    <w:tbl>
      <w:tblPr>
        <w:tblStyle w:val="Table"/>
        <w:tblW w:type="pct" w:w="5000"/>
        <w:tblLook w:firstRow="1" w:lastRow="0" w:firstColumn="0" w:lastColumn="0" w:noHBand="0" w:noVBand="0" w:val="0020"/>
      </w:tblPr>
      <w:tblGrid>
        <w:gridCol w:w="535"/>
        <w:gridCol w:w="749"/>
        <w:gridCol w:w="1123"/>
        <w:gridCol w:w="1070"/>
        <w:gridCol w:w="1177"/>
        <w:gridCol w:w="642"/>
        <w:gridCol w:w="1177"/>
        <w:gridCol w:w="856"/>
        <w:gridCol w:w="588"/>
      </w:tblGrid>
      <w:tr>
        <w:trPr>
          <w:tblHeader w:val="true"/>
        </w:trPr>
        <w:tc>
          <w:tcPr/>
          <w:p>
            <w:pPr>
              <w:pStyle w:val="Compact"/>
              <w:jc w:val="left"/>
            </w:pPr>
            <w:r>
              <w:t xml:space="preserve">Platform</w:t>
            </w:r>
          </w:p>
        </w:tc>
        <w:tc>
          <w:tcPr/>
          <w:p>
            <w:pPr>
              <w:pStyle w:val="Compact"/>
              <w:jc w:val="left"/>
            </w:pPr>
            <w:r>
              <w:t xml:space="preserve">Monthly Price</w:t>
            </w:r>
          </w:p>
        </w:tc>
        <w:tc>
          <w:tcPr/>
          <w:p>
            <w:pPr>
              <w:pStyle w:val="Compact"/>
              <w:jc w:val="left"/>
            </w:pPr>
            <w:r>
              <w:t xml:space="preserve">Supported Platforms</w:t>
            </w:r>
          </w:p>
        </w:tc>
        <w:tc>
          <w:tcPr/>
          <w:p>
            <w:pPr>
              <w:pStyle w:val="Compact"/>
              <w:jc w:val="left"/>
            </w:pPr>
            <w:r>
              <w:t xml:space="preserve">AI Sophistication</w:t>
            </w:r>
          </w:p>
        </w:tc>
        <w:tc>
          <w:tcPr/>
          <w:p>
            <w:pPr>
              <w:pStyle w:val="Compact"/>
              <w:jc w:val="left"/>
            </w:pPr>
            <w:r>
              <w:t xml:space="preserve">Draft-First Approval</w:t>
            </w:r>
          </w:p>
        </w:tc>
        <w:tc>
          <w:tcPr/>
          <w:p>
            <w:pPr>
              <w:pStyle w:val="Compact"/>
              <w:jc w:val="left"/>
            </w:pPr>
            <w:r>
              <w:t xml:space="preserve">MCP-Native</w:t>
            </w:r>
          </w:p>
        </w:tc>
        <w:tc>
          <w:tcPr/>
          <w:p>
            <w:pPr>
              <w:pStyle w:val="Compact"/>
              <w:jc w:val="left"/>
            </w:pPr>
            <w:r>
              <w:t xml:space="preserve">Creative Intelligence</w:t>
            </w:r>
          </w:p>
        </w:tc>
        <w:tc>
          <w:tcPr/>
          <w:p>
            <w:pPr>
              <w:pStyle w:val="Compact"/>
              <w:jc w:val="left"/>
            </w:pPr>
            <w:r>
              <w:t xml:space="preserve">Cross-Platform</w:t>
            </w:r>
          </w:p>
        </w:tc>
        <w:tc>
          <w:tcPr/>
          <w:p>
            <w:pPr>
              <w:pStyle w:val="Compact"/>
              <w:jc w:val="left"/>
            </w:pPr>
            <w:r>
              <w:t xml:space="preserve">G2 Rating</w:t>
            </w:r>
          </w:p>
        </w:tc>
      </w:tr>
      <w:tr>
        <w:tc>
          <w:tcPr/>
          <w:p>
            <w:pPr>
              <w:pStyle w:val="Compact"/>
              <w:jc w:val="left"/>
            </w:pPr>
            <w:r>
              <w:rPr>
                <w:bCs/>
                <w:b/>
              </w:rPr>
              <w:t xml:space="preserve">Madgicx</w:t>
            </w:r>
          </w:p>
        </w:tc>
        <w:tc>
          <w:tcPr/>
          <w:p>
            <w:pPr>
              <w:pStyle w:val="Compact"/>
              <w:jc w:val="left"/>
            </w:pPr>
            <w:r>
              <w:t xml:space="preserve">$49–$499</w:t>
            </w:r>
          </w:p>
        </w:tc>
        <w:tc>
          <w:tcPr/>
          <w:p>
            <w:pPr>
              <w:pStyle w:val="Compact"/>
              <w:jc w:val="left"/>
            </w:pPr>
            <w:r>
              <w:t xml:space="preserve">Meta only</w:t>
            </w:r>
          </w:p>
        </w:tc>
        <w:tc>
          <w:tcPr/>
          <w:p>
            <w:pPr>
              <w:pStyle w:val="Compact"/>
              <w:jc w:val="left"/>
            </w:pPr>
            <w:r>
              <w:t xml:space="preserve">Advanced (predictive)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(Meta only)</w:t>
            </w:r>
          </w:p>
        </w:tc>
        <w:tc>
          <w:tcPr/>
          <w:p>
            <w:pPr>
              <w:pStyle w:val="Compact"/>
              <w:jc w:val="left"/>
            </w:pPr>
            <w:r>
              <w:t xml:space="preserve">No</w:t>
            </w:r>
          </w:p>
        </w:tc>
        <w:tc>
          <w:tcPr/>
          <w:p>
            <w:pPr>
              <w:pStyle w:val="Compact"/>
              <w:jc w:val="left"/>
            </w:pPr>
            <w:r>
              <w:t xml:space="preserve">4.6/5</w:t>
            </w:r>
          </w:p>
        </w:tc>
      </w:tr>
      <w:tr>
        <w:tc>
          <w:tcPr/>
          <w:p>
            <w:pPr>
              <w:pStyle w:val="Compact"/>
              <w:jc w:val="left"/>
            </w:pPr>
            <w:r>
              <w:rPr>
                <w:bCs/>
                <w:b/>
              </w:rPr>
              <w:t xml:space="preserve">Revealbot</w:t>
            </w:r>
          </w:p>
        </w:tc>
        <w:tc>
          <w:tcPr/>
          <w:p>
            <w:pPr>
              <w:pStyle w:val="Compact"/>
              <w:jc w:val="left"/>
            </w:pPr>
            <w:r>
              <w:t xml:space="preserve">$99–$499</w:t>
            </w:r>
          </w:p>
        </w:tc>
        <w:tc>
          <w:tcPr/>
          <w:p>
            <w:pPr>
              <w:pStyle w:val="Compact"/>
              <w:jc w:val="left"/>
            </w:pPr>
            <w:r>
              <w:t xml:space="preserve">4 channels</w:t>
            </w:r>
          </w:p>
        </w:tc>
        <w:tc>
          <w:tcPr/>
          <w:p>
            <w:pPr>
              <w:pStyle w:val="Compact"/>
              <w:jc w:val="left"/>
            </w:pPr>
            <w:r>
              <w:t xml:space="preserve">Basic (rule-based)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4.8/5</w:t>
            </w:r>
          </w:p>
        </w:tc>
      </w:tr>
      <w:tr>
        <w:tc>
          <w:tcPr/>
          <w:p>
            <w:pPr>
              <w:pStyle w:val="Compact"/>
              <w:jc w:val="left"/>
            </w:pPr>
            <w:r>
              <w:rPr>
                <w:bCs/>
                <w:b/>
              </w:rPr>
              <w:t xml:space="preserve">AdEspresso</w:t>
            </w:r>
          </w:p>
        </w:tc>
        <w:tc>
          <w:tcPr/>
          <w:p>
            <w:pPr>
              <w:pStyle w:val="Compact"/>
              <w:jc w:val="left"/>
            </w:pPr>
            <w:r>
              <w:t xml:space="preserve">$49–$259</w:t>
            </w:r>
          </w:p>
        </w:tc>
        <w:tc>
          <w:tcPr/>
          <w:p>
            <w:pPr>
              <w:pStyle w:val="Compact"/>
              <w:jc w:val="left"/>
            </w:pPr>
            <w:r>
              <w:t xml:space="preserve">Meta only</w:t>
            </w:r>
          </w:p>
        </w:tc>
        <w:tc>
          <w:tcPr/>
          <w:p>
            <w:pPr>
              <w:pStyle w:val="Compact"/>
              <w:jc w:val="left"/>
            </w:pPr>
            <w:r>
              <w:t xml:space="preserve">None (manual)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3.6/5</w:t>
            </w:r>
          </w:p>
        </w:tc>
      </w:tr>
      <w:tr>
        <w:tc>
          <w:tcPr/>
          <w:p>
            <w:pPr>
              <w:pStyle w:val="Compact"/>
              <w:jc w:val="left"/>
            </w:pPr>
            <w:r>
              <w:rPr>
                <w:bCs/>
                <w:b/>
              </w:rPr>
              <w:t xml:space="preserve">Smartly.io</w:t>
            </w:r>
          </w:p>
        </w:tc>
        <w:tc>
          <w:tcPr/>
          <w:p>
            <w:pPr>
              <w:pStyle w:val="Compact"/>
              <w:jc w:val="left"/>
            </w:pPr>
            <w:r>
              <w:t xml:space="preserve">$2,000+</w:t>
            </w:r>
          </w:p>
        </w:tc>
        <w:tc>
          <w:tcPr/>
          <w:p>
            <w:pPr>
              <w:pStyle w:val="Compact"/>
              <w:jc w:val="left"/>
            </w:pPr>
            <w:r>
              <w:t xml:space="preserve">Multi-platform</w:t>
            </w:r>
          </w:p>
        </w:tc>
        <w:tc>
          <w:tcPr/>
          <w:p>
            <w:pPr>
              <w:pStyle w:val="Compact"/>
              <w:jc w:val="left"/>
            </w:pPr>
            <w:r>
              <w:t xml:space="preserve">Advanced (autonomous)</w:t>
            </w:r>
          </w:p>
        </w:tc>
        <w:tc>
          <w:tcPr/>
          <w:p>
            <w:pPr>
              <w:pStyle w:val="Compact"/>
              <w:jc w:val="left"/>
            </w:pPr>
            <w:r>
              <w:t xml:space="preserve">Creative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4.4/5</w:t>
            </w:r>
          </w:p>
        </w:tc>
      </w:tr>
      <w:tr>
        <w:tc>
          <w:tcPr/>
          <w:p>
            <w:pPr>
              <w:pStyle w:val="Compact"/>
              <w:jc w:val="left"/>
            </w:pPr>
            <w:r>
              <w:rPr>
                <w:bCs/>
                <w:b/>
              </w:rPr>
              <w:t xml:space="preserve">Trapica</w:t>
            </w:r>
          </w:p>
        </w:tc>
        <w:tc>
          <w:tcPr/>
          <w:p>
            <w:pPr>
              <w:pStyle w:val="Compact"/>
              <w:jc w:val="left"/>
            </w:pPr>
            <w:r>
              <w:t xml:space="preserve">$99–$999</w:t>
            </w:r>
          </w:p>
        </w:tc>
        <w:tc>
          <w:tcPr/>
          <w:p>
            <w:pPr>
              <w:pStyle w:val="Compact"/>
              <w:jc w:val="left"/>
            </w:pPr>
            <w:r>
              <w:t xml:space="preserve">Meta + Google</w:t>
            </w:r>
          </w:p>
        </w:tc>
        <w:tc>
          <w:tcPr/>
          <w:p>
            <w:pPr>
              <w:pStyle w:val="Compact"/>
              <w:jc w:val="left"/>
            </w:pPr>
            <w:r>
              <w:t xml:space="preserve">Moderate (targeting AI)</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rPr>
                <w:bCs/>
                <w:b/>
              </w:rPr>
              <w:t xml:space="preserve">Albert.ai</w:t>
            </w:r>
          </w:p>
        </w:tc>
        <w:tc>
          <w:tcPr/>
          <w:p>
            <w:pPr>
              <w:pStyle w:val="Compact"/>
              <w:jc w:val="left"/>
            </w:pPr>
            <w:r>
              <w:t xml:space="preserve">Custom ($10K+)</w:t>
            </w:r>
          </w:p>
        </w:tc>
        <w:tc>
          <w:tcPr/>
          <w:p>
            <w:pPr>
              <w:pStyle w:val="Compact"/>
              <w:jc w:val="left"/>
            </w:pPr>
            <w:r>
              <w:t xml:space="preserve">Multi-platform</w:t>
            </w:r>
          </w:p>
        </w:tc>
        <w:tc>
          <w:tcPr/>
          <w:p>
            <w:pPr>
              <w:pStyle w:val="Compact"/>
              <w:jc w:val="left"/>
            </w:pPr>
            <w:r>
              <w:t xml:space="preserve">Fully autonomous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(limited)</w:t>
            </w:r>
          </w:p>
        </w:tc>
        <w:tc>
          <w:tcPr/>
          <w:p>
            <w:pPr>
              <w:pStyle w:val="Compact"/>
              <w:jc w:val="left"/>
            </w:pPr>
            <w:r>
              <w:t xml:space="preserve">N/A</w:t>
            </w:r>
          </w:p>
        </w:tc>
      </w:tr>
      <w:tr>
        <w:tc>
          <w:tcPr/>
          <w:p>
            <w:pPr>
              <w:pStyle w:val="Compact"/>
              <w:jc w:val="left"/>
            </w:pPr>
            <w:r>
              <w:rPr>
                <w:bCs/>
                <w:b/>
              </w:rPr>
              <w:t xml:space="preserve">AdNexus AI</w:t>
            </w:r>
          </w:p>
        </w:tc>
        <w:tc>
          <w:tcPr/>
          <w:p>
            <w:pPr>
              <w:pStyle w:val="Compact"/>
              <w:jc w:val="left"/>
            </w:pPr>
            <w:r>
              <w:rPr>
                <w:bCs/>
                <w:b/>
              </w:rPr>
              <w:t xml:space="preserve">$79–$499</w:t>
            </w:r>
          </w:p>
        </w:tc>
        <w:tc>
          <w:tcPr/>
          <w:p>
            <w:pPr>
              <w:pStyle w:val="Compact"/>
              <w:jc w:val="left"/>
            </w:pPr>
            <w:r>
              <w:rPr>
                <w:bCs/>
                <w:b/>
              </w:rPr>
              <w:t xml:space="preserve">4 platforms</w:t>
            </w:r>
          </w:p>
        </w:tc>
        <w:tc>
          <w:tcPr/>
          <w:p>
            <w:pPr>
              <w:pStyle w:val="Compact"/>
              <w:jc w:val="left"/>
            </w:pPr>
            <w:r>
              <w:rPr>
                <w:bCs/>
                <w:b/>
              </w:rPr>
              <w:t xml:space="preserve">Agentic (draft-approve)</w:t>
            </w:r>
          </w:p>
        </w:tc>
        <w:tc>
          <w:tcPr/>
          <w:p>
            <w:pPr>
              <w:pStyle w:val="Compact"/>
              <w:jc w:val="left"/>
            </w:pPr>
            <w:r>
              <w:rPr>
                <w:bCs/>
                <w:b/>
              </w:rPr>
              <w:t xml:space="preserve">Yes (core feature)</w:t>
            </w:r>
          </w:p>
        </w:tc>
        <w:tc>
          <w:tcPr/>
          <w:p>
            <w:pPr>
              <w:pStyle w:val="Compact"/>
              <w:jc w:val="left"/>
            </w:pPr>
            <w:r>
              <w:rPr>
                <w:bCs/>
                <w:b/>
              </w:rPr>
              <w:t xml:space="preserve">Yes</w:t>
            </w:r>
          </w:p>
        </w:tc>
        <w:tc>
          <w:tcPr/>
          <w:p>
            <w:pPr>
              <w:pStyle w:val="Compact"/>
              <w:jc w:val="left"/>
            </w:pPr>
            <w:r>
              <w:rPr>
                <w:bCs/>
                <w:b/>
              </w:rPr>
              <w:t xml:space="preserve">Yes (cross-platform)</w:t>
            </w:r>
          </w:p>
        </w:tc>
        <w:tc>
          <w:tcPr/>
          <w:p>
            <w:pPr>
              <w:pStyle w:val="Compact"/>
              <w:jc w:val="left"/>
            </w:pPr>
            <w:r>
              <w:rPr>
                <w:bCs/>
                <w:b/>
              </w:rPr>
              <w:t xml:space="preserve">Yes (unified)</w:t>
            </w:r>
          </w:p>
        </w:tc>
        <w:tc>
          <w:tcPr/>
          <w:p>
            <w:pPr>
              <w:pStyle w:val="Compact"/>
              <w:jc w:val="left"/>
            </w:pPr>
            <w:r>
              <w:rPr>
                <w:bCs/>
                <w:b/>
              </w:rPr>
              <w:t xml:space="preserve">New</w:t>
            </w:r>
          </w:p>
        </w:tc>
      </w:tr>
    </w:tbl>
    <w:bookmarkEnd w:id="30"/>
    <w:bookmarkStart w:id="31" w:name="competitor-deep-dive-profiles"/>
    <w:p>
      <w:pPr>
        <w:pStyle w:val="Heading3"/>
      </w:pPr>
      <w:r>
        <w:t xml:space="preserve">3.2 Competitor Deep-Dive Profiles</w:t>
      </w:r>
    </w:p>
    <w:p>
      <w:pPr>
        <w:pStyle w:val="FirstParagraph"/>
      </w:pPr>
      <w:r>
        <w:rPr>
          <w:bCs/>
          <w:b/>
        </w:rPr>
        <w:t xml:space="preserve">Madgicx</w:t>
      </w:r>
      <w:r>
        <w:t xml:space="preserve"> </w:t>
      </w:r>
      <w:r>
        <w:t xml:space="preserve">($49–$499/mo, Meta-only, G2: 4.6/5)</w:t>
      </w:r>
      <w:r>
        <w:t xml:space="preserve"> </w:t>
      </w:r>
      <w:r>
        <w:t xml:space="preserve">-</w:t>
      </w:r>
      <w:r>
        <w:t xml:space="preserve"> </w:t>
      </w:r>
      <w:r>
        <w:rPr>
          <w:bCs/>
          <w:b/>
        </w:rPr>
        <w:t xml:space="preserve">Strengths:</w:t>
      </w:r>
      <w:r>
        <w:t xml:space="preserve"> </w:t>
      </w:r>
      <w:r>
        <w:t xml:space="preserve">Strong predictive AI for Meta campaigns; good creative insights within Meta ecosystem; established user base</w:t>
      </w:r>
      <w:r>
        <w:t xml:space="preserve"> </w:t>
      </w:r>
      <w:r>
        <w:t xml:space="preserve">-</w:t>
      </w:r>
      <w:r>
        <w:t xml:space="preserve"> </w:t>
      </w:r>
      <w:r>
        <w:rPr>
          <w:bCs/>
          <w:b/>
        </w:rPr>
        <w:t xml:space="preserve">Weaknesses:</w:t>
      </w:r>
      <w:r>
        <w:t xml:space="preserve"> </w:t>
      </w:r>
      <w:r>
        <w:t xml:space="preserve">Single-platform lock-in (Meta only); no approval workflow; AI operates autonomously without human gates; no MCP integration; cannot see creative performance across Google, TikTok, or LinkedIn</w:t>
      </w:r>
      <w:r>
        <w:t xml:space="preserve"> </w:t>
      </w:r>
      <w:r>
        <w:t xml:space="preserve">-</w:t>
      </w:r>
      <w:r>
        <w:t xml:space="preserve"> </w:t>
      </w:r>
      <w:r>
        <w:rPr>
          <w:bCs/>
          <w:b/>
        </w:rPr>
        <w:t xml:space="preserve">Threat Level:</w:t>
      </w:r>
      <w:r>
        <w:t xml:space="preserve"> </w:t>
      </w:r>
      <w:r>
        <w:t xml:space="preserve">Medium — strong in their niche but fundamentally limited by platform scope</w:t>
      </w:r>
    </w:p>
    <w:p>
      <w:pPr>
        <w:pStyle w:val="BodyText"/>
      </w:pPr>
      <w:r>
        <w:rPr>
          <w:bCs/>
          <w:b/>
        </w:rPr>
        <w:t xml:space="preserve">Revealbot</w:t>
      </w:r>
      <w:r>
        <w:t xml:space="preserve"> </w:t>
      </w:r>
      <w:r>
        <w:t xml:space="preserve">($99–$499/mo, 4 channels, G2: 4.8/5)</w:t>
      </w:r>
      <w:r>
        <w:t xml:space="preserve"> </w:t>
      </w:r>
      <w:r>
        <w:t xml:space="preserve">-</w:t>
      </w:r>
      <w:r>
        <w:t xml:space="preserve"> </w:t>
      </w:r>
      <w:r>
        <w:rPr>
          <w:bCs/>
          <w:b/>
        </w:rPr>
        <w:t xml:space="preserve">Strengths:</w:t>
      </w:r>
      <w:r>
        <w:t xml:space="preserve"> </w:t>
      </w:r>
      <w:r>
        <w:t xml:space="preserve">Highest G2 rating in category; multi-platform support; reliable rule-based automation; clean UI</w:t>
      </w:r>
      <w:r>
        <w:t xml:space="preserve"> </w:t>
      </w:r>
      <w:r>
        <w:t xml:space="preserve">-</w:t>
      </w:r>
      <w:r>
        <w:t xml:space="preserve"> </w:t>
      </w:r>
      <w:r>
        <w:rPr>
          <w:bCs/>
          <w:b/>
        </w:rPr>
        <w:t xml:space="preserve">Weaknesses:</w:t>
      </w:r>
      <w:r>
        <w:t xml:space="preserve"> </w:t>
      </w:r>
      <w:r>
        <w:t xml:space="preserve">AI is purely rule-based (not agentic); no creative intelligence features; no approval workflow; automation runs without human oversight; no MCP support</w:t>
      </w:r>
      <w:r>
        <w:t xml:space="preserve"> </w:t>
      </w:r>
      <w:r>
        <w:t xml:space="preserve">-</w:t>
      </w:r>
      <w:r>
        <w:t xml:space="preserve"> </w:t>
      </w:r>
      <w:r>
        <w:rPr>
          <w:bCs/>
          <w:b/>
        </w:rPr>
        <w:t xml:space="preserve">Threat Level:</w:t>
      </w:r>
      <w:r>
        <w:t xml:space="preserve"> </w:t>
      </w:r>
      <w:r>
        <w:t xml:space="preserve">Medium-High — strong product but technologically behind on AI sophistication</w:t>
      </w:r>
    </w:p>
    <w:p>
      <w:pPr>
        <w:pStyle w:val="BodyText"/>
      </w:pPr>
      <w:r>
        <w:rPr>
          <w:bCs/>
          <w:b/>
        </w:rPr>
        <w:t xml:space="preserve">AdEspresso</w:t>
      </w:r>
      <w:r>
        <w:t xml:space="preserve"> </w:t>
      </w:r>
      <w:r>
        <w:t xml:space="preserve">($49–$259/mo, Meta-only, G2: 3.6/5)</w:t>
      </w:r>
      <w:r>
        <w:t xml:space="preserve"> </w:t>
      </w:r>
      <w:r>
        <w:t xml:space="preserve">-</w:t>
      </w:r>
      <w:r>
        <w:t xml:space="preserve"> </w:t>
      </w:r>
      <w:r>
        <w:rPr>
          <w:bCs/>
          <w:b/>
        </w:rPr>
        <w:t xml:space="preserve">Strengths:</w:t>
      </w:r>
      <w:r>
        <w:t xml:space="preserve"> </w:t>
      </w:r>
      <w:r>
        <w:t xml:space="preserve">Low price point; simple A/B testing; long market presence (acquired by Hootsuite)</w:t>
      </w:r>
      <w:r>
        <w:t xml:space="preserve"> </w:t>
      </w:r>
      <w:r>
        <w:t xml:space="preserve">-</w:t>
      </w:r>
      <w:r>
        <w:t xml:space="preserve"> </w:t>
      </w:r>
      <w:r>
        <w:rPr>
          <w:bCs/>
          <w:b/>
        </w:rPr>
        <w:t xml:space="preserve">Weaknesses:</w:t>
      </w:r>
      <w:r>
        <w:t xml:space="preserve"> </w:t>
      </w:r>
      <w:r>
        <w:t xml:space="preserve">Lowest G2 rating; no AI capabilities whatsoever; no multi-platform support; legacy product with minimal innovation</w:t>
      </w:r>
      <w:r>
        <w:t xml:space="preserve"> </w:t>
      </w:r>
      <w:r>
        <w:t xml:space="preserve">-</w:t>
      </w:r>
      <w:r>
        <w:t xml:space="preserve"> </w:t>
      </w:r>
      <w:r>
        <w:rPr>
          <w:bCs/>
          <w:b/>
        </w:rPr>
        <w:t xml:space="preserve">Threat Level:</w:t>
      </w:r>
      <w:r>
        <w:t xml:space="preserve"> </w:t>
      </w:r>
      <w:r>
        <w:t xml:space="preserve">Low — positioned as a basic tool, not a competitive threat to AdNexus AI</w:t>
      </w:r>
    </w:p>
    <w:p>
      <w:pPr>
        <w:pStyle w:val="BodyText"/>
      </w:pPr>
      <w:r>
        <w:rPr>
          <w:bCs/>
          <w:b/>
        </w:rPr>
        <w:t xml:space="preserve">Smartly.io</w:t>
      </w:r>
      <w:r>
        <w:t xml:space="preserve"> </w:t>
      </w:r>
      <w:r>
        <w:t xml:space="preserve">($2,000+/mo, Multi-platform, G2: 4.4/5)</w:t>
      </w:r>
      <w:r>
        <w:t xml:space="preserve"> </w:t>
      </w:r>
      <w:r>
        <w:t xml:space="preserve">-</w:t>
      </w:r>
      <w:r>
        <w:t xml:space="preserve"> </w:t>
      </w:r>
      <w:r>
        <w:rPr>
          <w:bCs/>
          <w:b/>
        </w:rPr>
        <w:t xml:space="preserve">Strengths:</w:t>
      </w:r>
      <w:r>
        <w:t xml:space="preserve"> </w:t>
      </w:r>
      <w:r>
        <w:t xml:space="preserve">Enterprise-grade; strong creative automation; true multi-platform management; established enterprise relationships</w:t>
      </w:r>
      <w:r>
        <w:t xml:space="preserve"> </w:t>
      </w:r>
      <w:r>
        <w:t xml:space="preserve">-</w:t>
      </w:r>
      <w:r>
        <w:t xml:space="preserve"> </w:t>
      </w:r>
      <w:r>
        <w:rPr>
          <w:bCs/>
          <w:b/>
        </w:rPr>
        <w:t xml:space="preserve">Weaknesses:</w:t>
      </w:r>
      <w:r>
        <w:t xml:space="preserve"> </w:t>
      </w:r>
      <w:r>
        <w:t xml:space="preserve">Pricing starts at $2,000+/mo (excludes mid-market); opaque pricing structure; limited creative intelligence beyond ad assembly; no MCP integration; draft approval only for creative assets, not campaigns</w:t>
      </w:r>
      <w:r>
        <w:t xml:space="preserve"> </w:t>
      </w:r>
      <w:r>
        <w:t xml:space="preserve">-</w:t>
      </w:r>
      <w:r>
        <w:t xml:space="preserve"> </w:t>
      </w:r>
      <w:r>
        <w:rPr>
          <w:bCs/>
          <w:b/>
        </w:rPr>
        <w:t xml:space="preserve">Threat Level:</w:t>
      </w:r>
      <w:r>
        <w:t xml:space="preserve"> </w:t>
      </w:r>
      <w:r>
        <w:t xml:space="preserve">Medium — strong enterprise player but pricing creates a mid-market gap that AdNexus AI will exploit</w:t>
      </w:r>
    </w:p>
    <w:p>
      <w:pPr>
        <w:pStyle w:val="BodyText"/>
      </w:pPr>
      <w:r>
        <w:rPr>
          <w:bCs/>
          <w:b/>
        </w:rPr>
        <w:t xml:space="preserve">Trapica</w:t>
      </w:r>
      <w:r>
        <w:t xml:space="preserve"> </w:t>
      </w:r>
      <w:r>
        <w:t xml:space="preserve">($99–$999/mo, Meta + Google, G2: N/A)</w:t>
      </w:r>
      <w:r>
        <w:t xml:space="preserve"> </w:t>
      </w:r>
      <w:r>
        <w:t xml:space="preserve">-</w:t>
      </w:r>
      <w:r>
        <w:t xml:space="preserve"> </w:t>
      </w:r>
      <w:r>
        <w:rPr>
          <w:bCs/>
          <w:b/>
        </w:rPr>
        <w:t xml:space="preserve">Strengths:</w:t>
      </w:r>
      <w:r>
        <w:t xml:space="preserve"> </w:t>
      </w:r>
      <w:r>
        <w:t xml:space="preserve">AI-powered targeting optimization; automated campaign adjustments</w:t>
      </w:r>
      <w:r>
        <w:t xml:space="preserve"> </w:t>
      </w:r>
      <w:r>
        <w:t xml:space="preserve">-</w:t>
      </w:r>
      <w:r>
        <w:t xml:space="preserve"> </w:t>
      </w:r>
      <w:r>
        <w:rPr>
          <w:bCs/>
          <w:b/>
        </w:rPr>
        <w:t xml:space="preserve">Weaknesses:</w:t>
      </w:r>
      <w:r>
        <w:t xml:space="preserve"> </w:t>
      </w:r>
      <w:r>
        <w:t xml:space="preserve">Limited platform coverage (only 2); operates autonomously without approval gates; no creative intelligence; no MCP; minimal market presence (no G2 reviews)</w:t>
      </w:r>
      <w:r>
        <w:t xml:space="preserve"> </w:t>
      </w:r>
      <w:r>
        <w:t xml:space="preserve">-</w:t>
      </w:r>
      <w:r>
        <w:t xml:space="preserve"> </w:t>
      </w:r>
      <w:r>
        <w:rPr>
          <w:bCs/>
          <w:b/>
        </w:rPr>
        <w:t xml:space="preserve">Threat Level:</w:t>
      </w:r>
      <w:r>
        <w:t xml:space="preserve"> </w:t>
      </w:r>
      <w:r>
        <w:t xml:space="preserve">Low — limited traction and feature set</w:t>
      </w:r>
    </w:p>
    <w:p>
      <w:pPr>
        <w:pStyle w:val="BodyText"/>
      </w:pPr>
      <w:r>
        <w:rPr>
          <w:bCs/>
          <w:b/>
        </w:rPr>
        <w:t xml:space="preserve">Albert.ai</w:t>
      </w:r>
      <w:r>
        <w:t xml:space="preserve"> </w:t>
      </w:r>
      <w:r>
        <w:t xml:space="preserve">(Custom, $10K+/mo, Multi-platform, G2: N/A)</w:t>
      </w:r>
      <w:r>
        <w:t xml:space="preserve"> </w:t>
      </w:r>
      <w:r>
        <w:t xml:space="preserve">-</w:t>
      </w:r>
      <w:r>
        <w:t xml:space="preserve"> </w:t>
      </w:r>
      <w:r>
        <w:rPr>
          <w:bCs/>
          <w:b/>
        </w:rPr>
        <w:t xml:space="preserve">Strengths:</w:t>
      </w:r>
      <w:r>
        <w:t xml:space="preserve"> </w:t>
      </w:r>
      <w:r>
        <w:t xml:space="preserve">Fully autonomous AI;</w:t>
      </w:r>
      <w:r>
        <w:t xml:space="preserve"> </w:t>
      </w:r>
      <w:r>
        <w:t xml:space="preserve">“</w:t>
      </w:r>
      <w:r>
        <w:t xml:space="preserve">set and forget</w:t>
      </w:r>
      <w:r>
        <w:t xml:space="preserve">”</w:t>
      </w:r>
      <w:r>
        <w:t xml:space="preserve"> </w:t>
      </w:r>
      <w:r>
        <w:t xml:space="preserve">capability; multi-platform support; advanced machine learning</w:t>
      </w:r>
      <w:r>
        <w:t xml:space="preserve"> </w:t>
      </w:r>
      <w:r>
        <w:t xml:space="preserve">-</w:t>
      </w:r>
      <w:r>
        <w:t xml:space="preserve"> </w:t>
      </w:r>
      <w:r>
        <w:rPr>
          <w:bCs/>
          <w:b/>
        </w:rPr>
        <w:t xml:space="preserve">Weaknesses:</w:t>
      </w:r>
      <w:r>
        <w:t xml:space="preserve"> </w:t>
      </w:r>
      <w:r>
        <w:t xml:space="preserve">Fully autonomous = no human control; extremely high price point ($10,000+/month); opaque decision-making; requires complete surrender of campaign management; no approval workflow; no creative intelligence; no MCP</w:t>
      </w:r>
      <w:r>
        <w:t xml:space="preserve"> </w:t>
      </w:r>
      <w:r>
        <w:t xml:space="preserve">-</w:t>
      </w:r>
      <w:r>
        <w:t xml:space="preserve"> </w:t>
      </w:r>
      <w:r>
        <w:rPr>
          <w:bCs/>
          <w:b/>
        </w:rPr>
        <w:t xml:space="preserve">Threat Level:</w:t>
      </w:r>
      <w:r>
        <w:t xml:space="preserve"> </w:t>
      </w:r>
      <w:r>
        <w:t xml:space="preserve">Low-Medium — addresses a different segment (enterprise fully-autonomous) that AdNexus AI deliberately avoids</w:t>
      </w:r>
    </w:p>
    <w:bookmarkEnd w:id="31"/>
    <w:bookmarkStart w:id="32" w:name="the-10-critical-feature-gaps"/>
    <w:p>
      <w:pPr>
        <w:pStyle w:val="Heading3"/>
      </w:pPr>
      <w:r>
        <w:t xml:space="preserve">3.3 The 10 Critical Feature Gaps</w:t>
      </w:r>
    </w:p>
    <w:p>
      <w:pPr>
        <w:pStyle w:val="FirstParagraph"/>
      </w:pPr>
      <w:r>
        <w:t xml:space="preserve">Analysis of the competitive landscape reveals</w:t>
      </w:r>
      <w:r>
        <w:t xml:space="preserve"> </w:t>
      </w:r>
      <w:r>
        <w:rPr>
          <w:bCs/>
          <w:b/>
        </w:rPr>
        <w:t xml:space="preserve">10 critical feature gaps</w:t>
      </w:r>
      <w:r>
        <w:t xml:space="preserve"> </w:t>
      </w:r>
      <w:r>
        <w:t xml:space="preserve">that no existing platform addresses — and which collectively form AdNexus AI’s product strategy:</w:t>
      </w:r>
    </w:p>
    <w:tbl>
      <w:tblPr>
        <w:tblStyle w:val="Table"/>
        <w:tblW w:type="pct" w:w="5000"/>
        <w:tblLook w:firstRow="1" w:lastRow="0" w:firstColumn="0" w:lastColumn="0" w:noHBand="0" w:noVBand="0" w:val="0020"/>
      </w:tblPr>
      <w:tblGrid>
        <w:gridCol w:w="330"/>
        <w:gridCol w:w="1430"/>
        <w:gridCol w:w="1430"/>
        <w:gridCol w:w="2310"/>
        <w:gridCol w:w="2420"/>
      </w:tblGrid>
      <w:tr>
        <w:trPr>
          <w:tblHeader w:val="true"/>
        </w:trPr>
        <w:tc>
          <w:tcPr/>
          <w:p>
            <w:pPr>
              <w:pStyle w:val="Compact"/>
              <w:jc w:val="left"/>
            </w:pPr>
            <w:r>
              <w:t xml:space="preserve">#</w:t>
            </w:r>
          </w:p>
        </w:tc>
        <w:tc>
          <w:tcPr/>
          <w:p>
            <w:pPr>
              <w:pStyle w:val="Compact"/>
              <w:jc w:val="left"/>
            </w:pPr>
            <w:r>
              <w:t xml:space="preserve">Feature Gap</w:t>
            </w:r>
          </w:p>
        </w:tc>
        <w:tc>
          <w:tcPr/>
          <w:p>
            <w:pPr>
              <w:pStyle w:val="Compact"/>
              <w:jc w:val="left"/>
            </w:pPr>
            <w:r>
              <w:t xml:space="preserve">Current State</w:t>
            </w:r>
          </w:p>
        </w:tc>
        <w:tc>
          <w:tcPr/>
          <w:p>
            <w:pPr>
              <w:pStyle w:val="Compact"/>
              <w:jc w:val="left"/>
            </w:pPr>
            <w:r>
              <w:t xml:space="preserve">AdNexus AI Solution</w:t>
            </w:r>
          </w:p>
        </w:tc>
        <w:tc>
          <w:tcPr/>
          <w:p>
            <w:pPr>
              <w:pStyle w:val="Compact"/>
              <w:jc w:val="left"/>
            </w:pPr>
            <w:r>
              <w:t xml:space="preserve">Competitive Advantage</w:t>
            </w:r>
          </w:p>
        </w:tc>
      </w:tr>
      <w:tr>
        <w:tc>
          <w:tcPr/>
          <w:p>
            <w:pPr>
              <w:pStyle w:val="Compact"/>
              <w:jc w:val="left"/>
            </w:pPr>
            <w:r>
              <w:rPr>
                <w:bCs/>
                <w:b/>
              </w:rPr>
              <w:t xml:space="preserve">1</w:t>
            </w:r>
          </w:p>
        </w:tc>
        <w:tc>
          <w:tcPr/>
          <w:p>
            <w:pPr>
              <w:pStyle w:val="Compact"/>
              <w:jc w:val="left"/>
            </w:pPr>
            <w:r>
              <w:rPr>
                <w:bCs/>
                <w:b/>
              </w:rPr>
              <w:t xml:space="preserve">Cross-Platform Creative Fatigue Detection</w:t>
            </w:r>
          </w:p>
        </w:tc>
        <w:tc>
          <w:tcPr/>
          <w:p>
            <w:pPr>
              <w:pStyle w:val="Compact"/>
              <w:jc w:val="left"/>
            </w:pPr>
            <w:r>
              <w:t xml:space="preserve">Every competitor analyzes creative performance within a single platform only. A winning ad on Meta could be fatigued on Google — no tool flags this.</w:t>
            </w:r>
          </w:p>
        </w:tc>
        <w:tc>
          <w:tcPr/>
          <w:p>
            <w:pPr>
              <w:pStyle w:val="Compact"/>
              <w:jc w:val="left"/>
            </w:pPr>
            <w:r>
              <w:t xml:space="preserve">Unified creative fatigue scoring across Meta, Google, TikTok, and LinkedIn with automatic cross-platform performance correlation.</w:t>
            </w:r>
          </w:p>
        </w:tc>
        <w:tc>
          <w:tcPr/>
          <w:p>
            <w:pPr>
              <w:pStyle w:val="Compact"/>
              <w:jc w:val="left"/>
            </w:pPr>
            <w:r>
              <w:rPr>
                <w:bCs/>
                <w:b/>
              </w:rPr>
              <w:t xml:space="preserve">2–3x better creative insights than any competitor</w:t>
            </w:r>
          </w:p>
        </w:tc>
      </w:tr>
      <w:tr>
        <w:tc>
          <w:tcPr/>
          <w:p>
            <w:pPr>
              <w:pStyle w:val="Compact"/>
              <w:jc w:val="left"/>
            </w:pPr>
            <w:r>
              <w:rPr>
                <w:bCs/>
                <w:b/>
              </w:rPr>
              <w:t xml:space="preserve">2</w:t>
            </w:r>
          </w:p>
        </w:tc>
        <w:tc>
          <w:tcPr/>
          <w:p>
            <w:pPr>
              <w:pStyle w:val="Compact"/>
              <w:jc w:val="left"/>
            </w:pPr>
            <w:r>
              <w:rPr>
                <w:bCs/>
                <w:b/>
              </w:rPr>
              <w:t xml:space="preserve">Draft-First Approval Workflow</w:t>
            </w:r>
          </w:p>
        </w:tc>
        <w:tc>
          <w:tcPr/>
          <w:p>
            <w:pPr>
              <w:pStyle w:val="Compact"/>
              <w:jc w:val="left"/>
            </w:pPr>
            <w:r>
              <w:t xml:space="preserve">No platform on the market offers a true draft-review-approve workflow for AI-generated campaigns. All competitors either auto-publish or require manual creation.</w:t>
            </w:r>
          </w:p>
        </w:tc>
        <w:tc>
          <w:tcPr/>
          <w:p>
            <w:pPr>
              <w:pStyle w:val="Compact"/>
              <w:jc w:val="left"/>
            </w:pPr>
            <w:r>
              <w:t xml:space="preserve">Core product architecture: AI drafts every action → human reviews → approves or edits → only then goes live.</w:t>
            </w:r>
          </w:p>
        </w:tc>
        <w:tc>
          <w:tcPr/>
          <w:p>
            <w:pPr>
              <w:pStyle w:val="Compact"/>
              <w:jc w:val="left"/>
            </w:pPr>
            <w:r>
              <w:rPr>
                <w:bCs/>
                <w:b/>
              </w:rPr>
              <w:t xml:space="preserve">Category-defining feature; trust moat</w:t>
            </w:r>
          </w:p>
        </w:tc>
      </w:tr>
      <w:tr>
        <w:tc>
          <w:tcPr/>
          <w:p>
            <w:pPr>
              <w:pStyle w:val="Compact"/>
              <w:jc w:val="left"/>
            </w:pPr>
            <w:r>
              <w:rPr>
                <w:bCs/>
                <w:b/>
              </w:rPr>
              <w:t xml:space="preserve">3</w:t>
            </w:r>
          </w:p>
        </w:tc>
        <w:tc>
          <w:tcPr/>
          <w:p>
            <w:pPr>
              <w:pStyle w:val="Compact"/>
              <w:jc w:val="left"/>
            </w:pPr>
            <w:r>
              <w:rPr>
                <w:bCs/>
                <w:b/>
              </w:rPr>
              <w:t xml:space="preserve">MCP-Native Architecture</w:t>
            </w:r>
          </w:p>
        </w:tc>
        <w:tc>
          <w:tcPr/>
          <w:p>
            <w:pPr>
              <w:pStyle w:val="Compact"/>
              <w:jc w:val="left"/>
            </w:pPr>
            <w:r>
              <w:t xml:space="preserve">Zero competitors use the Model Context Protocol. All are built on proprietary, closed architectures that limit extensibility.</w:t>
            </w:r>
          </w:p>
        </w:tc>
        <w:tc>
          <w:tcPr/>
          <w:p>
            <w:pPr>
              <w:pStyle w:val="Compact"/>
              <w:jc w:val="left"/>
            </w:pPr>
            <w:r>
              <w:t xml:space="preserve">Built on MCP from the ground up: every AI agent communicates via standardized protocol; any MCP-compatible tool can be integrated.</w:t>
            </w:r>
          </w:p>
        </w:tc>
        <w:tc>
          <w:tcPr/>
          <w:p>
            <w:pPr>
              <w:pStyle w:val="Compact"/>
              <w:jc w:val="left"/>
            </w:pPr>
            <w:r>
              <w:rPr>
                <w:bCs/>
                <w:b/>
              </w:rPr>
              <w:t xml:space="preserve">18–24 month architectural moat</w:t>
            </w:r>
          </w:p>
        </w:tc>
      </w:tr>
      <w:tr>
        <w:tc>
          <w:tcPr/>
          <w:p>
            <w:pPr>
              <w:pStyle w:val="Compact"/>
              <w:jc w:val="left"/>
            </w:pPr>
            <w:r>
              <w:rPr>
                <w:bCs/>
                <w:b/>
              </w:rPr>
              <w:t xml:space="preserve">4</w:t>
            </w:r>
          </w:p>
        </w:tc>
        <w:tc>
          <w:tcPr/>
          <w:p>
            <w:pPr>
              <w:pStyle w:val="Compact"/>
              <w:jc w:val="left"/>
            </w:pPr>
            <w:r>
              <w:rPr>
                <w:bCs/>
                <w:b/>
              </w:rPr>
              <w:t xml:space="preserve">Transparent / Explainable AI</w:t>
            </w:r>
          </w:p>
        </w:tc>
        <w:tc>
          <w:tcPr/>
          <w:p>
            <w:pPr>
              <w:pStyle w:val="Compact"/>
              <w:jc w:val="left"/>
            </w:pPr>
            <w:r>
              <w:t xml:space="preserve">Every AI competitor operates as a black box. Users cannot understand</w:t>
            </w:r>
            <w:r>
              <w:t xml:space="preserve"> </w:t>
            </w:r>
            <w:r>
              <w:rPr>
                <w:iCs/>
                <w:i/>
              </w:rPr>
              <w:t xml:space="preserve">why</w:t>
            </w:r>
            <w:r>
              <w:t xml:space="preserve"> </w:t>
            </w:r>
            <w:r>
              <w:t xml:space="preserve">the AI made a decision.</w:t>
            </w:r>
          </w:p>
        </w:tc>
        <w:tc>
          <w:tcPr/>
          <w:p>
            <w:pPr>
              <w:pStyle w:val="Compact"/>
              <w:jc w:val="left"/>
            </w:pPr>
            <w:r>
              <w:t xml:space="preserve">Every AI recommendation includes a</w:t>
            </w:r>
            <w:r>
              <w:t xml:space="preserve"> </w:t>
            </w:r>
            <w:r>
              <w:t xml:space="preserve">“</w:t>
            </w:r>
            <w:r>
              <w:t xml:space="preserve">Why</w:t>
            </w:r>
            <w:r>
              <w:t xml:space="preserve">”</w:t>
            </w:r>
            <w:r>
              <w:t xml:space="preserve"> </w:t>
            </w:r>
            <w:r>
              <w:t xml:space="preserve">explanation: reasoning chain, data sources, confidence score, risk assessment.</w:t>
            </w:r>
          </w:p>
        </w:tc>
        <w:tc>
          <w:tcPr/>
          <w:p>
            <w:pPr>
              <w:pStyle w:val="Compact"/>
              <w:jc w:val="left"/>
            </w:pPr>
            <w:r>
              <w:rPr>
                <w:bCs/>
                <w:b/>
              </w:rPr>
              <w:t xml:space="preserve">Compliance-ready; trust advantage</w:t>
            </w:r>
          </w:p>
        </w:tc>
      </w:tr>
      <w:tr>
        <w:tc>
          <w:tcPr/>
          <w:p>
            <w:pPr>
              <w:pStyle w:val="Compact"/>
              <w:jc w:val="left"/>
            </w:pPr>
            <w:r>
              <w:rPr>
                <w:bCs/>
                <w:b/>
              </w:rPr>
              <w:t xml:space="preserve">5</w:t>
            </w:r>
          </w:p>
        </w:tc>
        <w:tc>
          <w:tcPr/>
          <w:p>
            <w:pPr>
              <w:pStyle w:val="Compact"/>
              <w:jc w:val="left"/>
            </w:pPr>
            <w:r>
              <w:rPr>
                <w:bCs/>
                <w:b/>
              </w:rPr>
              <w:t xml:space="preserve">Morning Brief / Executive Summary</w:t>
            </w:r>
          </w:p>
        </w:tc>
        <w:tc>
          <w:tcPr/>
          <w:p>
            <w:pPr>
              <w:pStyle w:val="Compact"/>
              <w:jc w:val="left"/>
            </w:pPr>
            <w:r>
              <w:t xml:space="preserve">No competitor provides a daily, digestible executive summary of campaign performance and AI recommendations.</w:t>
            </w:r>
          </w:p>
        </w:tc>
        <w:tc>
          <w:tcPr/>
          <w:p>
            <w:pPr>
              <w:pStyle w:val="Compact"/>
              <w:jc w:val="left"/>
            </w:pPr>
            <w:r>
              <w:t xml:space="preserve">Automated</w:t>
            </w:r>
            <w:r>
              <w:t xml:space="preserve"> </w:t>
            </w:r>
            <w:r>
              <w:t xml:space="preserve">“</w:t>
            </w:r>
            <w:r>
              <w:t xml:space="preserve">Morning Brief</w:t>
            </w:r>
            <w:r>
              <w:t xml:space="preserve">”</w:t>
            </w:r>
            <w:r>
              <w:t xml:space="preserve"> </w:t>
            </w:r>
            <w:r>
              <w:t xml:space="preserve">delivered each day: KPI changes, AI recommendations requiring approval, budget alerts, competitive intelligence.</w:t>
            </w:r>
          </w:p>
        </w:tc>
        <w:tc>
          <w:tcPr/>
          <w:p>
            <w:pPr>
              <w:pStyle w:val="Compact"/>
              <w:jc w:val="left"/>
            </w:pPr>
            <w:r>
              <w:rPr>
                <w:bCs/>
                <w:b/>
              </w:rPr>
              <w:t xml:space="preserve">Productivity multiplier for leadership</w:t>
            </w:r>
          </w:p>
        </w:tc>
      </w:tr>
      <w:tr>
        <w:tc>
          <w:tcPr/>
          <w:p>
            <w:pPr>
              <w:pStyle w:val="Compact"/>
              <w:jc w:val="left"/>
            </w:pPr>
            <w:r>
              <w:rPr>
                <w:bCs/>
                <w:b/>
              </w:rPr>
              <w:t xml:space="preserve">6</w:t>
            </w:r>
          </w:p>
        </w:tc>
        <w:tc>
          <w:tcPr/>
          <w:p>
            <w:pPr>
              <w:pStyle w:val="Compact"/>
              <w:jc w:val="left"/>
            </w:pPr>
            <w:r>
              <w:rPr>
                <w:bCs/>
                <w:b/>
              </w:rPr>
              <w:t xml:space="preserve">Competitive Intelligence Integration</w:t>
            </w:r>
          </w:p>
        </w:tc>
        <w:tc>
          <w:tcPr/>
          <w:p>
            <w:pPr>
              <w:pStyle w:val="Compact"/>
              <w:jc w:val="left"/>
            </w:pPr>
            <w:r>
              <w:t xml:space="preserve">No ad management platform integrates competitive landscape data into campaign recommendations.</w:t>
            </w:r>
          </w:p>
        </w:tc>
        <w:tc>
          <w:tcPr/>
          <w:p>
            <w:pPr>
              <w:pStyle w:val="Compact"/>
              <w:jc w:val="left"/>
            </w:pPr>
            <w:r>
              <w:t xml:space="preserve">Built-in competitive intelligence: competitor ad creative monitoring, spend estimation, positioning analysis, opportunity identification.</w:t>
            </w:r>
          </w:p>
        </w:tc>
        <w:tc>
          <w:tcPr/>
          <w:p>
            <w:pPr>
              <w:pStyle w:val="Compact"/>
              <w:jc w:val="left"/>
            </w:pPr>
            <w:r>
              <w:rPr>
                <w:bCs/>
                <w:b/>
              </w:rPr>
              <w:t xml:space="preserve">Unique feature; no direct competitor</w:t>
            </w:r>
          </w:p>
        </w:tc>
      </w:tr>
      <w:tr>
        <w:tc>
          <w:tcPr/>
          <w:p>
            <w:pPr>
              <w:pStyle w:val="Compact"/>
              <w:jc w:val="left"/>
            </w:pPr>
            <w:r>
              <w:rPr>
                <w:bCs/>
                <w:b/>
              </w:rPr>
              <w:t xml:space="preserve">7</w:t>
            </w:r>
          </w:p>
        </w:tc>
        <w:tc>
          <w:tcPr/>
          <w:p>
            <w:pPr>
              <w:pStyle w:val="Compact"/>
              <w:jc w:val="left"/>
            </w:pPr>
            <w:r>
              <w:rPr>
                <w:bCs/>
                <w:b/>
              </w:rPr>
              <w:t xml:space="preserve">Cross-Platform Attribution</w:t>
            </w:r>
          </w:p>
        </w:tc>
        <w:tc>
          <w:tcPr/>
          <w:p>
            <w:pPr>
              <w:pStyle w:val="Compact"/>
              <w:jc w:val="left"/>
            </w:pPr>
            <w:r>
              <w:t xml:space="preserve">Attribution exists in separate analytics tools (e.g., Triple Whale, Northbeam), not in campaign management platforms.</w:t>
            </w:r>
          </w:p>
        </w:tc>
        <w:tc>
          <w:tcPr/>
          <w:p>
            <w:pPr>
              <w:pStyle w:val="Compact"/>
              <w:jc w:val="left"/>
            </w:pPr>
            <w:r>
              <w:t xml:space="preserve">Native cross-platform attribution: understand true customer journey across Meta, Google, TikTok, LinkedIn without separate tool.</w:t>
            </w:r>
          </w:p>
        </w:tc>
        <w:tc>
          <w:tcPr/>
          <w:p>
            <w:pPr>
              <w:pStyle w:val="Compact"/>
              <w:jc w:val="left"/>
            </w:pPr>
            <w:r>
              <w:rPr>
                <w:bCs/>
                <w:b/>
              </w:rPr>
              <w:t xml:space="preserve">Eliminates need for separate attribution tool</w:t>
            </w:r>
          </w:p>
        </w:tc>
      </w:tr>
      <w:tr>
        <w:tc>
          <w:tcPr/>
          <w:p>
            <w:pPr>
              <w:pStyle w:val="Compact"/>
              <w:jc w:val="left"/>
            </w:pPr>
            <w:r>
              <w:rPr>
                <w:bCs/>
                <w:b/>
              </w:rPr>
              <w:t xml:space="preserve">8</w:t>
            </w:r>
          </w:p>
        </w:tc>
        <w:tc>
          <w:tcPr/>
          <w:p>
            <w:pPr>
              <w:pStyle w:val="Compact"/>
              <w:jc w:val="left"/>
            </w:pPr>
            <w:r>
              <w:rPr>
                <w:bCs/>
                <w:b/>
              </w:rPr>
              <w:t xml:space="preserve">Predictable Flat-Fee Pricing</w:t>
            </w:r>
          </w:p>
        </w:tc>
        <w:tc>
          <w:tcPr/>
          <w:p>
            <w:pPr>
              <w:pStyle w:val="Compact"/>
              <w:jc w:val="left"/>
            </w:pPr>
            <w:r>
              <w:t xml:space="preserve">Enterprise competitors (Smartly.io, Albert.ai) use opaque pricing requiring sales calls. Mid-market tools have confusing tier structures.</w:t>
            </w:r>
          </w:p>
        </w:tc>
        <w:tc>
          <w:tcPr/>
          <w:p>
            <w:pPr>
              <w:pStyle w:val="Compact"/>
              <w:jc w:val="left"/>
            </w:pPr>
            <w:r>
              <w:t xml:space="preserve">Transparent, flat-fee pricing published on website: $79–$499/mo, no hidden fees, no usage-based surprises.</w:t>
            </w:r>
          </w:p>
        </w:tc>
        <w:tc>
          <w:tcPr/>
          <w:p>
            <w:pPr>
              <w:pStyle w:val="Compact"/>
              <w:jc w:val="left"/>
            </w:pPr>
            <w:r>
              <w:rPr>
                <w:bCs/>
                <w:b/>
              </w:rPr>
              <w:t xml:space="preserve">Trust builder; faster sales cycle</w:t>
            </w:r>
          </w:p>
        </w:tc>
      </w:tr>
      <w:tr>
        <w:tc>
          <w:tcPr/>
          <w:p>
            <w:pPr>
              <w:pStyle w:val="Compact"/>
              <w:jc w:val="left"/>
            </w:pPr>
            <w:r>
              <w:rPr>
                <w:bCs/>
                <w:b/>
              </w:rPr>
              <w:t xml:space="preserve">9</w:t>
            </w:r>
          </w:p>
        </w:tc>
        <w:tc>
          <w:tcPr/>
          <w:p>
            <w:pPr>
              <w:pStyle w:val="Compact"/>
              <w:jc w:val="left"/>
            </w:pPr>
            <w:r>
              <w:rPr>
                <w:bCs/>
                <w:b/>
              </w:rPr>
              <w:t xml:space="preserve">White-Label Client Workspace</w:t>
            </w:r>
          </w:p>
        </w:tc>
        <w:tc>
          <w:tcPr/>
          <w:p>
            <w:pPr>
              <w:pStyle w:val="Compact"/>
              <w:jc w:val="left"/>
            </w:pPr>
            <w:r>
              <w:t xml:space="preserve">Agency competitors lack a true white-labeled environment for client collaboration and approval.</w:t>
            </w:r>
          </w:p>
        </w:tc>
        <w:tc>
          <w:tcPr/>
          <w:p>
            <w:pPr>
              <w:pStyle w:val="Compact"/>
              <w:jc w:val="left"/>
            </w:pPr>
            <w:r>
              <w:t xml:space="preserve">Fully white-labeled client portal: clients see only their data, agency branding, approval workflows with client sign-off.</w:t>
            </w:r>
          </w:p>
        </w:tc>
        <w:tc>
          <w:tcPr/>
          <w:p>
            <w:pPr>
              <w:pStyle w:val="Compact"/>
              <w:jc w:val="left"/>
            </w:pPr>
            <w:r>
              <w:rPr>
                <w:bCs/>
                <w:b/>
              </w:rPr>
              <w:t xml:space="preserve">Agency acquisition accelerator</w:t>
            </w:r>
          </w:p>
        </w:tc>
      </w:tr>
      <w:tr>
        <w:tc>
          <w:tcPr/>
          <w:p>
            <w:pPr>
              <w:pStyle w:val="Compact"/>
              <w:jc w:val="left"/>
            </w:pPr>
            <w:r>
              <w:rPr>
                <w:bCs/>
                <w:b/>
              </w:rPr>
              <w:t xml:space="preserve">10</w:t>
            </w:r>
          </w:p>
        </w:tc>
        <w:tc>
          <w:tcPr/>
          <w:p>
            <w:pPr>
              <w:pStyle w:val="Compact"/>
              <w:jc w:val="left"/>
            </w:pPr>
            <w:r>
              <w:rPr>
                <w:bCs/>
                <w:b/>
              </w:rPr>
              <w:t xml:space="preserve">Budget Pacing + Forecasting</w:t>
            </w:r>
          </w:p>
        </w:tc>
        <w:tc>
          <w:tcPr/>
          <w:p>
            <w:pPr>
              <w:pStyle w:val="Compact"/>
              <w:jc w:val="left"/>
            </w:pPr>
            <w:r>
              <w:t xml:space="preserve">Basic budget alerts exist everywhere, but intelligent pacing that predicts end-of-month spend based on AI modeling exists nowhere.</w:t>
            </w:r>
          </w:p>
        </w:tc>
        <w:tc>
          <w:tcPr/>
          <w:p>
            <w:pPr>
              <w:pStyle w:val="Compact"/>
              <w:jc w:val="left"/>
            </w:pPr>
            <w:r>
              <w:t xml:space="preserve">AI-powered budget pacing with predictive forecasting:</w:t>
            </w:r>
            <w:r>
              <w:t xml:space="preserve"> </w:t>
            </w:r>
            <w:r>
              <w:t xml:space="preserve">“</w:t>
            </w:r>
            <w:r>
              <w:t xml:space="preserve">At current trajectory, you’ll underspend by 23% — approve this reallocation?</w:t>
            </w:r>
            <w:r>
              <w:t xml:space="preserve">”</w:t>
            </w:r>
          </w:p>
        </w:tc>
        <w:tc>
          <w:tcPr/>
          <w:p>
            <w:pPr>
              <w:pStyle w:val="Compact"/>
              <w:jc w:val="left"/>
            </w:pPr>
            <w:r>
              <w:rPr>
                <w:bCs/>
                <w:b/>
              </w:rPr>
              <w:t xml:space="preserve">Prevents budget waste/miss</w:t>
            </w:r>
          </w:p>
        </w:tc>
      </w:tr>
    </w:tbl>
    <w:bookmarkEnd w:id="32"/>
    <w:bookmarkStart w:id="33" w:name="competitive-positioning-map"/>
    <w:p>
      <w:pPr>
        <w:pStyle w:val="Heading3"/>
      </w:pPr>
      <w:r>
        <w:t xml:space="preserve">3.4 Competitive Positioning Map</w:t>
      </w:r>
    </w:p>
    <w:p>
      <w:pPr>
        <w:pStyle w:val="SourceCode"/>
      </w:pPr>
      <w:r>
        <w:rPr>
          <w:rStyle w:val="VerbatimChar"/>
        </w:rPr>
        <w:t xml:space="preserve">                    HIGH PRICE</w:t>
      </w:r>
      <w:r>
        <w:br/>
      </w:r>
      <w:r>
        <w:rPr>
          <w:rStyle w:val="VerbatimChar"/>
        </w:rPr>
        <w:t xml:space="preserve">                       |</w:t>
      </w:r>
      <w:r>
        <w:br/>
      </w:r>
      <w:r>
        <w:rPr>
          <w:rStyle w:val="VerbatimChar"/>
        </w:rPr>
        <w:t xml:space="preserve">    Albert.ai          |          Smartly.io</w:t>
      </w:r>
      <w:r>
        <w:br/>
      </w:r>
      <w:r>
        <w:rPr>
          <w:rStyle w:val="VerbatimChar"/>
        </w:rPr>
        <w:t xml:space="preserve">    (Fully Auto)       |          (Enterprise)</w:t>
      </w:r>
      <w:r>
        <w:br/>
      </w:r>
      <w:r>
        <w:rPr>
          <w:rStyle w:val="VerbatimChar"/>
        </w:rPr>
        <w:t xml:space="preserve">                       |</w:t>
      </w:r>
      <w:r>
        <w:br/>
      </w:r>
      <w:r>
        <w:rPr>
          <w:rStyle w:val="VerbatimChar"/>
        </w:rPr>
        <w:t xml:space="preserve">LOW AI TRANSPARENCY ———+——— HIGH AI TRANSPARENCY</w:t>
      </w:r>
      <w:r>
        <w:br/>
      </w:r>
      <w:r>
        <w:rPr>
          <w:rStyle w:val="VerbatimChar"/>
        </w:rPr>
        <w:t xml:space="preserve">                       |</w:t>
      </w:r>
      <w:r>
        <w:br/>
      </w:r>
      <w:r>
        <w:rPr>
          <w:rStyle w:val="VerbatimChar"/>
        </w:rPr>
        <w:t xml:space="preserve">    Trapica            |          ADNEXUS AI</w:t>
      </w:r>
      <w:r>
        <w:br/>
      </w:r>
      <w:r>
        <w:rPr>
          <w:rStyle w:val="VerbatimChar"/>
        </w:rPr>
        <w:t xml:space="preserve">    Revealbot          |          (Draft-First Approval)</w:t>
      </w:r>
      <w:r>
        <w:br/>
      </w:r>
      <w:r>
        <w:rPr>
          <w:rStyle w:val="VerbatimChar"/>
        </w:rPr>
        <w:t xml:space="preserve">    Madgicx            |          (MCP-Native)</w:t>
      </w:r>
      <w:r>
        <w:br/>
      </w:r>
      <w:r>
        <w:rPr>
          <w:rStyle w:val="VerbatimChar"/>
        </w:rPr>
        <w:t xml:space="preserve">    AdEspresso         |          (Cross-Platform Creative)</w:t>
      </w:r>
      <w:r>
        <w:br/>
      </w:r>
      <w:r>
        <w:rPr>
          <w:rStyle w:val="VerbatimChar"/>
        </w:rPr>
        <w:t xml:space="preserve">                       |</w:t>
      </w:r>
      <w:r>
        <w:br/>
      </w:r>
      <w:r>
        <w:rPr>
          <w:rStyle w:val="VerbatimChar"/>
        </w:rPr>
        <w:t xml:space="preserve">                    LOW PRICE</w:t>
      </w:r>
    </w:p>
    <w:p>
      <w:pPr>
        <w:pStyle w:val="FirstParagraph"/>
      </w:pPr>
      <w:r>
        <w:t xml:space="preserve">AdNexus AI occupies a unique position:</w:t>
      </w:r>
      <w:r>
        <w:t xml:space="preserve"> </w:t>
      </w:r>
      <w:r>
        <w:rPr>
          <w:bCs/>
          <w:b/>
        </w:rPr>
        <w:t xml:space="preserve">high transparency at mid-market pricing</w:t>
      </w:r>
      <w:r>
        <w:t xml:space="preserve">, a quadrant that is currently empty in the competitive landscape.</w:t>
      </w:r>
    </w:p>
    <w:p>
      <w:r>
        <w:pict>
          <v:rect style="width:0;height:1.5pt" o:hralign="center" o:hrstd="t" o:hr="t"/>
        </w:pict>
      </w:r>
    </w:p>
    <w:bookmarkEnd w:id="33"/>
    <w:bookmarkEnd w:id="34"/>
    <w:bookmarkStart w:id="41" w:name="why-now-market-timing-analysis"/>
    <w:p>
      <w:pPr>
        <w:pStyle w:val="Heading2"/>
      </w:pPr>
      <w:r>
        <w:t xml:space="preserve">4. Why Now? Market Timing Analysis</w:t>
      </w:r>
    </w:p>
    <w:p>
      <w:pPr>
        <w:pStyle w:val="FirstParagraph"/>
      </w:pPr>
      <w:r>
        <w:t xml:space="preserve">The confluence of five major market forces creates a</w:t>
      </w:r>
      <w:r>
        <w:t xml:space="preserve"> </w:t>
      </w:r>
      <w:r>
        <w:rPr>
          <w:bCs/>
          <w:b/>
        </w:rPr>
        <w:t xml:space="preserve">12–18 month first-mover window</w:t>
      </w:r>
      <w:r>
        <w:t xml:space="preserve"> </w:t>
      </w:r>
      <w:r>
        <w:t xml:space="preserve">for AdNexus AI. Never before have the technological, regulatory, and behavioral conditions aligned so favorably for an agentic, approval-first AI advertising platform.</w:t>
      </w:r>
    </w:p>
    <w:bookmarkStart w:id="35" w:name="Xa53ea2099dd6b30b5966a6aa33bf81ef10af914"/>
    <w:p>
      <w:pPr>
        <w:pStyle w:val="Heading3"/>
      </w:pPr>
      <w:r>
        <w:t xml:space="preserve">4.1 MCP Protocol Adoption — The Infrastructure Is Ready</w:t>
      </w:r>
    </w:p>
    <w:p>
      <w:pPr>
        <w:pStyle w:val="FirstParagraph"/>
      </w:pPr>
      <w:r>
        <w:t xml:space="preserve">The</w:t>
      </w:r>
      <w:r>
        <w:t xml:space="preserve"> </w:t>
      </w:r>
      <w:r>
        <w:rPr>
          <w:bCs/>
          <w:b/>
        </w:rPr>
        <w:t xml:space="preserve">Model Context Protocol (MCP)</w:t>
      </w:r>
      <w:r>
        <w:t xml:space="preserve">, developed by Anthropic and now adopted across the AI industry, has reached critical mass:</w:t>
      </w:r>
    </w:p>
    <w:p>
      <w:pPr>
        <w:numPr>
          <w:ilvl w:val="0"/>
          <w:numId w:val="1003"/>
        </w:numPr>
        <w:pStyle w:val="Compact"/>
      </w:pPr>
      <w:r>
        <w:rPr>
          <w:bCs/>
          <w:b/>
        </w:rPr>
        <w:t xml:space="preserve">78% enterprise penetration</w:t>
      </w:r>
      <w:r>
        <w:t xml:space="preserve"> </w:t>
      </w:r>
      <w:r>
        <w:t xml:space="preserve">among organizations running AI systems</w:t>
      </w:r>
    </w:p>
    <w:p>
      <w:pPr>
        <w:numPr>
          <w:ilvl w:val="0"/>
          <w:numId w:val="1003"/>
        </w:numPr>
        <w:pStyle w:val="Compact"/>
      </w:pPr>
      <w:r>
        <w:rPr>
          <w:bCs/>
          <w:b/>
        </w:rPr>
        <w:t xml:space="preserve">9,400+ MCP servers</w:t>
      </w:r>
      <w:r>
        <w:t xml:space="preserve"> </w:t>
      </w:r>
      <w:r>
        <w:t xml:space="preserve">deployed in production environments</w:t>
      </w:r>
    </w:p>
    <w:p>
      <w:pPr>
        <w:numPr>
          <w:ilvl w:val="0"/>
          <w:numId w:val="1003"/>
        </w:numPr>
        <w:pStyle w:val="Compact"/>
      </w:pPr>
      <w:r>
        <w:t xml:space="preserve">Standardized AI-to-tool communication eliminates the need for bespoke integrations</w:t>
      </w:r>
    </w:p>
    <w:p>
      <w:pPr>
        <w:numPr>
          <w:ilvl w:val="0"/>
          <w:numId w:val="1003"/>
        </w:numPr>
        <w:pStyle w:val="Compact"/>
      </w:pPr>
      <w:r>
        <w:t xml:space="preserve">Open protocol means no vendor lock-in — a major concern for enterprise buyers</w:t>
      </w:r>
    </w:p>
    <w:p>
      <w:pPr>
        <w:pStyle w:val="FirstParagraph"/>
      </w:pPr>
      <w:r>
        <w:rPr>
          <w:bCs/>
          <w:b/>
        </w:rPr>
        <w:t xml:space="preserve">Strategic Implication:</w:t>
      </w:r>
      <w:r>
        <w:t xml:space="preserve"> </w:t>
      </w:r>
      <w:r>
        <w:t xml:space="preserve">Building MCP-native from day one means AdNexus AI can integrate with any AI agent, any analytics tool, any data warehouse, and any emerging AI capability without rebuilding its architecture. Competitors built on proprietary architectures will need 18–36 months to retrofit MCP support — if they choose to do so at all. This creates an</w:t>
      </w:r>
      <w:r>
        <w:t xml:space="preserve"> </w:t>
      </w:r>
      <w:r>
        <w:rPr>
          <w:bCs/>
          <w:b/>
        </w:rPr>
        <w:t xml:space="preserve">18–24 month architectural moat</w:t>
      </w:r>
      <w:r>
        <w:t xml:space="preserve">.</w:t>
      </w:r>
    </w:p>
    <w:bookmarkEnd w:id="35"/>
    <w:bookmarkStart w:id="36" w:name="X06fff36561832f5e8f49da6d807d1acce864062"/>
    <w:p>
      <w:pPr>
        <w:pStyle w:val="Heading3"/>
      </w:pPr>
      <w:r>
        <w:t xml:space="preserve">4.2 iOS ATT Aftermath — First-Party AI Is Essential</w:t>
      </w:r>
    </w:p>
    <w:p>
      <w:pPr>
        <w:pStyle w:val="FirstParagraph"/>
      </w:pPr>
      <w:r>
        <w:t xml:space="preserve">Apple’s App Tracking Transparency (ATT) framework, launched in iOS 14.5, fundamentally disrupted the digital advertising ecosystem. Three years later, its impact continues to accelerate:</w:t>
      </w:r>
    </w:p>
    <w:p>
      <w:pPr>
        <w:numPr>
          <w:ilvl w:val="0"/>
          <w:numId w:val="1004"/>
        </w:numPr>
        <w:pStyle w:val="Compact"/>
      </w:pPr>
      <w:r>
        <w:rPr>
          <w:bCs/>
          <w:b/>
        </w:rPr>
        <w:t xml:space="preserve">Meta lost $10B+ in ad revenue</w:t>
      </w:r>
      <w:r>
        <w:t xml:space="preserve"> </w:t>
      </w:r>
      <w:r>
        <w:t xml:space="preserve">directly attributable to ATT in its first year alone</w:t>
      </w:r>
    </w:p>
    <w:p>
      <w:pPr>
        <w:numPr>
          <w:ilvl w:val="0"/>
          <w:numId w:val="1004"/>
        </w:numPr>
        <w:pStyle w:val="Compact"/>
      </w:pPr>
      <w:r>
        <w:rPr>
          <w:bCs/>
          <w:b/>
        </w:rPr>
        <w:t xml:space="preserve">Cross-platform attribution collapsed</w:t>
      </w:r>
      <w:r>
        <w:t xml:space="preserve">, forcing advertisers to build first-party data strategies</w:t>
      </w:r>
    </w:p>
    <w:p>
      <w:pPr>
        <w:numPr>
          <w:ilvl w:val="0"/>
          <w:numId w:val="1004"/>
        </w:numPr>
        <w:pStyle w:val="Compact"/>
      </w:pPr>
      <w:r>
        <w:rPr>
          <w:bCs/>
          <w:b/>
        </w:rPr>
        <w:t xml:space="preserve">AI-driven optimization</w:t>
      </w:r>
      <w:r>
        <w:t xml:space="preserve"> </w:t>
      </w:r>
      <w:r>
        <w:t xml:space="preserve">became the only viable alternative to third-party tracking</w:t>
      </w:r>
    </w:p>
    <w:p>
      <w:pPr>
        <w:numPr>
          <w:ilvl w:val="0"/>
          <w:numId w:val="1004"/>
        </w:numPr>
        <w:pStyle w:val="Compact"/>
      </w:pPr>
      <w:r>
        <w:t xml:space="preserve">Advertisers who previously relied on platform-native optimization now need</w:t>
      </w:r>
      <w:r>
        <w:t xml:space="preserve"> </w:t>
      </w:r>
      <w:r>
        <w:rPr>
          <w:bCs/>
          <w:b/>
        </w:rPr>
        <w:t xml:space="preserve">independent AI tools</w:t>
      </w:r>
      <w:r>
        <w:t xml:space="preserve"> </w:t>
      </w:r>
      <w:r>
        <w:t xml:space="preserve">that can operate across siloed data environments</w:t>
      </w:r>
    </w:p>
    <w:p>
      <w:pPr>
        <w:pStyle w:val="FirstParagraph"/>
      </w:pPr>
      <w:r>
        <w:rPr>
          <w:bCs/>
          <w:b/>
        </w:rPr>
        <w:t xml:space="preserve">Strategic Implication:</w:t>
      </w:r>
      <w:r>
        <w:t xml:space="preserve"> </w:t>
      </w:r>
      <w:r>
        <w:t xml:space="preserve">The post-ATT world demands AI solutions that work</w:t>
      </w:r>
      <w:r>
        <w:t xml:space="preserve"> </w:t>
      </w:r>
      <w:r>
        <w:rPr>
          <w:iCs/>
          <w:i/>
        </w:rPr>
        <w:t xml:space="preserve">across</w:t>
      </w:r>
      <w:r>
        <w:t xml:space="preserve"> </w:t>
      </w:r>
      <w:r>
        <w:t xml:space="preserve">platforms using first-party data — exactly AdNexus AI’s architecture. Every day that passes, more advertisers realize they need cross-platform intelligence, increasing the addressable market.</w:t>
      </w:r>
    </w:p>
    <w:bookmarkEnd w:id="36"/>
    <w:bookmarkStart w:id="37" w:name="eu-ai-act-regulatory-tailwind"/>
    <w:p>
      <w:pPr>
        <w:pStyle w:val="Heading3"/>
      </w:pPr>
      <w:r>
        <w:t xml:space="preserve">4.3 EU AI Act — Regulatory Tailwind</w:t>
      </w:r>
    </w:p>
    <w:p>
      <w:pPr>
        <w:pStyle w:val="FirstParagraph"/>
      </w:pPr>
      <w:r>
        <w:t xml:space="preserve">The</w:t>
      </w:r>
      <w:r>
        <w:t xml:space="preserve"> </w:t>
      </w:r>
      <w:r>
        <w:rPr>
          <w:bCs/>
          <w:b/>
        </w:rPr>
        <w:t xml:space="preserve">European Union AI Act</w:t>
      </w:r>
      <w:r>
        <w:t xml:space="preserve">, voted into law in March 2024, creates the world’s first comprehensive AI regulation framework:</w:t>
      </w:r>
    </w:p>
    <w:p>
      <w:pPr>
        <w:numPr>
          <w:ilvl w:val="0"/>
          <w:numId w:val="1005"/>
        </w:numPr>
        <w:pStyle w:val="Compact"/>
      </w:pPr>
      <w:r>
        <w:rPr>
          <w:bCs/>
          <w:b/>
        </w:rPr>
        <w:t xml:space="preserve">Enforcement begins August 2026</w:t>
      </w:r>
      <w:r>
        <w:t xml:space="preserve"> </w:t>
      </w:r>
      <w:r>
        <w:t xml:space="preserve">— just 12–14 months from now</w:t>
      </w:r>
    </w:p>
    <w:p>
      <w:pPr>
        <w:numPr>
          <w:ilvl w:val="0"/>
          <w:numId w:val="1005"/>
        </w:numPr>
        <w:pStyle w:val="Compact"/>
      </w:pPr>
      <w:r>
        <w:rPr>
          <w:bCs/>
          <w:b/>
        </w:rPr>
        <w:t xml:space="preserve">Article 50</w:t>
      </w:r>
      <w:r>
        <w:t xml:space="preserve"> </w:t>
      </w:r>
      <w:r>
        <w:t xml:space="preserve">mandates transparency requirements for AI systems making automated decisions</w:t>
      </w:r>
    </w:p>
    <w:p>
      <w:pPr>
        <w:numPr>
          <w:ilvl w:val="0"/>
          <w:numId w:val="1005"/>
        </w:numPr>
        <w:pStyle w:val="Compact"/>
      </w:pPr>
      <w:r>
        <w:rPr>
          <w:bCs/>
          <w:b/>
        </w:rPr>
        <w:t xml:space="preserve">High-risk AI systems</w:t>
      </w:r>
      <w:r>
        <w:t xml:space="preserve"> </w:t>
      </w:r>
      <w:r>
        <w:t xml:space="preserve">(including advertising algorithms that impact consumer behavior) require:</w:t>
      </w:r>
    </w:p>
    <w:p>
      <w:pPr>
        <w:numPr>
          <w:ilvl w:val="1"/>
          <w:numId w:val="1006"/>
        </w:numPr>
        <w:pStyle w:val="Compact"/>
      </w:pPr>
      <w:r>
        <w:t xml:space="preserve">Human oversight mechanisms</w:t>
      </w:r>
    </w:p>
    <w:p>
      <w:pPr>
        <w:numPr>
          <w:ilvl w:val="1"/>
          <w:numId w:val="1006"/>
        </w:numPr>
        <w:pStyle w:val="Compact"/>
      </w:pPr>
      <w:r>
        <w:t xml:space="preserve">Explainability and transparency</w:t>
      </w:r>
    </w:p>
    <w:p>
      <w:pPr>
        <w:numPr>
          <w:ilvl w:val="1"/>
          <w:numId w:val="1006"/>
        </w:numPr>
        <w:pStyle w:val="Compact"/>
      </w:pPr>
      <w:r>
        <w:t xml:space="preserve">Audit trails for all automated decisions</w:t>
      </w:r>
    </w:p>
    <w:p>
      <w:pPr>
        <w:numPr>
          <w:ilvl w:val="1"/>
          <w:numId w:val="1006"/>
        </w:numPr>
        <w:pStyle w:val="Compact"/>
      </w:pPr>
      <w:r>
        <w:t xml:space="preserve">Right to human review and override</w:t>
      </w:r>
    </w:p>
    <w:p>
      <w:pPr>
        <w:pStyle w:val="FirstParagraph"/>
      </w:pPr>
      <w:r>
        <w:rPr>
          <w:bCs/>
          <w:b/>
        </w:rPr>
        <w:t xml:space="preserve">Strategic Implication:</w:t>
      </w:r>
      <w:r>
        <w:t xml:space="preserve"> </w:t>
      </w:r>
      <w:r>
        <w:t xml:space="preserve">AdNexus AI’s draft-first approval workflow, explainable AI architecture, and built-in audit trails make it the only AI advertising platform</w:t>
      </w:r>
      <w:r>
        <w:t xml:space="preserve"> </w:t>
      </w:r>
      <w:r>
        <w:rPr>
          <w:bCs/>
          <w:b/>
        </w:rPr>
        <w:t xml:space="preserve">born compliant</w:t>
      </w:r>
      <w:r>
        <w:t xml:space="preserve"> </w:t>
      </w:r>
      <w:r>
        <w:t xml:space="preserve">with the EU AI Act. As enforcement nears, competitors will face 12–24 month retrofit timelines. European agencies and global brands with EU exposure will increasingly prioritize AI Act-compliant tools.</w:t>
      </w:r>
    </w:p>
    <w:bookmarkEnd w:id="37"/>
    <w:bookmarkStart w:id="38" w:name="ai-agent-maturity-the-technology-works"/>
    <w:p>
      <w:pPr>
        <w:pStyle w:val="Heading3"/>
      </w:pPr>
      <w:r>
        <w:t xml:space="preserve">4.4 AI Agent Maturity — The Technology Works</w:t>
      </w:r>
    </w:p>
    <w:p>
      <w:pPr>
        <w:pStyle w:val="FirstParagraph"/>
      </w:pPr>
      <w:r>
        <w:t xml:space="preserve">Enterprise adoption of AI agents has crossed the chasm from experimental to operational:</w:t>
      </w:r>
    </w:p>
    <w:p>
      <w:pPr>
        <w:numPr>
          <w:ilvl w:val="0"/>
          <w:numId w:val="1007"/>
        </w:numPr>
        <w:pStyle w:val="Compact"/>
      </w:pPr>
      <w:r>
        <w:rPr>
          <w:bCs/>
          <w:b/>
        </w:rPr>
        <w:t xml:space="preserve">34% of enterprises</w:t>
      </w:r>
      <w:r>
        <w:t xml:space="preserve"> </w:t>
      </w:r>
      <w:r>
        <w:t xml:space="preserve">now run autonomous AI agents in production (up from 8% in 2023)</w:t>
      </w:r>
    </w:p>
    <w:p>
      <w:pPr>
        <w:numPr>
          <w:ilvl w:val="0"/>
          <w:numId w:val="1007"/>
        </w:numPr>
        <w:pStyle w:val="Compact"/>
      </w:pPr>
      <w:r>
        <w:rPr>
          <w:bCs/>
          <w:b/>
        </w:rPr>
        <w:t xml:space="preserve">Agentic workflow tools</w:t>
      </w:r>
      <w:r>
        <w:t xml:space="preserve"> </w:t>
      </w:r>
      <w:r>
        <w:t xml:space="preserve">(LangChain, AutoGPT, CrewAI) have matured beyond proof-of-concept</w:t>
      </w:r>
    </w:p>
    <w:p>
      <w:pPr>
        <w:numPr>
          <w:ilvl w:val="0"/>
          <w:numId w:val="1007"/>
        </w:numPr>
        <w:pStyle w:val="Compact"/>
      </w:pPr>
      <w:r>
        <w:rPr>
          <w:bCs/>
          <w:b/>
        </w:rPr>
        <w:t xml:space="preserve">Multi-agent orchestration</w:t>
      </w:r>
      <w:r>
        <w:t xml:space="preserve"> </w:t>
      </w:r>
      <w:r>
        <w:t xml:space="preserve">— multiple specialized AI agents collaborating on complex tasks — is now production-viable</w:t>
      </w:r>
    </w:p>
    <w:p>
      <w:pPr>
        <w:numPr>
          <w:ilvl w:val="0"/>
          <w:numId w:val="1007"/>
        </w:numPr>
        <w:pStyle w:val="Compact"/>
      </w:pPr>
      <w:r>
        <w:rPr>
          <w:bCs/>
          <w:b/>
        </w:rPr>
        <w:t xml:space="preserve">Human-in-the-loop frameworks</w:t>
      </w:r>
      <w:r>
        <w:t xml:space="preserve"> </w:t>
      </w:r>
      <w:r>
        <w:t xml:space="preserve">have standardized, making approval-gated workflows technically feasible at scale</w:t>
      </w:r>
    </w:p>
    <w:p>
      <w:pPr>
        <w:pStyle w:val="FirstParagraph"/>
      </w:pPr>
      <w:r>
        <w:rPr>
          <w:bCs/>
          <w:b/>
        </w:rPr>
        <w:t xml:space="preserve">Strategic Implication:</w:t>
      </w:r>
      <w:r>
        <w:t xml:space="preserve"> </w:t>
      </w:r>
      <w:r>
        <w:t xml:space="preserve">The technology to build AdNexus AI’s agentic, approval-first architecture did not exist 18 months ago. It exists now. The window to build on this foundation — before incumbents recognize and respond — is approximately 12 months.</w:t>
      </w:r>
    </w:p>
    <w:bookmarkEnd w:id="38"/>
    <w:bookmarkStart w:id="39" w:name="X83feb9ed1303d253c3dcf9da1764b06813b43e0"/>
    <w:p>
      <w:pPr>
        <w:pStyle w:val="Heading3"/>
      </w:pPr>
      <w:r>
        <w:t xml:space="preserve">4.5 First-Mover Window — ~12 Months Before Incumbents Respond</w:t>
      </w:r>
    </w:p>
    <w:p>
      <w:pPr>
        <w:pStyle w:val="FirstParagraph"/>
      </w:pPr>
      <w:r>
        <w:t xml:space="preserve">Competitive dynamics suggest a narrow but decisive first-mover opportunity:</w:t>
      </w:r>
    </w:p>
    <w:tbl>
      <w:tblPr>
        <w:tblStyle w:val="Table"/>
        <w:tblW w:type="pct" w:w="5000"/>
        <w:tblLook w:firstRow="1" w:lastRow="0" w:firstColumn="0" w:lastColumn="0" w:noHBand="0" w:noVBand="0" w:val="0020"/>
      </w:tblPr>
      <w:tblGrid>
        <w:gridCol w:w="3168"/>
        <w:gridCol w:w="2217"/>
        <w:gridCol w:w="2534"/>
      </w:tblGrid>
      <w:tr>
        <w:trPr>
          <w:tblHeader w:val="true"/>
        </w:trPr>
        <w:tc>
          <w:tcPr/>
          <w:p>
            <w:pPr>
              <w:pStyle w:val="Compact"/>
              <w:jc w:val="left"/>
            </w:pPr>
            <w:r>
              <w:t xml:space="preserve">Timeline</w:t>
            </w:r>
          </w:p>
        </w:tc>
        <w:tc>
          <w:tcPr/>
          <w:p>
            <w:pPr>
              <w:pStyle w:val="Compact"/>
              <w:jc w:val="left"/>
            </w:pPr>
            <w:r>
              <w:t xml:space="preserve">Event</w:t>
            </w:r>
          </w:p>
        </w:tc>
        <w:tc>
          <w:tcPr/>
          <w:p>
            <w:pPr>
              <w:pStyle w:val="Compact"/>
              <w:jc w:val="left"/>
            </w:pPr>
            <w:r>
              <w:t xml:space="preserve">Impact</w:t>
            </w:r>
          </w:p>
        </w:tc>
      </w:tr>
      <w:tr>
        <w:tc>
          <w:tcPr/>
          <w:p>
            <w:pPr>
              <w:pStyle w:val="Compact"/>
              <w:jc w:val="left"/>
            </w:pPr>
            <w:r>
              <w:rPr>
                <w:bCs/>
                <w:b/>
              </w:rPr>
              <w:t xml:space="preserve">Now – Month 6</w:t>
            </w:r>
          </w:p>
        </w:tc>
        <w:tc>
          <w:tcPr/>
          <w:p>
            <w:pPr>
              <w:pStyle w:val="Compact"/>
              <w:jc w:val="left"/>
            </w:pPr>
            <w:r>
              <w:t xml:space="preserve">AdNexus AI MVP launch; MCP ecosystem still nascent</w:t>
            </w:r>
          </w:p>
        </w:tc>
        <w:tc>
          <w:tcPr/>
          <w:p>
            <w:pPr>
              <w:pStyle w:val="Compact"/>
              <w:jc w:val="left"/>
            </w:pPr>
            <w:r>
              <w:t xml:space="preserve">Establish product-market fit; build early user base</w:t>
            </w:r>
          </w:p>
        </w:tc>
      </w:tr>
      <w:tr>
        <w:tc>
          <w:tcPr/>
          <w:p>
            <w:pPr>
              <w:pStyle w:val="Compact"/>
              <w:jc w:val="left"/>
            </w:pPr>
            <w:r>
              <w:rPr>
                <w:bCs/>
                <w:b/>
              </w:rPr>
              <w:t xml:space="preserve">Month 6–12</w:t>
            </w:r>
          </w:p>
        </w:tc>
        <w:tc>
          <w:tcPr/>
          <w:p>
            <w:pPr>
              <w:pStyle w:val="Compact"/>
              <w:jc w:val="left"/>
            </w:pPr>
            <w:r>
              <w:t xml:space="preserve">MCP becomes table stakes for AI tools; EU AI Act compliance deadlines approach</w:t>
            </w:r>
          </w:p>
        </w:tc>
        <w:tc>
          <w:tcPr/>
          <w:p>
            <w:pPr>
              <w:pStyle w:val="Compact"/>
              <w:jc w:val="left"/>
            </w:pPr>
            <w:r>
              <w:t xml:space="preserve">First-mover advantage peaks; competitors begin retrofitting</w:t>
            </w:r>
          </w:p>
        </w:tc>
      </w:tr>
      <w:tr>
        <w:tc>
          <w:tcPr/>
          <w:p>
            <w:pPr>
              <w:pStyle w:val="Compact"/>
              <w:jc w:val="left"/>
            </w:pPr>
            <w:r>
              <w:rPr>
                <w:bCs/>
                <w:b/>
              </w:rPr>
              <w:t xml:space="preserve">Month 12–18</w:t>
            </w:r>
          </w:p>
        </w:tc>
        <w:tc>
          <w:tcPr/>
          <w:p>
            <w:pPr>
              <w:pStyle w:val="Compact"/>
              <w:jc w:val="left"/>
            </w:pPr>
            <w:r>
              <w:t xml:space="preserve">Incumbents (Madgicx, Smartly.io) announce MCP roadmaps</w:t>
            </w:r>
          </w:p>
        </w:tc>
        <w:tc>
          <w:tcPr/>
          <w:p>
            <w:pPr>
              <w:pStyle w:val="Compact"/>
              <w:jc w:val="left"/>
            </w:pPr>
            <w:r>
              <w:t xml:space="preserve">Window narrows; brand and integration lock-in becomes critical</w:t>
            </w:r>
          </w:p>
        </w:tc>
      </w:tr>
      <w:tr>
        <w:tc>
          <w:tcPr/>
          <w:p>
            <w:pPr>
              <w:pStyle w:val="Compact"/>
              <w:jc w:val="left"/>
            </w:pPr>
            <w:r>
              <w:rPr>
                <w:bCs/>
                <w:b/>
              </w:rPr>
              <w:t xml:space="preserve">Month 18–24</w:t>
            </w:r>
          </w:p>
        </w:tc>
        <w:tc>
          <w:tcPr/>
          <w:p>
            <w:pPr>
              <w:pStyle w:val="Compact"/>
              <w:jc w:val="left"/>
            </w:pPr>
            <w:r>
              <w:t xml:space="preserve">First incumbent MCP integrations ship; EU AI Act enforcement live</w:t>
            </w:r>
          </w:p>
        </w:tc>
        <w:tc>
          <w:tcPr/>
          <w:p>
            <w:pPr>
              <w:pStyle w:val="Compact"/>
              <w:jc w:val="left"/>
            </w:pPr>
            <w:r>
              <w:t xml:space="preserve">Late-movers compete on features; AdNexus AI defends via ecosystem depth</w:t>
            </w:r>
          </w:p>
        </w:tc>
      </w:tr>
      <w:tr>
        <w:tc>
          <w:tcPr/>
          <w:p>
            <w:pPr>
              <w:pStyle w:val="Compact"/>
              <w:jc w:val="left"/>
            </w:pPr>
            <w:r>
              <w:rPr>
                <w:bCs/>
                <w:b/>
              </w:rPr>
              <w:t xml:space="preserve">Month 24+</w:t>
            </w:r>
          </w:p>
        </w:tc>
        <w:tc>
          <w:tcPr/>
          <w:p>
            <w:pPr>
              <w:pStyle w:val="Compact"/>
              <w:jc w:val="left"/>
            </w:pPr>
            <w:r>
              <w:t xml:space="preserve">Category matures; AdNexus AI aims for category leadership</w:t>
            </w:r>
          </w:p>
        </w:tc>
        <w:tc>
          <w:tcPr/>
          <w:p>
            <w:pPr>
              <w:pStyle w:val="Compact"/>
              <w:jc w:val="left"/>
            </w:pPr>
            <w:r>
              <w:t xml:space="preserve">Organic growth from word-of-mouth, integrations, and compliance advantage</w:t>
            </w:r>
          </w:p>
        </w:tc>
      </w:tr>
    </w:tbl>
    <w:bookmarkEnd w:id="39"/>
    <w:bookmarkStart w:id="40" w:name="the-convergence-thesis"/>
    <w:p>
      <w:pPr>
        <w:pStyle w:val="Heading3"/>
      </w:pPr>
      <w:r>
        <w:t xml:space="preserve">4.6 The Convergence Thesis</w:t>
      </w:r>
    </w:p>
    <w:p>
      <w:pPr>
        <w:pStyle w:val="FirstParagraph"/>
      </w:pPr>
      <w:r>
        <w:t xml:space="preserve">Five forces, each independently powerful, are converging simultaneously:</w:t>
      </w:r>
    </w:p>
    <w:p>
      <w:pPr>
        <w:pStyle w:val="SourceCode"/>
      </w:pPr>
      <w:r>
        <w:rPr>
          <w:rStyle w:val="VerbatimChar"/>
        </w:rPr>
        <w:t xml:space="preserve">    MCP Standardization  ────┐</w:t>
      </w:r>
      <w:r>
        <w:br/>
      </w:r>
      <w:r>
        <w:rPr>
          <w:rStyle w:val="VerbatimChar"/>
        </w:rPr>
        <w:t xml:space="preserve">    iOS ATT Aftermath    ────┤</w:t>
      </w:r>
      <w:r>
        <w:br/>
      </w:r>
      <w:r>
        <w:rPr>
          <w:rStyle w:val="VerbatimChar"/>
        </w:rPr>
        <w:t xml:space="preserve">    EU AI Act (2026)     ────┼───►  WHY NOW  ◄───┤</w:t>
      </w:r>
      <w:r>
        <w:br/>
      </w:r>
      <w:r>
        <w:rPr>
          <w:rStyle w:val="VerbatimChar"/>
        </w:rPr>
        <w:t xml:space="preserve">    AI Agent Maturity    ────┤    (12–18 mo    │</w:t>
      </w:r>
      <w:r>
        <w:br/>
      </w:r>
      <w:r>
        <w:rPr>
          <w:rStyle w:val="VerbatimChar"/>
        </w:rPr>
        <w:t xml:space="preserve">    First-Mover Gap      ────┘     window)      │</w:t>
      </w:r>
      <w:r>
        <w:br/>
      </w:r>
      <w:r>
        <w:rPr>
          <w:rStyle w:val="VerbatimChar"/>
        </w:rPr>
        <w:t xml:space="preserve">                                                │</w:t>
      </w:r>
      <w:r>
        <w:br/>
      </w:r>
      <w:r>
        <w:rPr>
          <w:rStyle w:val="VerbatimChar"/>
        </w:rPr>
        <w:t xml:space="preserve">    SOLUTION: AdNexus AI ───────────────────────┘</w:t>
      </w:r>
    </w:p>
    <w:p>
      <w:pPr>
        <w:pStyle w:val="FirstParagraph"/>
      </w:pPr>
      <w:r>
        <w:t xml:space="preserve">No competitor was built for this convergence. Madgicx and Revealbot were built before MCP existed. Smartly.io and Albert.ai were architected for enterprise sales cycles, not mid-market SaaS distribution. None have draft-first approval. None have cross-platform creative intelligence. None were designed with the EU AI Act in mind.</w:t>
      </w:r>
    </w:p>
    <w:p>
      <w:pPr>
        <w:pStyle w:val="BodyText"/>
      </w:pPr>
      <w:r>
        <w:rPr>
          <w:bCs/>
          <w:b/>
        </w:rPr>
        <w:t xml:space="preserve">The opportunity is now. The conditions are right. The market is waiting.</w:t>
      </w:r>
    </w:p>
    <w:p>
      <w:r>
        <w:pict>
          <v:rect style="width:0;height:1.5pt" o:hralign="center" o:hrstd="t" o:hr="t"/>
        </w:pict>
      </w:r>
    </w:p>
    <w:bookmarkEnd w:id="40"/>
    <w:bookmarkEnd w:id="41"/>
    <w:bookmarkStart w:id="42" w:name="appendix-data-sources-methodology"/>
    <w:p>
      <w:pPr>
        <w:pStyle w:val="Heading2"/>
      </w:pPr>
      <w:r>
        <w:t xml:space="preserve">Appendix: Data Sources &amp; Methodology</w:t>
      </w:r>
    </w:p>
    <w:tbl>
      <w:tblPr>
        <w:tblStyle w:val="Table"/>
        <w:tblW w:type="pct" w:w="5000"/>
        <w:tblLook w:firstRow="1" w:lastRow="0" w:firstColumn="0" w:lastColumn="0" w:noHBand="0" w:noVBand="0" w:val="0020"/>
      </w:tblPr>
      <w:tblGrid>
        <w:gridCol w:w="3655"/>
        <w:gridCol w:w="2436"/>
        <w:gridCol w:w="1827"/>
      </w:tblGrid>
      <w:tr>
        <w:trPr>
          <w:tblHeader w:val="true"/>
        </w:trPr>
        <w:tc>
          <w:tcPr/>
          <w:p>
            <w:pPr>
              <w:pStyle w:val="Compact"/>
              <w:jc w:val="left"/>
            </w:pPr>
            <w:r>
              <w:t xml:space="preserve">Data Point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Global digital ad spend ($650–799B)</w:t>
            </w:r>
          </w:p>
        </w:tc>
        <w:tc>
          <w:tcPr/>
          <w:p>
            <w:pPr>
              <w:pStyle w:val="Compact"/>
              <w:jc w:val="left"/>
            </w:pPr>
            <w:r>
              <w:t xml:space="preserve">Statista, eMarketer, GroupM</w:t>
            </w:r>
          </w:p>
        </w:tc>
        <w:tc>
          <w:tcPr/>
          <w:p>
            <w:pPr>
              <w:pStyle w:val="Compact"/>
              <w:jc w:val="left"/>
            </w:pPr>
            <w:r>
              <w:t xml:space="preserve">2025</w:t>
            </w:r>
          </w:p>
        </w:tc>
      </w:tr>
      <w:tr>
        <w:tc>
          <w:tcPr/>
          <w:p>
            <w:pPr>
              <w:pStyle w:val="Compact"/>
              <w:jc w:val="left"/>
            </w:pPr>
            <w:r>
              <w:t xml:space="preserve">AI platform market sizing</w:t>
            </w:r>
          </w:p>
        </w:tc>
        <w:tc>
          <w:tcPr/>
          <w:p>
            <w:pPr>
              <w:pStyle w:val="Compact"/>
              <w:jc w:val="left"/>
            </w:pPr>
            <w:r>
              <w:t xml:space="preserve">Grand View Research, MarketsandMarkets</w:t>
            </w:r>
          </w:p>
        </w:tc>
        <w:tc>
          <w:tcPr/>
          <w:p>
            <w:pPr>
              <w:pStyle w:val="Compact"/>
              <w:jc w:val="left"/>
            </w:pPr>
            <w:r>
              <w:t xml:space="preserve">2024–2025</w:t>
            </w:r>
          </w:p>
        </w:tc>
      </w:tr>
      <w:tr>
        <w:tc>
          <w:tcPr/>
          <w:p>
            <w:pPr>
              <w:pStyle w:val="Compact"/>
              <w:jc w:val="left"/>
            </w:pPr>
            <w:r>
              <w:t xml:space="preserve">AI in advertising CAGR (26.7%)</w:t>
            </w:r>
          </w:p>
        </w:tc>
        <w:tc>
          <w:tcPr/>
          <w:p>
            <w:pPr>
              <w:pStyle w:val="Compact"/>
              <w:jc w:val="left"/>
            </w:pPr>
            <w:r>
              <w:t xml:space="preserve">Grand View Research AI in Advertising Report</w:t>
            </w:r>
          </w:p>
        </w:tc>
        <w:tc>
          <w:tcPr/>
          <w:p>
            <w:pPr>
              <w:pStyle w:val="Compact"/>
              <w:jc w:val="left"/>
            </w:pPr>
            <w:r>
              <w:t xml:space="preserve">2024</w:t>
            </w:r>
          </w:p>
        </w:tc>
      </w:tr>
      <w:tr>
        <w:tc>
          <w:tcPr/>
          <w:p>
            <w:pPr>
              <w:pStyle w:val="Compact"/>
              <w:jc w:val="left"/>
            </w:pPr>
            <w:r>
              <w:t xml:space="preserve">SMB digital ad spend ($98B, 27%)</w:t>
            </w:r>
          </w:p>
        </w:tc>
        <w:tc>
          <w:tcPr/>
          <w:p>
            <w:pPr>
              <w:pStyle w:val="Compact"/>
              <w:jc w:val="left"/>
            </w:pPr>
            <w:r>
              <w:t xml:space="preserve">IAB/PwC Internet Ad Revenue Report</w:t>
            </w:r>
          </w:p>
        </w:tc>
        <w:tc>
          <w:tcPr/>
          <w:p>
            <w:pPr>
              <w:pStyle w:val="Compact"/>
              <w:jc w:val="left"/>
            </w:pPr>
            <w:r>
              <w:t xml:space="preserve">2024</w:t>
            </w:r>
          </w:p>
        </w:tc>
      </w:tr>
      <w:tr>
        <w:tc>
          <w:tcPr/>
          <w:p>
            <w:pPr>
              <w:pStyle w:val="Compact"/>
              <w:jc w:val="left"/>
            </w:pPr>
            <w:r>
              <w:t xml:space="preserve">AI adoption in agencies (62%)</w:t>
            </w:r>
          </w:p>
        </w:tc>
        <w:tc>
          <w:tcPr/>
          <w:p>
            <w:pPr>
              <w:pStyle w:val="Compact"/>
              <w:jc w:val="left"/>
            </w:pPr>
            <w:r>
              <w:t xml:space="preserve">HubSpot State of Marketing Report</w:t>
            </w:r>
          </w:p>
        </w:tc>
        <w:tc>
          <w:tcPr/>
          <w:p>
            <w:pPr>
              <w:pStyle w:val="Compact"/>
              <w:jc w:val="left"/>
            </w:pPr>
            <w:r>
              <w:t xml:space="preserve">2024</w:t>
            </w:r>
          </w:p>
        </w:tc>
      </w:tr>
      <w:tr>
        <w:tc>
          <w:tcPr/>
          <w:p>
            <w:pPr>
              <w:pStyle w:val="Compact"/>
              <w:jc w:val="left"/>
            </w:pPr>
            <w:r>
              <w:t xml:space="preserve">MCP enterprise penetration (78%)</w:t>
            </w:r>
          </w:p>
        </w:tc>
        <w:tc>
          <w:tcPr/>
          <w:p>
            <w:pPr>
              <w:pStyle w:val="Compact"/>
              <w:jc w:val="left"/>
            </w:pPr>
            <w:r>
              <w:t xml:space="preserve">Anthropic MCP Developer Survey</w:t>
            </w:r>
          </w:p>
        </w:tc>
        <w:tc>
          <w:tcPr/>
          <w:p>
            <w:pPr>
              <w:pStyle w:val="Compact"/>
              <w:jc w:val="left"/>
            </w:pPr>
            <w:r>
              <w:t xml:space="preserve">2025</w:t>
            </w:r>
          </w:p>
        </w:tc>
      </w:tr>
      <w:tr>
        <w:tc>
          <w:tcPr/>
          <w:p>
            <w:pPr>
              <w:pStyle w:val="Compact"/>
              <w:jc w:val="left"/>
            </w:pPr>
            <w:r>
              <w:t xml:space="preserve">iOS ATT impact ($10B+)</w:t>
            </w:r>
          </w:p>
        </w:tc>
        <w:tc>
          <w:tcPr/>
          <w:p>
            <w:pPr>
              <w:pStyle w:val="Compact"/>
              <w:jc w:val="left"/>
            </w:pPr>
            <w:r>
              <w:t xml:space="preserve">Meta Q4 2021 Earnings Report</w:t>
            </w:r>
          </w:p>
        </w:tc>
        <w:tc>
          <w:tcPr/>
          <w:p>
            <w:pPr>
              <w:pStyle w:val="Compact"/>
              <w:jc w:val="left"/>
            </w:pPr>
            <w:r>
              <w:t xml:space="preserve">2022</w:t>
            </w:r>
          </w:p>
        </w:tc>
      </w:tr>
      <w:tr>
        <w:tc>
          <w:tcPr/>
          <w:p>
            <w:pPr>
              <w:pStyle w:val="Compact"/>
              <w:jc w:val="left"/>
            </w:pPr>
            <w:r>
              <w:t xml:space="preserve">EU AI Act timeline</w:t>
            </w:r>
          </w:p>
        </w:tc>
        <w:tc>
          <w:tcPr/>
          <w:p>
            <w:pPr>
              <w:pStyle w:val="Compact"/>
              <w:jc w:val="left"/>
            </w:pPr>
            <w:r>
              <w:t xml:space="preserve">European Commission AI Act Final Text</w:t>
            </w:r>
          </w:p>
        </w:tc>
        <w:tc>
          <w:tcPr/>
          <w:p>
            <w:pPr>
              <w:pStyle w:val="Compact"/>
              <w:jc w:val="left"/>
            </w:pPr>
            <w:r>
              <w:t xml:space="preserve">August 2026</w:t>
            </w:r>
          </w:p>
        </w:tc>
      </w:tr>
      <w:tr>
        <w:tc>
          <w:tcPr/>
          <w:p>
            <w:pPr>
              <w:pStyle w:val="Compact"/>
              <w:jc w:val="left"/>
            </w:pPr>
            <w:r>
              <w:t xml:space="preserve">AI agent adoption (34% enterprise)</w:t>
            </w:r>
          </w:p>
        </w:tc>
        <w:tc>
          <w:tcPr/>
          <w:p>
            <w:pPr>
              <w:pStyle w:val="Compact"/>
              <w:jc w:val="left"/>
            </w:pPr>
            <w:r>
              <w:t xml:space="preserve">McKinsey State of AI Report</w:t>
            </w:r>
          </w:p>
        </w:tc>
        <w:tc>
          <w:tcPr/>
          <w:p>
            <w:pPr>
              <w:pStyle w:val="Compact"/>
              <w:jc w:val="left"/>
            </w:pPr>
            <w:r>
              <w:t xml:space="preserve">2024</w:t>
            </w:r>
          </w:p>
        </w:tc>
      </w:tr>
      <w:tr>
        <w:tc>
          <w:tcPr/>
          <w:p>
            <w:pPr>
              <w:pStyle w:val="Compact"/>
              <w:jc w:val="left"/>
            </w:pPr>
            <w:r>
              <w:t xml:space="preserve">Competitor pricing &amp; features</w:t>
            </w:r>
          </w:p>
        </w:tc>
        <w:tc>
          <w:tcPr/>
          <w:p>
            <w:pPr>
              <w:pStyle w:val="Compact"/>
              <w:jc w:val="left"/>
            </w:pPr>
            <w:r>
              <w:t xml:space="preserve">G2.com, Capterra, vendor websites</w:t>
            </w:r>
          </w:p>
        </w:tc>
        <w:tc>
          <w:tcPr/>
          <w:p>
            <w:pPr>
              <w:pStyle w:val="Compact"/>
              <w:jc w:val="left"/>
            </w:pPr>
            <w:r>
              <w:t xml:space="preserve">June 2025</w:t>
            </w:r>
          </w:p>
        </w:tc>
      </w:tr>
      <w:tr>
        <w:tc>
          <w:tcPr/>
          <w:p>
            <w:pPr>
              <w:pStyle w:val="Compact"/>
              <w:jc w:val="left"/>
            </w:pPr>
            <w:r>
              <w:t xml:space="preserve">G2 ratings</w:t>
            </w:r>
          </w:p>
        </w:tc>
        <w:tc>
          <w:tcPr/>
          <w:p>
            <w:pPr>
              <w:pStyle w:val="Compact"/>
              <w:jc w:val="left"/>
            </w:pPr>
            <w:r>
              <w:t xml:space="preserve">G2.com verified reviews</w:t>
            </w:r>
          </w:p>
        </w:tc>
        <w:tc>
          <w:tcPr/>
          <w:p>
            <w:pPr>
              <w:pStyle w:val="Compact"/>
              <w:jc w:val="left"/>
            </w:pPr>
            <w:r>
              <w:t xml:space="preserve">June 2025</w:t>
            </w:r>
          </w:p>
        </w:tc>
      </w:tr>
    </w:tbl>
    <w:p>
      <w:r>
        <w:pict>
          <v:rect style="width:0;height:1.5pt" o:hralign="center" o:hrstd="t" o:hr="t"/>
        </w:pict>
      </w:r>
    </w:p>
    <w:p>
      <w:pPr>
        <w:pStyle w:val="FirstParagraph"/>
      </w:pPr>
      <w:r>
        <w:rPr>
          <w:iCs/>
          <w:i/>
        </w:rPr>
        <w:t xml:space="preserve">End of Part 1: Executive Summary, Market Opportunity &amp; Competitive Positioning</w:t>
      </w:r>
    </w:p>
    <w:p>
      <w:pPr>
        <w:pStyle w:val="BodyText"/>
      </w:pPr>
      <w:r>
        <w:rPr>
          <w:iCs/>
          <w:i/>
        </w:rPr>
        <w:t xml:space="preserve">Part 2 (Product Strategy &amp; Roadmap) and Part 3 (Go-to-Market Plan &amp; Financial Projections) to follow.</w:t>
      </w:r>
      <w:r>
        <w:t xml:space="preserve"> </w:t>
      </w:r>
      <w:r>
        <w:t xml:space="preserve"># AdNexus AI: Intelligent Advertising Platform</w:t>
      </w:r>
    </w:p>
    <w:bookmarkEnd w:id="42"/>
    <w:bookmarkStart w:id="43" w:name="X17b21b4996262b8a5c7e50d16ba1ea04f6a34cc"/>
    <w:p>
      <w:pPr>
        <w:pStyle w:val="Heading2"/>
      </w:pPr>
      <w:r>
        <w:t xml:space="preserve">Part 2: Product Concept, Feature Roadmap, and Technical Architecture</w:t>
      </w:r>
    </w:p>
    <w:p>
      <w:r>
        <w:pict>
          <v:rect style="width:0;height:1.5pt" o:hralign="center" o:hrstd="t" o:hr="t"/>
        </w:pict>
      </w:r>
    </w:p>
    <w:bookmarkEnd w:id="43"/>
    <w:bookmarkStart w:id="49" w:name="X454cfbe3046ce4bc5b89ce606f35abfc5347ccc"/>
    <w:p>
      <w:pPr>
        <w:pStyle w:val="Heading2"/>
      </w:pPr>
      <w:r>
        <w:t xml:space="preserve">5. Product Concept:</w:t>
      </w:r>
      <w:r>
        <w:t xml:space="preserve"> </w:t>
      </w:r>
      <w:r>
        <w:t xml:space="preserve">“</w:t>
      </w:r>
      <w:r>
        <w:t xml:space="preserve">The Intelligent Campaign Workspace</w:t>
      </w:r>
      <w:r>
        <w:t xml:space="preserve">”</w:t>
      </w:r>
    </w:p>
    <w:bookmarkStart w:id="44" w:name="vision-statement"/>
    <w:p>
      <w:pPr>
        <w:pStyle w:val="Heading3"/>
      </w:pPr>
      <w:r>
        <w:t xml:space="preserve">5.1 Vision Statement</w:t>
      </w:r>
    </w:p>
    <w:p>
      <w:pPr>
        <w:pStyle w:val="FirstParagraph"/>
      </w:pPr>
      <w:r>
        <w:t xml:space="preserve">AdNexus is the</w:t>
      </w:r>
      <w:r>
        <w:t xml:space="preserve"> </w:t>
      </w:r>
      <w:r>
        <w:rPr>
          <w:bCs/>
          <w:b/>
        </w:rPr>
        <w:t xml:space="preserve">Intelligent Campaign Workspace</w:t>
      </w:r>
      <w:r>
        <w:t xml:space="preserve"> </w:t>
      </w:r>
      <w:r>
        <w:t xml:space="preserve">— a unified environment where human marketing teams and AI agents collaborate to plan, execute, optimize, and analyze cross-platform advertising campaigns. It is not an autopilot system that replaces marketers; it is a co-pilot system that amplifies their capabilities. Every AI-generated recommendation, adjustment, or insight is surfaced as a</w:t>
      </w:r>
      <w:r>
        <w:t xml:space="preserve"> </w:t>
      </w:r>
      <w:r>
        <w:rPr>
          <w:bCs/>
          <w:b/>
        </w:rPr>
        <w:t xml:space="preserve">draft proposal</w:t>
      </w:r>
      <w:r>
        <w:t xml:space="preserve"> </w:t>
      </w:r>
      <w:r>
        <w:t xml:space="preserve">that requires explicit human approval before any change reaches a live production campaign. This philosophy ensures that intelligence never outpaces accountability.</w:t>
      </w:r>
    </w:p>
    <w:p>
      <w:pPr>
        <w:pStyle w:val="BodyText"/>
      </w:pPr>
      <w:r>
        <w:t xml:space="preserve">The platform is built from the ground up as</w:t>
      </w:r>
      <w:r>
        <w:t xml:space="preserve"> </w:t>
      </w:r>
      <w:r>
        <w:rPr>
          <w:bCs/>
          <w:b/>
        </w:rPr>
        <w:t xml:space="preserve">MCP-native</w:t>
      </w:r>
      <w:r>
        <w:t xml:space="preserve"> </w:t>
      </w:r>
      <w:r>
        <w:t xml:space="preserve">(Model Context Protocol), meaning any AI assistant — Claude, ChatGPT, Gemini, or future models — can connect to AdNexus through a standardized tool interface and execute advertising operations with full auditability. This is not a bolt-on integration; it is the architectural foundation of the system.</w:t>
      </w:r>
    </w:p>
    <w:bookmarkEnd w:id="44"/>
    <w:bookmarkStart w:id="45" w:name="the-draft-first-approval-paradigm"/>
    <w:p>
      <w:pPr>
        <w:pStyle w:val="Heading3"/>
      </w:pPr>
      <w:r>
        <w:t xml:space="preserve">5.2 The Draft-First Approval Paradigm</w:t>
      </w:r>
    </w:p>
    <w:p>
      <w:pPr>
        <w:pStyle w:val="FirstParagraph"/>
      </w:pPr>
      <w:r>
        <w:t xml:space="preserve">The core interaction model of AdNexus is the</w:t>
      </w:r>
      <w:r>
        <w:t xml:space="preserve"> </w:t>
      </w:r>
      <w:r>
        <w:rPr>
          <w:bCs/>
          <w:b/>
        </w:rPr>
        <w:t xml:space="preserve">Draft-First Approval Workflow</w:t>
      </w:r>
      <w:r>
        <w:t xml:space="preserve">. This is the single most important design decision in the product and differentiates it from both legacy ad managers and black-box AI optimization tools.</w:t>
      </w:r>
    </w:p>
    <w:p>
      <w:pPr>
        <w:pStyle w:val="SourceCode"/>
      </w:pPr>
      <w:r>
        <w:rPr>
          <w:rStyle w:val="VerbatimChar"/>
        </w:rPr>
        <w:t xml:space="preserve">┌─────────────────────────────────────────────────────────────────┐</w:t>
      </w:r>
      <w:r>
        <w:br/>
      </w:r>
      <w:r>
        <w:rPr>
          <w:rStyle w:val="VerbatimChar"/>
        </w:rPr>
        <w:t xml:space="preserve">│                    DRAFT-FIRST APPROVAL FLOW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AI Agent │───▶│  DRAFT   │───▶│  HUMAN   │───▶│  LIVE    │  │</w:t>
      </w:r>
      <w:r>
        <w:br/>
      </w:r>
      <w:r>
        <w:rPr>
          <w:rStyle w:val="VerbatimChar"/>
        </w:rPr>
        <w:t xml:space="preserve">│  │ Analyzes  │    │ Created  │    │ Approves │    │ Deployed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Rejected ──▶   │                │</w:t>
      </w:r>
      <w:r>
        <w:br/>
      </w:r>
      <w:r>
        <w:rPr>
          <w:rStyle w:val="VerbatimChar"/>
        </w:rPr>
        <w:t xml:space="preserve">│                              │  Feedback Loop  │                │</w:t>
      </w:r>
      <w:r>
        <w:br/>
      </w:r>
      <w:r>
        <w:rPr>
          <w:rStyle w:val="VerbatimChar"/>
        </w:rPr>
        <w:t xml:space="preserve">│                              └─────────────────┘                │</w:t>
      </w:r>
      <w:r>
        <w:br/>
      </w:r>
      <w:r>
        <w:rPr>
          <w:rStyle w:val="VerbatimChar"/>
        </w:rPr>
        <w:t xml:space="preserve">└─────────────────────────────────────────────────────────────────┘</w:t>
      </w:r>
    </w:p>
    <w:p>
      <w:pPr>
        <w:pStyle w:val="FirstParagraph"/>
      </w:pPr>
      <w:r>
        <w:rPr>
          <w:bCs/>
          <w:b/>
        </w:rPr>
        <w:t xml:space="preserve">How it works:</w:t>
      </w:r>
    </w:p>
    <w:p>
      <w:pPr>
        <w:numPr>
          <w:ilvl w:val="0"/>
          <w:numId w:val="1008"/>
        </w:numPr>
      </w:pPr>
      <w:r>
        <w:rPr>
          <w:bCs/>
          <w:b/>
        </w:rPr>
        <w:t xml:space="preserve">AI Detection</w:t>
      </w:r>
      <w:r>
        <w:t xml:space="preserve">: The Optimization Agent continuously monitors campaign metrics across all connected platforms (Meta, Google, TikTok, Snap). When an anomaly is detected, a threshold breached, or an optimization opportunity identified, the agent formulates a recommended action.</w:t>
      </w:r>
    </w:p>
    <w:p>
      <w:pPr>
        <w:numPr>
          <w:ilvl w:val="0"/>
          <w:numId w:val="1008"/>
        </w:numPr>
      </w:pPr>
      <w:r>
        <w:rPr>
          <w:bCs/>
          <w:b/>
        </w:rPr>
        <w:t xml:space="preserve">Draft Creation</w:t>
      </w:r>
      <w:r>
        <w:t xml:space="preserve">: The recommended action is instantiated as a</w:t>
      </w:r>
      <w:r>
        <w:t xml:space="preserve"> </w:t>
      </w:r>
      <w:r>
        <w:rPr>
          <w:bCs/>
          <w:b/>
        </w:rPr>
        <w:t xml:space="preserve">Draft Campaign Change</w:t>
      </w:r>
      <w:r>
        <w:t xml:space="preserve"> </w:t>
      </w:r>
      <w:r>
        <w:t xml:space="preserve">— a structured object containing: the proposed change (e.g.,</w:t>
      </w:r>
      <w:r>
        <w:t xml:space="preserve"> </w:t>
      </w:r>
      <w:r>
        <w:t xml:space="preserve">“</w:t>
      </w:r>
      <w:r>
        <w:t xml:space="preserve">Increase daily budget from $500 to $750 on Campaign_X</w:t>
      </w:r>
      <w:r>
        <w:t xml:space="preserve">”</w:t>
      </w:r>
      <w:r>
        <w:t xml:space="preserve">), the reasoning chain (</w:t>
      </w:r>
      <w:r>
        <w:t xml:space="preserve">“</w:t>
      </w:r>
      <w:r>
        <w:t xml:space="preserve">ROAS has exceeded 4.0x for 5 consecutive days; portfolio modeling suggests optimal budget at $750</w:t>
      </w:r>
      <w:r>
        <w:t xml:space="preserve">”</w:t>
      </w:r>
      <w:r>
        <w:t xml:space="preserve">), the expected impact (</w:t>
      </w:r>
      <w:r>
        <w:t xml:space="preserve">“</w:t>
      </w:r>
      <w:r>
        <w:t xml:space="preserve">Projected +23% conversions, -5% ROAS</w:t>
      </w:r>
      <w:r>
        <w:t xml:space="preserve">”</w:t>
      </w:r>
      <w:r>
        <w:t xml:space="preserve">), and the confidence score (0.0 to 1.0).</w:t>
      </w:r>
    </w:p>
    <w:p>
      <w:pPr>
        <w:numPr>
          <w:ilvl w:val="0"/>
          <w:numId w:val="1008"/>
        </w:numPr>
      </w:pPr>
      <w:r>
        <w:rPr>
          <w:bCs/>
          <w:b/>
        </w:rPr>
        <w:t xml:space="preserve">Human Review</w:t>
      </w:r>
      <w:r>
        <w:t xml:space="preserve">: The draft appears in the user’s approval queue, flagged by risk level. The human reviewer can inspect the full reasoning, modify the proposal, request additional AI analysis, approve with conditions, or reject with feedback.</w:t>
      </w:r>
    </w:p>
    <w:p>
      <w:pPr>
        <w:numPr>
          <w:ilvl w:val="0"/>
          <w:numId w:val="1008"/>
        </w:numPr>
      </w:pPr>
      <w:r>
        <w:rPr>
          <w:bCs/>
          <w:b/>
        </w:rPr>
        <w:t xml:space="preserve">Deployment or Iteration</w:t>
      </w:r>
      <w:r>
        <w:t xml:space="preserve">: Upon approval, the change is batched and pushed to the relevant platform API. Upon rejection, feedback is captured and used to refine the agent’s future recommendations through the feedback loop.</w:t>
      </w:r>
    </w:p>
    <w:bookmarkEnd w:id="45"/>
    <w:bookmarkStart w:id="46" w:name="mcp-native-architecture"/>
    <w:p>
      <w:pPr>
        <w:pStyle w:val="Heading3"/>
      </w:pPr>
      <w:r>
        <w:t xml:space="preserve">5.3 MCP-Native Architecture</w:t>
      </w:r>
    </w:p>
    <w:p>
      <w:pPr>
        <w:pStyle w:val="FirstParagraph"/>
      </w:pPr>
      <w:r>
        <w:t xml:space="preserve">AdNexus exposes all platform capabilities through a</w:t>
      </w:r>
      <w:r>
        <w:t xml:space="preserve"> </w:t>
      </w:r>
      <w:r>
        <w:rPr>
          <w:bCs/>
          <w:b/>
        </w:rPr>
        <w:t xml:space="preserve">Model Context Protocol (MCP) server</w:t>
      </w:r>
      <w:r>
        <w:t xml:space="preserve">, making every advertising operation available as a structured tool call that any AI assistant can invoke.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MCP Tool Category</w:t>
            </w:r>
          </w:p>
        </w:tc>
        <w:tc>
          <w:tcPr/>
          <w:p>
            <w:pPr>
              <w:pStyle w:val="Compact"/>
              <w:jc w:val="left"/>
            </w:pPr>
            <w:r>
              <w:t xml:space="preserve">Example Tools</w:t>
            </w:r>
          </w:p>
        </w:tc>
        <w:tc>
          <w:tcPr/>
          <w:p>
            <w:pPr>
              <w:pStyle w:val="Compact"/>
              <w:jc w:val="left"/>
            </w:pPr>
            <w:r>
              <w:t xml:space="preserve">Description</w:t>
            </w:r>
          </w:p>
        </w:tc>
      </w:tr>
      <w:tr>
        <w:tc>
          <w:tcPr/>
          <w:p>
            <w:pPr>
              <w:pStyle w:val="Compact"/>
              <w:jc w:val="left"/>
            </w:pPr>
            <w:r>
              <w:rPr>
                <w:bCs/>
                <w:b/>
              </w:rPr>
              <w:t xml:space="preserve">Campaign Read</w:t>
            </w:r>
          </w:p>
        </w:tc>
        <w:tc>
          <w:tcPr/>
          <w:p>
            <w:pPr>
              <w:pStyle w:val="Compact"/>
              <w:jc w:val="left"/>
            </w:pPr>
            <w:r>
              <w:rPr>
                <w:rStyle w:val="VerbatimChar"/>
              </w:rPr>
              <w:t xml:space="preserve">list_campaigns</w:t>
            </w:r>
            <w:r>
              <w:t xml:space="preserve">,</w:t>
            </w:r>
            <w:r>
              <w:t xml:space="preserve"> </w:t>
            </w:r>
            <w:r>
              <w:rPr>
                <w:rStyle w:val="VerbatimChar"/>
              </w:rPr>
              <w:t xml:space="preserve">get_campaign_metrics</w:t>
            </w:r>
            <w:r>
              <w:t xml:space="preserve">,</w:t>
            </w:r>
            <w:r>
              <w:t xml:space="preserve"> </w:t>
            </w:r>
            <w:r>
              <w:rPr>
                <w:rStyle w:val="VerbatimChar"/>
              </w:rPr>
              <w:t xml:space="preserve">get_ad_performance</w:t>
            </w:r>
          </w:p>
        </w:tc>
        <w:tc>
          <w:tcPr/>
          <w:p>
            <w:pPr>
              <w:pStyle w:val="Compact"/>
              <w:jc w:val="left"/>
            </w:pPr>
            <w:r>
              <w:t xml:space="preserve">Retrieve campaign data, KPIs, and creative performance</w:t>
            </w:r>
          </w:p>
        </w:tc>
      </w:tr>
      <w:tr>
        <w:tc>
          <w:tcPr/>
          <w:p>
            <w:pPr>
              <w:pStyle w:val="Compact"/>
              <w:jc w:val="left"/>
            </w:pPr>
            <w:r>
              <w:rPr>
                <w:bCs/>
                <w:b/>
              </w:rPr>
              <w:t xml:space="preserve">Campaign Write</w:t>
            </w:r>
          </w:p>
        </w:tc>
        <w:tc>
          <w:tcPr/>
          <w:p>
            <w:pPr>
              <w:pStyle w:val="Compact"/>
              <w:jc w:val="left"/>
            </w:pPr>
            <w:r>
              <w:rPr>
                <w:rStyle w:val="VerbatimChar"/>
              </w:rPr>
              <w:t xml:space="preserve">create_campaign_draft</w:t>
            </w:r>
            <w:r>
              <w:t xml:space="preserve">,</w:t>
            </w:r>
            <w:r>
              <w:t xml:space="preserve"> </w:t>
            </w:r>
            <w:r>
              <w:rPr>
                <w:rStyle w:val="VerbatimChar"/>
              </w:rPr>
              <w:t xml:space="preserve">update_bid_draft</w:t>
            </w:r>
            <w:r>
              <w:t xml:space="preserve">,</w:t>
            </w:r>
            <w:r>
              <w:t xml:space="preserve"> </w:t>
            </w:r>
            <w:r>
              <w:rPr>
                <w:rStyle w:val="VerbatimChar"/>
              </w:rPr>
              <w:t xml:space="preserve">pause_ad_draft</w:t>
            </w:r>
          </w:p>
        </w:tc>
        <w:tc>
          <w:tcPr/>
          <w:p>
            <w:pPr>
              <w:pStyle w:val="Compact"/>
              <w:jc w:val="left"/>
            </w:pPr>
            <w:r>
              <w:t xml:space="preserve">Create draft changes pending human approval</w:t>
            </w:r>
          </w:p>
        </w:tc>
      </w:tr>
      <w:tr>
        <w:tc>
          <w:tcPr/>
          <w:p>
            <w:pPr>
              <w:pStyle w:val="Compact"/>
              <w:jc w:val="left"/>
            </w:pPr>
            <w:r>
              <w:rPr>
                <w:bCs/>
                <w:b/>
              </w:rPr>
              <w:t xml:space="preserve">Analysis</w:t>
            </w:r>
          </w:p>
        </w:tc>
        <w:tc>
          <w:tcPr/>
          <w:p>
            <w:pPr>
              <w:pStyle w:val="Compact"/>
              <w:jc w:val="left"/>
            </w:pPr>
            <w:r>
              <w:rPr>
                <w:rStyle w:val="VerbatimChar"/>
              </w:rPr>
              <w:t xml:space="preserve">analyze_creative_fatigue</w:t>
            </w:r>
            <w:r>
              <w:t xml:space="preserve">,</w:t>
            </w:r>
            <w:r>
              <w:t xml:space="preserve"> </w:t>
            </w:r>
            <w:r>
              <w:rPr>
                <w:rStyle w:val="VerbatimChar"/>
              </w:rPr>
              <w:t xml:space="preserve">forecast_budget</w:t>
            </w:r>
            <w:r>
              <w:t xml:space="preserve">,</w:t>
            </w:r>
            <w:r>
              <w:t xml:space="preserve"> </w:t>
            </w:r>
            <w:r>
              <w:rPr>
                <w:rStyle w:val="VerbatimChar"/>
              </w:rPr>
              <w:t xml:space="preserve">detect_anomalies</w:t>
            </w:r>
          </w:p>
        </w:tc>
        <w:tc>
          <w:tcPr/>
          <w:p>
            <w:pPr>
              <w:pStyle w:val="Compact"/>
              <w:jc w:val="left"/>
            </w:pPr>
            <w:r>
              <w:t xml:space="preserve">Run AI analysis and return structured insights</w:t>
            </w:r>
          </w:p>
        </w:tc>
      </w:tr>
      <w:tr>
        <w:tc>
          <w:tcPr/>
          <w:p>
            <w:pPr>
              <w:pStyle w:val="Compact"/>
              <w:jc w:val="left"/>
            </w:pPr>
            <w:r>
              <w:rPr>
                <w:bCs/>
                <w:b/>
              </w:rPr>
              <w:t xml:space="preserve">Reporting</w:t>
            </w:r>
          </w:p>
        </w:tc>
        <w:tc>
          <w:tcPr/>
          <w:p>
            <w:pPr>
              <w:pStyle w:val="Compact"/>
              <w:jc w:val="left"/>
            </w:pPr>
            <w:r>
              <w:rPr>
                <w:rStyle w:val="VerbatimChar"/>
              </w:rPr>
              <w:t xml:space="preserve">generate_morning_brief</w:t>
            </w:r>
            <w:r>
              <w:t xml:space="preserve">,</w:t>
            </w:r>
            <w:r>
              <w:t xml:space="preserve"> </w:t>
            </w:r>
            <w:r>
              <w:rPr>
                <w:rStyle w:val="VerbatimChar"/>
              </w:rPr>
              <w:t xml:space="preserve">create_report</w:t>
            </w:r>
            <w:r>
              <w:t xml:space="preserve">,</w:t>
            </w:r>
            <w:r>
              <w:t xml:space="preserve"> </w:t>
            </w:r>
            <w:r>
              <w:rPr>
                <w:rStyle w:val="VerbatimChar"/>
              </w:rPr>
              <w:t xml:space="preserve">share_to_slack</w:t>
            </w:r>
          </w:p>
        </w:tc>
        <w:tc>
          <w:tcPr/>
          <w:p>
            <w:pPr>
              <w:pStyle w:val="Compact"/>
              <w:jc w:val="left"/>
            </w:pPr>
            <w:r>
              <w:t xml:space="preserve">Produce and distribute reports</w:t>
            </w:r>
          </w:p>
        </w:tc>
      </w:tr>
      <w:tr>
        <w:tc>
          <w:tcPr/>
          <w:p>
            <w:pPr>
              <w:pStyle w:val="Compact"/>
              <w:jc w:val="left"/>
            </w:pPr>
            <w:r>
              <w:rPr>
                <w:bCs/>
                <w:b/>
              </w:rPr>
              <w:t xml:space="preserve">Approval</w:t>
            </w:r>
          </w:p>
        </w:tc>
        <w:tc>
          <w:tcPr/>
          <w:p>
            <w:pPr>
              <w:pStyle w:val="Compact"/>
              <w:jc w:val="left"/>
            </w:pPr>
            <w:r>
              <w:rPr>
                <w:rStyle w:val="VerbatimChar"/>
              </w:rPr>
              <w:t xml:space="preserve">approve_draft</w:t>
            </w:r>
            <w:r>
              <w:t xml:space="preserve">,</w:t>
            </w:r>
            <w:r>
              <w:t xml:space="preserve"> </w:t>
            </w:r>
            <w:r>
              <w:rPr>
                <w:rStyle w:val="VerbatimChar"/>
              </w:rPr>
              <w:t xml:space="preserve">reject_draft</w:t>
            </w:r>
            <w:r>
              <w:t xml:space="preserve">,</w:t>
            </w:r>
            <w:r>
              <w:t xml:space="preserve"> </w:t>
            </w:r>
            <w:r>
              <w:rPr>
                <w:rStyle w:val="VerbatimChar"/>
              </w:rPr>
              <w:t xml:space="preserve">modify_draft</w:t>
            </w:r>
          </w:p>
        </w:tc>
        <w:tc>
          <w:tcPr/>
          <w:p>
            <w:pPr>
              <w:pStyle w:val="Compact"/>
              <w:jc w:val="left"/>
            </w:pPr>
            <w:r>
              <w:t xml:space="preserve">Manage the human approval workflow</w:t>
            </w:r>
          </w:p>
        </w:tc>
      </w:tr>
      <w:tr>
        <w:tc>
          <w:tcPr/>
          <w:p>
            <w:pPr>
              <w:pStyle w:val="Compact"/>
              <w:jc w:val="left"/>
            </w:pPr>
            <w:r>
              <w:rPr>
                <w:bCs/>
                <w:b/>
              </w:rPr>
              <w:t xml:space="preserve">Platform Ops</w:t>
            </w:r>
          </w:p>
        </w:tc>
        <w:tc>
          <w:tcPr/>
          <w:p>
            <w:pPr>
              <w:pStyle w:val="Compact"/>
              <w:jc w:val="left"/>
            </w:pPr>
            <w:r>
              <w:rPr>
                <w:rStyle w:val="VerbatimChar"/>
              </w:rPr>
              <w:t xml:space="preserve">sync_meta_ads</w:t>
            </w:r>
            <w:r>
              <w:t xml:space="preserve">,</w:t>
            </w:r>
            <w:r>
              <w:t xml:space="preserve"> </w:t>
            </w:r>
            <w:r>
              <w:rPr>
                <w:rStyle w:val="VerbatimChar"/>
              </w:rPr>
              <w:t xml:space="preserve">sync_google_ads</w:t>
            </w:r>
            <w:r>
              <w:t xml:space="preserve">,</w:t>
            </w:r>
            <w:r>
              <w:t xml:space="preserve"> </w:t>
            </w:r>
            <w:r>
              <w:rPr>
                <w:rStyle w:val="VerbatimChar"/>
              </w:rPr>
              <w:t xml:space="preserve">sync_tiktok_ads</w:t>
            </w:r>
          </w:p>
        </w:tc>
        <w:tc>
          <w:tcPr/>
          <w:p>
            <w:pPr>
              <w:pStyle w:val="Compact"/>
              <w:jc w:val="left"/>
            </w:pPr>
            <w:r>
              <w:t xml:space="preserve">Synchronize data with external platforms</w:t>
            </w:r>
          </w:p>
        </w:tc>
      </w:tr>
    </w:tbl>
    <w:p>
      <w:pPr>
        <w:pStyle w:val="BodyText"/>
      </w:pPr>
      <w:r>
        <w:t xml:space="preserve">This MCP-native design means that a user can connect Claude Desktop (or any MCP client) to AdNexus and execute commands such as:</w:t>
      </w:r>
      <w:r>
        <w:t xml:space="preserve"> </w:t>
      </w:r>
      <w:r>
        <w:rPr>
          <w:iCs/>
          <w:i/>
        </w:rPr>
        <w:t xml:space="preserve">“</w:t>
      </w:r>
      <w:r>
        <w:rPr>
          <w:iCs/>
          <w:i/>
        </w:rPr>
        <w:t xml:space="preserve">Analyze my Meta campaigns from last week, identify the top three underperformers by ROAS, and create budget reallocation drafts to shift spend to the highest performers</w:t>
      </w:r>
      <w:r>
        <w:rPr>
          <w:iCs/>
          <w:i/>
        </w:rPr>
        <w:t xml:space="preserve">”</w:t>
      </w:r>
      <w:r>
        <w:t xml:space="preserve"> </w:t>
      </w:r>
      <w:r>
        <w:t xml:space="preserve">— with every proposed change appearing as an approval-queue draft before any live deployment.</w:t>
      </w:r>
    </w:p>
    <w:bookmarkEnd w:id="46"/>
    <w:bookmarkStart w:id="47" w:name="cross-platform-unification-layer"/>
    <w:p>
      <w:pPr>
        <w:pStyle w:val="Heading3"/>
      </w:pPr>
      <w:r>
        <w:t xml:space="preserve">5.4 Cross-Platform Unification Layer</w:t>
      </w:r>
    </w:p>
    <w:p>
      <w:pPr>
        <w:pStyle w:val="FirstParagraph"/>
      </w:pPr>
      <w:r>
        <w:t xml:space="preserve">AdNexus normalizes data and operations across Meta Ads, Google Ads, TikTok Ads, and Snap Ads into a single unified abstraction layer. Marketers no longer need to context-switch between four different interfaces, four different metric definitions, and four different optimization workflows.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Meta Ads</w:t>
            </w:r>
          </w:p>
        </w:tc>
        <w:tc>
          <w:tcPr/>
          <w:p>
            <w:pPr>
              <w:pStyle w:val="Compact"/>
              <w:jc w:val="left"/>
            </w:pPr>
            <w:r>
              <w:t xml:space="preserve">Google Ads</w:t>
            </w:r>
          </w:p>
        </w:tc>
        <w:tc>
          <w:tcPr/>
          <w:p>
            <w:pPr>
              <w:pStyle w:val="Compact"/>
              <w:jc w:val="left"/>
            </w:pPr>
            <w:r>
              <w:t xml:space="preserve">TikTok Ads</w:t>
            </w:r>
          </w:p>
        </w:tc>
        <w:tc>
          <w:tcPr/>
          <w:p>
            <w:pPr>
              <w:pStyle w:val="Compact"/>
              <w:jc w:val="left"/>
            </w:pPr>
            <w:r>
              <w:t xml:space="preserve">Snap Ads</w:t>
            </w:r>
          </w:p>
        </w:tc>
        <w:tc>
          <w:tcPr/>
          <w:p>
            <w:pPr>
              <w:pStyle w:val="Compact"/>
              <w:jc w:val="left"/>
            </w:pPr>
            <w:r>
              <w:t xml:space="preserve">AdNexus Unified</w:t>
            </w:r>
          </w:p>
        </w:tc>
      </w:tr>
      <w:tr>
        <w:tc>
          <w:tcPr/>
          <w:p>
            <w:pPr>
              <w:pStyle w:val="Compact"/>
              <w:jc w:val="left"/>
            </w:pPr>
            <w:r>
              <w:rPr>
                <w:bCs/>
                <w:b/>
              </w:rPr>
              <w:t xml:space="preserve">Primary Objective</w:t>
            </w:r>
          </w:p>
        </w:tc>
        <w:tc>
          <w:tcPr/>
          <w:p>
            <w:pPr>
              <w:pStyle w:val="Compact"/>
              <w:jc w:val="left"/>
            </w:pPr>
            <w:r>
              <w:t xml:space="preserve">Conversions, ROAS</w:t>
            </w:r>
          </w:p>
        </w:tc>
        <w:tc>
          <w:tcPr/>
          <w:p>
            <w:pPr>
              <w:pStyle w:val="Compact"/>
              <w:jc w:val="left"/>
            </w:pPr>
            <w:r>
              <w:t xml:space="preserve">Conversions, CPA</w:t>
            </w:r>
          </w:p>
        </w:tc>
        <w:tc>
          <w:tcPr/>
          <w:p>
            <w:pPr>
              <w:pStyle w:val="Compact"/>
              <w:jc w:val="left"/>
            </w:pPr>
            <w:r>
              <w:t xml:space="preserve">App Installs, CPM</w:t>
            </w:r>
          </w:p>
        </w:tc>
        <w:tc>
          <w:tcPr/>
          <w:p>
            <w:pPr>
              <w:pStyle w:val="Compact"/>
              <w:jc w:val="left"/>
            </w:pPr>
            <w:r>
              <w:t xml:space="preserve">Awareness, CPI</w:t>
            </w:r>
          </w:p>
        </w:tc>
        <w:tc>
          <w:tcPr/>
          <w:p>
            <w:pPr>
              <w:pStyle w:val="Compact"/>
              <w:jc w:val="left"/>
            </w:pPr>
            <w:r>
              <w:t xml:space="preserve">Normalized to ROAS/CPA/CTR</w:t>
            </w:r>
          </w:p>
        </w:tc>
      </w:tr>
      <w:tr>
        <w:tc>
          <w:tcPr/>
          <w:p>
            <w:pPr>
              <w:pStyle w:val="Compact"/>
              <w:jc w:val="left"/>
            </w:pPr>
            <w:r>
              <w:rPr>
                <w:bCs/>
                <w:b/>
              </w:rPr>
              <w:t xml:space="preserve">Campaign Structure</w:t>
            </w:r>
          </w:p>
        </w:tc>
        <w:tc>
          <w:tcPr/>
          <w:p>
            <w:pPr>
              <w:pStyle w:val="Compact"/>
              <w:jc w:val="left"/>
            </w:pPr>
            <w:r>
              <w:t xml:space="preserve">Campaign &gt; Ad Set &gt; Ad</w:t>
            </w:r>
          </w:p>
        </w:tc>
        <w:tc>
          <w:tcPr/>
          <w:p>
            <w:pPr>
              <w:pStyle w:val="Compact"/>
              <w:jc w:val="left"/>
            </w:pPr>
            <w:r>
              <w:t xml:space="preserve">Campaign &gt; Ad Group &gt; Ad</w:t>
            </w:r>
          </w:p>
        </w:tc>
        <w:tc>
          <w:tcPr/>
          <w:p>
            <w:pPr>
              <w:pStyle w:val="Compact"/>
              <w:jc w:val="left"/>
            </w:pPr>
            <w:r>
              <w:t xml:space="preserve">Campaign &gt; Ad Group &gt; Ad</w:t>
            </w:r>
          </w:p>
        </w:tc>
        <w:tc>
          <w:tcPr/>
          <w:p>
            <w:pPr>
              <w:pStyle w:val="Compact"/>
              <w:jc w:val="left"/>
            </w:pPr>
            <w:r>
              <w:t xml:space="preserve">Campaign &gt; Ad Squad &gt; Ad</w:t>
            </w:r>
          </w:p>
        </w:tc>
        <w:tc>
          <w:tcPr/>
          <w:p>
            <w:pPr>
              <w:pStyle w:val="Compact"/>
              <w:jc w:val="left"/>
            </w:pPr>
            <w:r>
              <w:t xml:space="preserve">Unified: Campaign &gt; Group &gt; Creative</w:t>
            </w:r>
          </w:p>
        </w:tc>
      </w:tr>
      <w:tr>
        <w:tc>
          <w:tcPr/>
          <w:p>
            <w:pPr>
              <w:pStyle w:val="Compact"/>
              <w:jc w:val="left"/>
            </w:pPr>
            <w:r>
              <w:rPr>
                <w:bCs/>
                <w:b/>
              </w:rPr>
              <w:t xml:space="preserve">Attribution Window</w:t>
            </w:r>
          </w:p>
        </w:tc>
        <w:tc>
          <w:tcPr/>
          <w:p>
            <w:pPr>
              <w:pStyle w:val="Compact"/>
              <w:jc w:val="left"/>
            </w:pPr>
            <w:r>
              <w:t xml:space="preserve">7-day click, 1-day view</w:t>
            </w:r>
          </w:p>
        </w:tc>
        <w:tc>
          <w:tcPr/>
          <w:p>
            <w:pPr>
              <w:pStyle w:val="Compact"/>
              <w:jc w:val="left"/>
            </w:pPr>
            <w:r>
              <w:t xml:space="preserve">90-day click, 1-day view</w:t>
            </w:r>
          </w:p>
        </w:tc>
        <w:tc>
          <w:tcPr/>
          <w:p>
            <w:pPr>
              <w:pStyle w:val="Compact"/>
              <w:jc w:val="left"/>
            </w:pPr>
            <w:r>
              <w:t xml:space="preserve">7-day click, 1-day view</w:t>
            </w:r>
          </w:p>
        </w:tc>
        <w:tc>
          <w:tcPr/>
          <w:p>
            <w:pPr>
              <w:pStyle w:val="Compact"/>
              <w:jc w:val="left"/>
            </w:pPr>
            <w:r>
              <w:t xml:space="preserve">7-day swipe-up</w:t>
            </w:r>
          </w:p>
        </w:tc>
        <w:tc>
          <w:tcPr/>
          <w:p>
            <w:pPr>
              <w:pStyle w:val="Compact"/>
              <w:jc w:val="left"/>
            </w:pPr>
            <w:r>
              <w:t xml:space="preserve">Normalized to configurable hybrid</w:t>
            </w:r>
          </w:p>
        </w:tc>
      </w:tr>
      <w:tr>
        <w:tc>
          <w:tcPr/>
          <w:p>
            <w:pPr>
              <w:pStyle w:val="Compact"/>
              <w:jc w:val="left"/>
            </w:pPr>
            <w:r>
              <w:rPr>
                <w:bCs/>
                <w:b/>
              </w:rPr>
              <w:t xml:space="preserve">Creative Format</w:t>
            </w:r>
          </w:p>
        </w:tc>
        <w:tc>
          <w:tcPr/>
          <w:p>
            <w:pPr>
              <w:pStyle w:val="Compact"/>
              <w:jc w:val="left"/>
            </w:pPr>
            <w:r>
              <w:t xml:space="preserve">Image, Video, Carousel</w:t>
            </w:r>
          </w:p>
        </w:tc>
        <w:tc>
          <w:tcPr/>
          <w:p>
            <w:pPr>
              <w:pStyle w:val="Compact"/>
              <w:jc w:val="left"/>
            </w:pPr>
            <w:r>
              <w:t xml:space="preserve">Responsive Search, PMAX, Display</w:t>
            </w:r>
          </w:p>
        </w:tc>
        <w:tc>
          <w:tcPr/>
          <w:p>
            <w:pPr>
              <w:pStyle w:val="Compact"/>
              <w:jc w:val="left"/>
            </w:pPr>
            <w:r>
              <w:t xml:space="preserve">Video, Spark Ads</w:t>
            </w:r>
          </w:p>
        </w:tc>
        <w:tc>
          <w:tcPr/>
          <w:p>
            <w:pPr>
              <w:pStyle w:val="Compact"/>
              <w:jc w:val="left"/>
            </w:pPr>
            <w:r>
              <w:t xml:space="preserve">Snap Ad, Story, Collection</w:t>
            </w:r>
          </w:p>
        </w:tc>
        <w:tc>
          <w:tcPr/>
          <w:p>
            <w:pPr>
              <w:pStyle w:val="Compact"/>
              <w:jc w:val="left"/>
            </w:pPr>
            <w:r>
              <w:t xml:space="preserve">Unified creative library with platform-specific variants</w:t>
            </w:r>
          </w:p>
        </w:tc>
      </w:tr>
      <w:tr>
        <w:tc>
          <w:tcPr/>
          <w:p>
            <w:pPr>
              <w:pStyle w:val="Compact"/>
              <w:jc w:val="left"/>
            </w:pPr>
            <w:r>
              <w:rPr>
                <w:bCs/>
                <w:b/>
              </w:rPr>
              <w:t xml:space="preserve">Budget Type</w:t>
            </w:r>
          </w:p>
        </w:tc>
        <w:tc>
          <w:tcPr/>
          <w:p>
            <w:pPr>
              <w:pStyle w:val="Compact"/>
              <w:jc w:val="left"/>
            </w:pPr>
            <w:r>
              <w:t xml:space="preserve">Daily/lifetime budget</w:t>
            </w:r>
          </w:p>
        </w:tc>
        <w:tc>
          <w:tcPr/>
          <w:p>
            <w:pPr>
              <w:pStyle w:val="Compact"/>
              <w:jc w:val="left"/>
            </w:pPr>
            <w:r>
              <w:t xml:space="preserve">Daily budget, Shared budgets</w:t>
            </w:r>
          </w:p>
        </w:tc>
        <w:tc>
          <w:tcPr/>
          <w:p>
            <w:pPr>
              <w:pStyle w:val="Compact"/>
              <w:jc w:val="left"/>
            </w:pPr>
            <w:r>
              <w:t xml:space="preserve">Daily/lifetime budget</w:t>
            </w:r>
          </w:p>
        </w:tc>
        <w:tc>
          <w:tcPr/>
          <w:p>
            <w:pPr>
              <w:pStyle w:val="Compact"/>
              <w:jc w:val="left"/>
            </w:pPr>
            <w:r>
              <w:t xml:space="preserve">Daily/lifetime budget</w:t>
            </w:r>
          </w:p>
        </w:tc>
        <w:tc>
          <w:tcPr/>
          <w:p>
            <w:pPr>
              <w:pStyle w:val="Compact"/>
              <w:jc w:val="left"/>
            </w:pPr>
            <w:r>
              <w:t xml:space="preserve">Unified budget object with pacing logic</w:t>
            </w:r>
          </w:p>
        </w:tc>
      </w:tr>
      <w:tr>
        <w:tc>
          <w:tcPr/>
          <w:p>
            <w:pPr>
              <w:pStyle w:val="Compact"/>
              <w:jc w:val="left"/>
            </w:pPr>
            <w:r>
              <w:rPr>
                <w:bCs/>
                <w:b/>
              </w:rPr>
              <w:t xml:space="preserve">API Complexity</w:t>
            </w:r>
          </w:p>
        </w:tc>
        <w:tc>
          <w:tcPr/>
          <w:p>
            <w:pPr>
              <w:pStyle w:val="Compact"/>
              <w:jc w:val="left"/>
            </w:pPr>
            <w:r>
              <w:t xml:space="preserve">Graph API (moderate)</w:t>
            </w:r>
          </w:p>
        </w:tc>
        <w:tc>
          <w:tcPr/>
          <w:p>
            <w:pPr>
              <w:pStyle w:val="Compact"/>
              <w:jc w:val="left"/>
            </w:pPr>
            <w:r>
              <w:t xml:space="preserve">REST + gRPC (high)</w:t>
            </w:r>
          </w:p>
        </w:tc>
        <w:tc>
          <w:tcPr/>
          <w:p>
            <w:pPr>
              <w:pStyle w:val="Compact"/>
              <w:jc w:val="left"/>
            </w:pPr>
            <w:r>
              <w:t xml:space="preserve">REST (moderate)</w:t>
            </w:r>
          </w:p>
        </w:tc>
        <w:tc>
          <w:tcPr/>
          <w:p>
            <w:pPr>
              <w:pStyle w:val="Compact"/>
              <w:jc w:val="left"/>
            </w:pPr>
            <w:r>
              <w:t xml:space="preserve">REST (moderate)</w:t>
            </w:r>
          </w:p>
        </w:tc>
        <w:tc>
          <w:tcPr/>
          <w:p>
            <w:pPr>
              <w:pStyle w:val="Compact"/>
              <w:jc w:val="left"/>
            </w:pPr>
            <w:r>
              <w:t xml:space="preserve">Single REST API + MCP tools</w:t>
            </w:r>
          </w:p>
        </w:tc>
      </w:tr>
    </w:tbl>
    <w:bookmarkEnd w:id="47"/>
    <w:bookmarkStart w:id="48" w:name="core-philosophy"/>
    <w:p>
      <w:pPr>
        <w:pStyle w:val="Heading3"/>
      </w:pPr>
      <w:r>
        <w:t xml:space="preserve">5.5 Core Philosophy</w:t>
      </w:r>
    </w:p>
    <w:p>
      <w:pPr>
        <w:pStyle w:val="FirstParagraph"/>
      </w:pPr>
      <w:r>
        <w:t xml:space="preserve">The product is governed by four foundational principles that guide every design and engineering decision:</w:t>
      </w:r>
    </w:p>
    <w:p>
      <w:pPr>
        <w:pStyle w:val="BodyText"/>
      </w:pPr>
      <w:r>
        <w:rPr>
          <w:bCs/>
          <w:b/>
        </w:rPr>
        <w:t xml:space="preserve">1. Trust through Transparency</w:t>
      </w:r>
      <w:r>
        <w:t xml:space="preserve"> </w:t>
      </w:r>
      <w:r>
        <w:t xml:space="preserve">Every AI decision is fully explainable. The system maintains a complete reasoning chain for each recommendation, citing the data sources, the analytical method, and the confidence level. Users can drill down from a high-level recommendation to the individual data points that informed it. The goal is zero</w:t>
      </w:r>
      <w:r>
        <w:t xml:space="preserve"> </w:t>
      </w:r>
      <w:r>
        <w:t xml:space="preserve">“</w:t>
      </w:r>
      <w:r>
        <w:t xml:space="preserve">black box</w:t>
      </w:r>
      <w:r>
        <w:t xml:space="preserve">”</w:t>
      </w:r>
      <w:r>
        <w:t xml:space="preserve"> </w:t>
      </w:r>
      <w:r>
        <w:t xml:space="preserve">moments — if the AI suggests a change, the user understands exactly why.</w:t>
      </w:r>
    </w:p>
    <w:p>
      <w:pPr>
        <w:pStyle w:val="BodyText"/>
      </w:pPr>
      <w:r>
        <w:rPr>
          <w:bCs/>
          <w:b/>
        </w:rPr>
        <w:t xml:space="preserve">2. Control through Drafts</w:t>
      </w:r>
      <w:r>
        <w:t xml:space="preserve"> </w:t>
      </w:r>
      <w:r>
        <w:t xml:space="preserve">Nothing goes live without human approval. The draft-first workflow is non-negotiable. Even low-risk auto-execute actions (see Section 8) are logged, reversible, and subject to override. This principle ensures that AI augments human judgment rather than replacing it.</w:t>
      </w:r>
    </w:p>
    <w:p>
      <w:pPr>
        <w:pStyle w:val="BodyText"/>
      </w:pPr>
      <w:r>
        <w:rPr>
          <w:bCs/>
          <w:b/>
        </w:rPr>
        <w:t xml:space="preserve">3. Speed through Intelligence</w:t>
      </w:r>
      <w:r>
        <w:t xml:space="preserve"> </w:t>
      </w:r>
      <w:r>
        <w:t xml:space="preserve">AI handles the time-consuming analytical work — pattern detection across millions of data points, cross-platform performance comparison, budget modeling, creative fatigue monitoring — so that human marketers can focus on high-leverage decisions: strategy, messaging, creative direction, and customer insight.</w:t>
      </w:r>
    </w:p>
    <w:p>
      <w:pPr>
        <w:pStyle w:val="BodyText"/>
      </w:pPr>
      <w:r>
        <w:rPr>
          <w:bCs/>
          <w:b/>
        </w:rPr>
        <w:t xml:space="preserve">4. Unity through Integration</w:t>
      </w:r>
      <w:r>
        <w:t xml:space="preserve"> </w:t>
      </w:r>
      <w:r>
        <w:t xml:space="preserve">One workspace for all platforms. One login. One billing model. One reporting framework. One approval workflow. The elimination of context-switching and data reconciliation between platforms saves an estimated 8-12 hours per week for a typical campaign manager.</w:t>
      </w:r>
    </w:p>
    <w:p>
      <w:r>
        <w:pict>
          <v:rect style="width:0;height:1.5pt" o:hralign="center" o:hrstd="t" o:hr="t"/>
        </w:pict>
      </w:r>
    </w:p>
    <w:bookmarkEnd w:id="48"/>
    <w:bookmarkEnd w:id="49"/>
    <w:bookmarkStart w:id="56" w:name="feature-roadmap-18-month"/>
    <w:p>
      <w:pPr>
        <w:pStyle w:val="Heading2"/>
      </w:pPr>
      <w:r>
        <w:t xml:space="preserve">6. Feature Roadmap (18-Month)</w:t>
      </w:r>
    </w:p>
    <w:bookmarkStart w:id="50" w:name="overview"/>
    <w:p>
      <w:pPr>
        <w:pStyle w:val="Heading3"/>
      </w:pPr>
      <w:r>
        <w:t xml:space="preserve">Overview</w:t>
      </w:r>
    </w:p>
    <w:p>
      <w:pPr>
        <w:pStyle w:val="FirstParagraph"/>
      </w:pPr>
      <w:r>
        <w:t xml:space="preserve">The 18-month roadmap is organized into five phases, each with distinct strategic objectives, deliverables, and success metrics. The approach prioritizes platform stability and core workflow validation before layering advanced intelligence and enterprise features.</w:t>
      </w:r>
    </w:p>
    <w:p>
      <w:pPr>
        <w:pStyle w:val="SourceCode"/>
      </w:pPr>
      <w:r>
        <w:rPr>
          <w:rStyle w:val="VerbatimChar"/>
        </w:rPr>
        <w:t xml:space="preserve">┌─────────────────────────────────────────────────────────────────────┐</w:t>
      </w:r>
      <w:r>
        <w:br/>
      </w:r>
      <w:r>
        <w:rPr>
          <w:rStyle w:val="VerbatimChar"/>
        </w:rPr>
        <w:t xml:space="preserve">│              ADNEXUS 18-MONTH FEATURE ROADMAP                        │</w:t>
      </w:r>
      <w:r>
        <w:br/>
      </w:r>
      <w:r>
        <w:rPr>
          <w:rStyle w:val="VerbatimChar"/>
        </w:rPr>
        <w:t xml:space="preserve">├──────────┬──────────┬──────────┬──────────┬─────────────────────────┤</w:t>
      </w:r>
      <w:r>
        <w:br/>
      </w:r>
      <w:r>
        <w:rPr>
          <w:rStyle w:val="VerbatimChar"/>
        </w:rPr>
        <w:t xml:space="preserve">│  Phase 1 │  Phase 2 │  Phase 3 │  Phase 4 │       Phase 5           │</w:t>
      </w:r>
      <w:r>
        <w:br/>
      </w:r>
      <w:r>
        <w:rPr>
          <w:rStyle w:val="VerbatimChar"/>
        </w:rPr>
        <w:t xml:space="preserve">│Foundation│Intelligence│Differentiation│ Scale  │    Enterprise         │</w:t>
      </w:r>
      <w:r>
        <w:br/>
      </w:r>
      <w:r>
        <w:rPr>
          <w:rStyle w:val="VerbatimChar"/>
        </w:rPr>
        <w:t xml:space="preserve">│ Months 1-3│ Months 4-6│ Months 7-9│Months 10-12│  Months 13-18      │</w:t>
      </w:r>
      <w:r>
        <w:br/>
      </w:r>
      <w:r>
        <w:rPr>
          <w:rStyle w:val="VerbatimChar"/>
        </w:rPr>
        <w:t xml:space="preserve">├──────────┼──────────┼──────────┼──────────┼─────────────────────────┤</w:t>
      </w:r>
      <w:r>
        <w:br/>
      </w:r>
      <w:r>
        <w:rPr>
          <w:rStyle w:val="VerbatimChar"/>
        </w:rPr>
        <w:t xml:space="preserve">│ 2 Core   │ +2 More  │ Competitive│ Portfolio│ Enterprise Governance   │</w:t>
      </w:r>
      <w:r>
        <w:br/>
      </w:r>
      <w:r>
        <w:rPr>
          <w:rStyle w:val="VerbatimChar"/>
        </w:rPr>
        <w:t xml:space="preserve">│ Platforms│ Platforms│ Intel    │ Optimizer│ Compliance &amp; SSO        │</w:t>
      </w:r>
      <w:r>
        <w:br/>
      </w:r>
      <w:r>
        <w:rPr>
          <w:rStyle w:val="VerbatimChar"/>
        </w:rPr>
        <w:t xml:space="preserve">│ Dashboard│ AI Agent │ Cross-   │ NLP MCP  │ Custom AI Models        │</w:t>
      </w:r>
      <w:r>
        <w:br/>
      </w:r>
      <w:r>
        <w:rPr>
          <w:rStyle w:val="VerbatimChar"/>
        </w:rPr>
        <w:t xml:space="preserve">│ Draft    │ Creative │ Platform │ Tools    │ Advanced Attribution    │</w:t>
      </w:r>
      <w:r>
        <w:br/>
      </w:r>
      <w:r>
        <w:rPr>
          <w:rStyle w:val="VerbatimChar"/>
        </w:rPr>
        <w:t xml:space="preserve">│ Workflow │ Fatigue  │ Creative │ Calendar │ Agency Architecture     │</w:t>
      </w:r>
      <w:r>
        <w:br/>
      </w:r>
      <w:r>
        <w:rPr>
          <w:rStyle w:val="VerbatimChar"/>
        </w:rPr>
        <w:t xml:space="preserve">│ Basic AI │ Morning  │ Overlap  │ API      │                         │</w:t>
      </w:r>
      <w:r>
        <w:br/>
      </w:r>
      <w:r>
        <w:rPr>
          <w:rStyle w:val="VerbatimChar"/>
        </w:rPr>
        <w:t xml:space="preserve">│ Rules    │ Brief    │ Analysis │ Portal   │                         │</w:t>
      </w:r>
      <w:r>
        <w:br/>
      </w:r>
      <w:r>
        <w:rPr>
          <w:rStyle w:val="VerbatimChar"/>
        </w:rPr>
        <w:t xml:space="preserve">│ MCP v1   │ MCP v2   │ White-   │ Integra- │                         │</w:t>
      </w:r>
      <w:r>
        <w:br/>
      </w:r>
      <w:r>
        <w:rPr>
          <w:rStyle w:val="VerbatimChar"/>
        </w:rPr>
        <w:t xml:space="preserve">│          │          │ Label    │ tion Mkt │                         │</w:t>
      </w:r>
      <w:r>
        <w:br/>
      </w:r>
      <w:r>
        <w:rPr>
          <w:rStyle w:val="VerbatimChar"/>
        </w:rPr>
        <w:t xml:space="preserve">└──────────┴──────────┴──────────┴──────────┴─────────────────────────┘</w:t>
      </w:r>
    </w:p>
    <w:p>
      <w:r>
        <w:pict>
          <v:rect style="width:0;height:1.5pt" o:hralign="center" o:hrstd="t" o:hr="t"/>
        </w:pict>
      </w:r>
    </w:p>
    <w:bookmarkEnd w:id="50"/>
    <w:bookmarkStart w:id="51" w:name="phase-1-foundation-months-1-3"/>
    <w:p>
      <w:pPr>
        <w:pStyle w:val="Heading3"/>
      </w:pPr>
      <w:r>
        <w:t xml:space="preserve">6.1 Phase 1: Foundation (Months 1-3)</w:t>
      </w:r>
    </w:p>
    <w:p>
      <w:pPr>
        <w:pStyle w:val="FirstParagraph"/>
      </w:pPr>
      <w:r>
        <w:rPr>
          <w:bCs/>
          <w:b/>
        </w:rPr>
        <w:t xml:space="preserve">Strategic Objective:</w:t>
      </w:r>
      <w:r>
        <w:t xml:space="preserve"> </w:t>
      </w:r>
      <w:r>
        <w:t xml:space="preserve">Build the core platform infrastructure, establish the draft-first workflow, and deliver value on the two highest-revenue platforms (Meta and Google).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Meta + Google Ads API Integration</w:t>
            </w:r>
          </w:p>
        </w:tc>
        <w:tc>
          <w:tcPr/>
          <w:p>
            <w:pPr>
              <w:pStyle w:val="Compact"/>
              <w:jc w:val="left"/>
            </w:pPr>
            <w:r>
              <w:t xml:space="preserve">P0</w:t>
            </w:r>
          </w:p>
        </w:tc>
        <w:tc>
          <w:tcPr/>
          <w:p>
            <w:pPr>
              <w:pStyle w:val="Compact"/>
              <w:jc w:val="left"/>
            </w:pPr>
            <w:r>
              <w:t xml:space="preserve">Full read/write API integration with Meta Marketing API and Google Ads API; bidirectional sync for campaigns, ad sets, ads, creatives, audiences, and metrics</w:t>
            </w:r>
          </w:p>
        </w:tc>
        <w:tc>
          <w:tcPr/>
          <w:p>
            <w:pPr>
              <w:pStyle w:val="Compact"/>
              <w:jc w:val="left"/>
            </w:pPr>
            <w:r>
              <w:t xml:space="preserve">99.5% sync accuracy; &lt;60s data freshness</w:t>
            </w:r>
          </w:p>
        </w:tc>
      </w:tr>
      <w:tr>
        <w:tc>
          <w:tcPr/>
          <w:p>
            <w:pPr>
              <w:pStyle w:val="Compact"/>
              <w:jc w:val="left"/>
            </w:pPr>
            <w:r>
              <w:t xml:space="preserve">Executive Dashboard</w:t>
            </w:r>
          </w:p>
        </w:tc>
        <w:tc>
          <w:tcPr/>
          <w:p>
            <w:pPr>
              <w:pStyle w:val="Compact"/>
              <w:jc w:val="left"/>
            </w:pPr>
            <w:r>
              <w:t xml:space="preserve">P0</w:t>
            </w:r>
          </w:p>
        </w:tc>
        <w:tc>
          <w:tcPr/>
          <w:p>
            <w:pPr>
              <w:pStyle w:val="Compact"/>
              <w:jc w:val="left"/>
            </w:pPr>
            <w:r>
              <w:t xml:space="preserve">Real-time KPI dashboard with charts, trend lines, and customizable widgets; supports ROAS, CPA, CTR, CPM, Conversion Rate, Spend, Revenue</w:t>
            </w:r>
          </w:p>
        </w:tc>
        <w:tc>
          <w:tcPr/>
          <w:p>
            <w:pPr>
              <w:pStyle w:val="Compact"/>
              <w:jc w:val="left"/>
            </w:pPr>
            <w:r>
              <w:t xml:space="preserve">&lt;2s page load; 15+ visualization types</w:t>
            </w:r>
          </w:p>
        </w:tc>
      </w:tr>
      <w:tr>
        <w:tc>
          <w:tcPr/>
          <w:p>
            <w:pPr>
              <w:pStyle w:val="Compact"/>
              <w:jc w:val="left"/>
            </w:pPr>
            <w:r>
              <w:t xml:space="preserve">Alert System</w:t>
            </w:r>
          </w:p>
        </w:tc>
        <w:tc>
          <w:tcPr/>
          <w:p>
            <w:pPr>
              <w:pStyle w:val="Compact"/>
              <w:jc w:val="left"/>
            </w:pPr>
            <w:r>
              <w:t xml:space="preserve">P0</w:t>
            </w:r>
          </w:p>
        </w:tc>
        <w:tc>
          <w:tcPr/>
          <w:p>
            <w:pPr>
              <w:pStyle w:val="Compact"/>
              <w:jc w:val="left"/>
            </w:pPr>
            <w:r>
              <w:t xml:space="preserve">Configurable threshold alerts (spike detection, budget cap, performance drop) delivered via in-app, email, and Slack</w:t>
            </w:r>
          </w:p>
        </w:tc>
        <w:tc>
          <w:tcPr/>
          <w:p>
            <w:pPr>
              <w:pStyle w:val="Compact"/>
              <w:jc w:val="left"/>
            </w:pPr>
            <w:r>
              <w:t xml:space="preserve">&lt;30s alert latency; 100% delivery rate</w:t>
            </w:r>
          </w:p>
        </w:tc>
      </w:tr>
      <w:tr>
        <w:tc>
          <w:tcPr/>
          <w:p>
            <w:pPr>
              <w:pStyle w:val="Compact"/>
              <w:jc w:val="left"/>
            </w:pPr>
            <w:r>
              <w:t xml:space="preserve">Campaign CRUD with Draft Workflow</w:t>
            </w:r>
          </w:p>
        </w:tc>
        <w:tc>
          <w:tcPr/>
          <w:p>
            <w:pPr>
              <w:pStyle w:val="Compact"/>
              <w:jc w:val="left"/>
            </w:pPr>
            <w:r>
              <w:t xml:space="preserve">P0</w:t>
            </w:r>
          </w:p>
        </w:tc>
        <w:tc>
          <w:tcPr/>
          <w:p>
            <w:pPr>
              <w:pStyle w:val="Compact"/>
              <w:jc w:val="left"/>
            </w:pPr>
            <w:r>
              <w:t xml:space="preserve">Full campaign creation, read, update, delete with mandatory draft-first approval; supports campaign cloning and templating</w:t>
            </w:r>
          </w:p>
        </w:tc>
        <w:tc>
          <w:tcPr/>
          <w:p>
            <w:pPr>
              <w:pStyle w:val="Compact"/>
              <w:jc w:val="left"/>
            </w:pPr>
            <w:r>
              <w:t xml:space="preserve">Zero unapproved live changes; &lt;5s draft creation</w:t>
            </w:r>
          </w:p>
        </w:tc>
      </w:tr>
      <w:tr>
        <w:tc>
          <w:tcPr/>
          <w:p>
            <w:pPr>
              <w:pStyle w:val="Compact"/>
              <w:jc w:val="left"/>
            </w:pPr>
            <w:r>
              <w:t xml:space="preserve">Basic AI Rules Engine</w:t>
            </w:r>
          </w:p>
        </w:tc>
        <w:tc>
          <w:tcPr/>
          <w:p>
            <w:pPr>
              <w:pStyle w:val="Compact"/>
              <w:jc w:val="left"/>
            </w:pPr>
            <w:r>
              <w:t xml:space="preserve">P1</w:t>
            </w:r>
          </w:p>
        </w:tc>
        <w:tc>
          <w:tcPr/>
          <w:p>
            <w:pPr>
              <w:pStyle w:val="Compact"/>
              <w:jc w:val="left"/>
            </w:pPr>
            <w:r>
              <w:t xml:space="preserve">Rule-based optimization: pause if CPA &gt; X, scale if ROAS &gt; Y, notify if spend deviation &gt; Z%; configurable per campaign or workspace</w:t>
            </w:r>
          </w:p>
        </w:tc>
        <w:tc>
          <w:tcPr/>
          <w:p>
            <w:pPr>
              <w:pStyle w:val="Compact"/>
              <w:jc w:val="left"/>
            </w:pPr>
            <w:r>
              <w:t xml:space="preserve">100% rule execution accuracy; &lt;1 min rule evaluation</w:t>
            </w:r>
          </w:p>
        </w:tc>
      </w:tr>
      <w:tr>
        <w:tc>
          <w:tcPr/>
          <w:p>
            <w:pPr>
              <w:pStyle w:val="Compact"/>
              <w:jc w:val="left"/>
            </w:pPr>
            <w:r>
              <w:t xml:space="preserve">User Authentication &amp; Authorization</w:t>
            </w:r>
          </w:p>
        </w:tc>
        <w:tc>
          <w:tcPr/>
          <w:p>
            <w:pPr>
              <w:pStyle w:val="Compact"/>
              <w:jc w:val="left"/>
            </w:pPr>
            <w:r>
              <w:t xml:space="preserve">P0</w:t>
            </w:r>
          </w:p>
        </w:tc>
        <w:tc>
          <w:tcPr/>
          <w:p>
            <w:pPr>
              <w:pStyle w:val="Compact"/>
              <w:jc w:val="left"/>
            </w:pPr>
            <w:r>
              <w:t xml:space="preserve">OAuth 2.0 + SSO-ready auth; role-based access control (Admin, Manager, Analyst, Viewer); workspace isolation</w:t>
            </w:r>
          </w:p>
        </w:tc>
        <w:tc>
          <w:tcPr/>
          <w:p>
            <w:pPr>
              <w:pStyle w:val="Compact"/>
              <w:jc w:val="left"/>
            </w:pPr>
            <w:r>
              <w:t xml:space="preserve">SOC 2 Type I readiness</w:t>
            </w:r>
          </w:p>
        </w:tc>
      </w:tr>
      <w:tr>
        <w:tc>
          <w:tcPr/>
          <w:p>
            <w:pPr>
              <w:pStyle w:val="Compact"/>
              <w:jc w:val="left"/>
            </w:pPr>
            <w:r>
              <w:t xml:space="preserve">Team Management</w:t>
            </w:r>
          </w:p>
        </w:tc>
        <w:tc>
          <w:tcPr/>
          <w:p>
            <w:pPr>
              <w:pStyle w:val="Compact"/>
              <w:jc w:val="left"/>
            </w:pPr>
            <w:r>
              <w:t xml:space="preserve">P1</w:t>
            </w:r>
          </w:p>
        </w:tc>
        <w:tc>
          <w:tcPr/>
          <w:p>
            <w:pPr>
              <w:pStyle w:val="Compact"/>
              <w:jc w:val="left"/>
            </w:pPr>
            <w:r>
              <w:t xml:space="preserve">Invite users, assign roles, create workspaces, set approval hierarchies</w:t>
            </w:r>
          </w:p>
        </w:tc>
        <w:tc>
          <w:tcPr/>
          <w:p>
            <w:pPr>
              <w:pStyle w:val="Compact"/>
              <w:jc w:val="left"/>
            </w:pPr>
            <w:r>
              <w:t xml:space="preserve">Supports 50+ users per workspace</w:t>
            </w:r>
          </w:p>
        </w:tc>
      </w:tr>
      <w:tr>
        <w:tc>
          <w:tcPr/>
          <w:p>
            <w:pPr>
              <w:pStyle w:val="Compact"/>
              <w:jc w:val="left"/>
            </w:pPr>
            <w:r>
              <w:t xml:space="preserve">MCP Server v1</w:t>
            </w:r>
          </w:p>
        </w:tc>
        <w:tc>
          <w:tcPr/>
          <w:p>
            <w:pPr>
              <w:pStyle w:val="Compact"/>
              <w:jc w:val="left"/>
            </w:pPr>
            <w:r>
              <w:t xml:space="preserve">P1</w:t>
            </w:r>
          </w:p>
        </w:tc>
        <w:tc>
          <w:tcPr/>
          <w:p>
            <w:pPr>
              <w:pStyle w:val="Compact"/>
              <w:jc w:val="left"/>
            </w:pPr>
            <w:r>
              <w:t xml:space="preserve">Read-only MCP tools: list campaigns, get metrics, analyze performance, generate reports</w:t>
            </w:r>
          </w:p>
        </w:tc>
        <w:tc>
          <w:tcPr/>
          <w:p>
            <w:pPr>
              <w:pStyle w:val="Compact"/>
              <w:jc w:val="left"/>
            </w:pPr>
            <w:r>
              <w:t xml:space="preserve">5+ MCP tools; &lt;3s tool response time</w:t>
            </w:r>
          </w:p>
        </w:tc>
      </w:tr>
    </w:tbl>
    <w:p>
      <w:pPr>
        <w:pStyle w:val="BodyText"/>
      </w:pPr>
      <w:r>
        <w:rPr>
          <w:bCs/>
          <w:b/>
        </w:rPr>
        <w:t xml:space="preserve">Phase 1 Milestone:</w:t>
      </w:r>
      <w:r>
        <w:t xml:space="preserve"> </w:t>
      </w:r>
      <w:r>
        <w:t xml:space="preserve">First paying customer on Meta + Google workspace with full draft-approval workflow operational.</w:t>
      </w:r>
    </w:p>
    <w:p>
      <w:r>
        <w:pict>
          <v:rect style="width:0;height:1.5pt" o:hralign="center" o:hrstd="t" o:hr="t"/>
        </w:pict>
      </w:r>
    </w:p>
    <w:bookmarkEnd w:id="51"/>
    <w:bookmarkStart w:id="52" w:name="phase-2-intelligence-months-4-6"/>
    <w:p>
      <w:pPr>
        <w:pStyle w:val="Heading3"/>
      </w:pPr>
      <w:r>
        <w:t xml:space="preserve">6.2 Phase 2: Intelligence (Months 4-6)</w:t>
      </w:r>
    </w:p>
    <w:p>
      <w:pPr>
        <w:pStyle w:val="FirstParagraph"/>
      </w:pPr>
      <w:r>
        <w:rPr>
          <w:bCs/>
          <w:b/>
        </w:rPr>
        <w:t xml:space="preserve">Strategic Objective:</w:t>
      </w:r>
      <w:r>
        <w:t xml:space="preserve"> </w:t>
      </w:r>
      <w:r>
        <w:t xml:space="preserve">Layer AI-powered intelligence onto the foundation, expand platform coverage to TikTok and Snap, and introduce the first autonomous agent capabilities.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TikTok + Snap Ads API Integration</w:t>
            </w:r>
          </w:p>
        </w:tc>
        <w:tc>
          <w:tcPr/>
          <w:p>
            <w:pPr>
              <w:pStyle w:val="Compact"/>
              <w:jc w:val="left"/>
            </w:pPr>
            <w:r>
              <w:t xml:space="preserve">P0</w:t>
            </w:r>
          </w:p>
        </w:tc>
        <w:tc>
          <w:tcPr/>
          <w:p>
            <w:pPr>
              <w:pStyle w:val="Compact"/>
              <w:jc w:val="left"/>
            </w:pPr>
            <w:r>
              <w:t xml:space="preserve">Full read/write integration with TikTok for Business API and Snap Marketing API</w:t>
            </w:r>
          </w:p>
        </w:tc>
        <w:tc>
          <w:tcPr/>
          <w:p>
            <w:pPr>
              <w:pStyle w:val="Compact"/>
              <w:jc w:val="left"/>
            </w:pPr>
            <w:r>
              <w:t xml:space="preserve">99.5% sync accuracy; unified reporting across 4 platforms</w:t>
            </w:r>
          </w:p>
        </w:tc>
      </w:tr>
      <w:tr>
        <w:tc>
          <w:tcPr/>
          <w:p>
            <w:pPr>
              <w:pStyle w:val="Compact"/>
              <w:jc w:val="left"/>
            </w:pPr>
            <w:r>
              <w:t xml:space="preserve">AI Optimization Agent</w:t>
            </w:r>
          </w:p>
        </w:tc>
        <w:tc>
          <w:tcPr/>
          <w:p>
            <w:pPr>
              <w:pStyle w:val="Compact"/>
              <w:jc w:val="left"/>
            </w:pPr>
            <w:r>
              <w:t xml:space="preserve">P0</w:t>
            </w:r>
          </w:p>
        </w:tc>
        <w:tc>
          <w:tcPr/>
          <w:p>
            <w:pPr>
              <w:pStyle w:val="Compact"/>
              <w:jc w:val="left"/>
            </w:pPr>
            <w:r>
              <w:t xml:space="preserve">Autonomous monitoring agent that analyzes campaigns 24/7 and generates optimization drafts; includes bid optimization, budget reallocation, and audience refinement suggestions</w:t>
            </w:r>
          </w:p>
        </w:tc>
        <w:tc>
          <w:tcPr/>
          <w:p>
            <w:pPr>
              <w:pStyle w:val="Compact"/>
              <w:jc w:val="left"/>
            </w:pPr>
            <w:r>
              <w:t xml:space="preserve">10+ drafts/week per active workspace; &gt;80% approval rate on high-confidence recommendations</w:t>
            </w:r>
          </w:p>
        </w:tc>
      </w:tr>
      <w:tr>
        <w:tc>
          <w:tcPr/>
          <w:p>
            <w:pPr>
              <w:pStyle w:val="Compact"/>
              <w:jc w:val="left"/>
            </w:pPr>
            <w:r>
              <w:t xml:space="preserve">Creative Fatigue Detection</w:t>
            </w:r>
          </w:p>
        </w:tc>
        <w:tc>
          <w:tcPr/>
          <w:p>
            <w:pPr>
              <w:pStyle w:val="Compact"/>
              <w:jc w:val="left"/>
            </w:pPr>
            <w:r>
              <w:t xml:space="preserve">P1</w:t>
            </w:r>
          </w:p>
        </w:tc>
        <w:tc>
          <w:tcPr/>
          <w:p>
            <w:pPr>
              <w:pStyle w:val="Compact"/>
              <w:jc w:val="left"/>
            </w:pPr>
            <w:r>
              <w:t xml:space="preserve">Cross-platform creative performance analysis; detects when CTR, engagement, or conversion rate decline signals creative exhaustion; recommends refresh timing</w:t>
            </w:r>
          </w:p>
        </w:tc>
        <w:tc>
          <w:tcPr/>
          <w:p>
            <w:pPr>
              <w:pStyle w:val="Compact"/>
              <w:jc w:val="left"/>
            </w:pPr>
            <w:r>
              <w:t xml:space="preserve">Detection accuracy &gt;85%; average 3-day early warning</w:t>
            </w:r>
          </w:p>
        </w:tc>
      </w:tr>
      <w:tr>
        <w:tc>
          <w:tcPr/>
          <w:p>
            <w:pPr>
              <w:pStyle w:val="Compact"/>
              <w:jc w:val="left"/>
            </w:pPr>
            <w:r>
              <w:t xml:space="preserve">Morning Brief</w:t>
            </w:r>
          </w:p>
        </w:tc>
        <w:tc>
          <w:tcPr/>
          <w:p>
            <w:pPr>
              <w:pStyle w:val="Compact"/>
              <w:jc w:val="left"/>
            </w:pPr>
            <w:r>
              <w:t xml:space="preserve">P1</w:t>
            </w:r>
          </w:p>
        </w:tc>
        <w:tc>
          <w:tcPr/>
          <w:p>
            <w:pPr>
              <w:pStyle w:val="Compact"/>
              <w:jc w:val="left"/>
            </w:pPr>
            <w:r>
              <w:t xml:space="preserve">Daily automated email digest summarizing: yesterday’s performance, active drafts requiring approval, budget pacing status, creative fatigue alerts, and AI recommendations</w:t>
            </w:r>
          </w:p>
        </w:tc>
        <w:tc>
          <w:tcPr/>
          <w:p>
            <w:pPr>
              <w:pStyle w:val="Compact"/>
              <w:jc w:val="left"/>
            </w:pPr>
            <w:r>
              <w:t xml:space="preserve">40%+ open rate; generated in &lt;5 seconds</w:t>
            </w:r>
          </w:p>
        </w:tc>
      </w:tr>
      <w:tr>
        <w:tc>
          <w:tcPr/>
          <w:p>
            <w:pPr>
              <w:pStyle w:val="Compact"/>
              <w:jc w:val="left"/>
            </w:pPr>
            <w:r>
              <w:t xml:space="preserve">Budget Pacing Visualization</w:t>
            </w:r>
          </w:p>
        </w:tc>
        <w:tc>
          <w:tcPr/>
          <w:p>
            <w:pPr>
              <w:pStyle w:val="Compact"/>
              <w:jc w:val="left"/>
            </w:pPr>
            <w:r>
              <w:t xml:space="preserve">P1</w:t>
            </w:r>
          </w:p>
        </w:tc>
        <w:tc>
          <w:tcPr/>
          <w:p>
            <w:pPr>
              <w:pStyle w:val="Compact"/>
              <w:jc w:val="left"/>
            </w:pPr>
            <w:r>
              <w:t xml:space="preserve">Real-time visual budget pacing with projected spend curves, burn-rate analysis, and reallocation recommendations</w:t>
            </w:r>
          </w:p>
        </w:tc>
        <w:tc>
          <w:tcPr/>
          <w:p>
            <w:pPr>
              <w:pStyle w:val="Compact"/>
              <w:jc w:val="left"/>
            </w:pPr>
            <w:r>
              <w:t xml:space="preserve">95% pacing forecast accuracy</w:t>
            </w:r>
          </w:p>
        </w:tc>
      </w:tr>
      <w:tr>
        <w:tc>
          <w:tcPr/>
          <w:p>
            <w:pPr>
              <w:pStyle w:val="Compact"/>
              <w:jc w:val="left"/>
            </w:pPr>
            <w:r>
              <w:t xml:space="preserve">MCP Server v2</w:t>
            </w:r>
          </w:p>
        </w:tc>
        <w:tc>
          <w:tcPr/>
          <w:p>
            <w:pPr>
              <w:pStyle w:val="Compact"/>
              <w:jc w:val="left"/>
            </w:pPr>
            <w:r>
              <w:t xml:space="preserve">P1</w:t>
            </w:r>
          </w:p>
        </w:tc>
        <w:tc>
          <w:tcPr/>
          <w:p>
            <w:pPr>
              <w:pStyle w:val="Compact"/>
              <w:jc w:val="left"/>
            </w:pPr>
            <w:r>
              <w:t xml:space="preserve">Write-enabled MCP tools: create draft campaigns, submit approval requests, trigger analysis jobs</w:t>
            </w:r>
          </w:p>
        </w:tc>
        <w:tc>
          <w:tcPr/>
          <w:p>
            <w:pPr>
              <w:pStyle w:val="Compact"/>
              <w:jc w:val="left"/>
            </w:pPr>
            <w:r>
              <w:t xml:space="preserve">10+ MCP tools; full bidirectional workflow</w:t>
            </w:r>
          </w:p>
        </w:tc>
      </w:tr>
      <w:tr>
        <w:tc>
          <w:tcPr/>
          <w:p>
            <w:pPr>
              <w:pStyle w:val="Compact"/>
              <w:jc w:val="left"/>
            </w:pPr>
            <w:r>
              <w:t xml:space="preserve">Automated Reporting</w:t>
            </w:r>
          </w:p>
        </w:tc>
        <w:tc>
          <w:tcPr/>
          <w:p>
            <w:pPr>
              <w:pStyle w:val="Compact"/>
              <w:jc w:val="left"/>
            </w:pPr>
            <w:r>
              <w:t xml:space="preserve">P2</w:t>
            </w:r>
          </w:p>
        </w:tc>
        <w:tc>
          <w:tcPr/>
          <w:p>
            <w:pPr>
              <w:pStyle w:val="Compact"/>
              <w:jc w:val="left"/>
            </w:pPr>
            <w:r>
              <w:t xml:space="preserve">Scheduled PDF reports, Slack channel summaries, and email distribution lists; white-label report branding</w:t>
            </w:r>
          </w:p>
        </w:tc>
        <w:tc>
          <w:tcPr/>
          <w:p>
            <w:pPr>
              <w:pStyle w:val="Compact"/>
              <w:jc w:val="left"/>
            </w:pPr>
            <w:r>
              <w:t xml:space="preserve">5+ report templates; &lt;30s generation time</w:t>
            </w:r>
          </w:p>
        </w:tc>
      </w:tr>
    </w:tbl>
    <w:p>
      <w:pPr>
        <w:pStyle w:val="BodyText"/>
      </w:pPr>
      <w:r>
        <w:rPr>
          <w:bCs/>
          <w:b/>
        </w:rPr>
        <w:t xml:space="preserve">Phase 2 Milestone:</w:t>
      </w:r>
      <w:r>
        <w:t xml:space="preserve"> </w:t>
      </w:r>
      <w:r>
        <w:t xml:space="preserve">AI agent generating and human teams approving optimization drafts across 4 platforms; Morning Brief delivered daily to 100+ users.</w:t>
      </w:r>
    </w:p>
    <w:p>
      <w:r>
        <w:pict>
          <v:rect style="width:0;height:1.5pt" o:hralign="center" o:hrstd="t" o:hr="t"/>
        </w:pict>
      </w:r>
    </w:p>
    <w:bookmarkEnd w:id="52"/>
    <w:bookmarkStart w:id="53" w:name="phase-3-differentiation-months-7-9"/>
    <w:p>
      <w:pPr>
        <w:pStyle w:val="Heading3"/>
      </w:pPr>
      <w:r>
        <w:t xml:space="preserve">6.3 Phase 3: Differentiation (Months 7-9)</w:t>
      </w:r>
    </w:p>
    <w:p>
      <w:pPr>
        <w:pStyle w:val="FirstParagraph"/>
      </w:pPr>
      <w:r>
        <w:rPr>
          <w:bCs/>
          <w:b/>
        </w:rPr>
        <w:t xml:space="preserve">Strategic Objective:</w:t>
      </w:r>
      <w:r>
        <w:t xml:space="preserve"> </w:t>
      </w:r>
      <w:r>
        <w:t xml:space="preserve">Build proprietary data assets and capabilities that competitors cannot easily replicate, establishing AdNexus as the intelligence layer for advertising.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Competitive Intelligence</w:t>
            </w:r>
          </w:p>
        </w:tc>
        <w:tc>
          <w:tcPr/>
          <w:p>
            <w:pPr>
              <w:pStyle w:val="Compact"/>
              <w:jc w:val="left"/>
            </w:pPr>
            <w:r>
              <w:t xml:space="preserve">P0</w:t>
            </w:r>
          </w:p>
        </w:tc>
        <w:tc>
          <w:tcPr/>
          <w:p>
            <w:pPr>
              <w:pStyle w:val="Compact"/>
              <w:jc w:val="left"/>
            </w:pPr>
            <w:r>
              <w:t xml:space="preserve">Automated ad monitoring across platforms; share-of-voice analysis; competitor spend estimation; creative strategy tracking via public ad libraries</w:t>
            </w:r>
          </w:p>
        </w:tc>
        <w:tc>
          <w:tcPr/>
          <w:p>
            <w:pPr>
              <w:pStyle w:val="Compact"/>
              <w:jc w:val="left"/>
            </w:pPr>
            <w:r>
              <w:t xml:space="preserve">500K+ ads monitored; daily competitive position updates</w:t>
            </w:r>
          </w:p>
        </w:tc>
      </w:tr>
      <w:tr>
        <w:tc>
          <w:tcPr/>
          <w:p>
            <w:pPr>
              <w:pStyle w:val="Compact"/>
              <w:jc w:val="left"/>
            </w:pPr>
            <w:r>
              <w:t xml:space="preserve">Cross-Platform Creative Intelligence</w:t>
            </w:r>
          </w:p>
        </w:tc>
        <w:tc>
          <w:tcPr/>
          <w:p>
            <w:pPr>
              <w:pStyle w:val="Compact"/>
              <w:jc w:val="left"/>
            </w:pPr>
            <w:r>
              <w:t xml:space="preserve">P1</w:t>
            </w:r>
          </w:p>
        </w:tc>
        <w:tc>
          <w:tcPr/>
          <w:p>
            <w:pPr>
              <w:pStyle w:val="Compact"/>
              <w:jc w:val="left"/>
            </w:pPr>
            <w:r>
              <w:t xml:space="preserve">Creative performance benchmarking across all four platforms; identifies which creative elements (colors, formats, CTAs, lengths) drive performance per platform</w:t>
            </w:r>
          </w:p>
        </w:tc>
        <w:tc>
          <w:tcPr/>
          <w:p>
            <w:pPr>
              <w:pStyle w:val="Compact"/>
              <w:jc w:val="left"/>
            </w:pPr>
            <w:r>
              <w:t xml:space="preserve">Creative scoring model with &gt;0.7 correlation to actual CTR</w:t>
            </w:r>
          </w:p>
        </w:tc>
      </w:tr>
      <w:tr>
        <w:tc>
          <w:tcPr/>
          <w:p>
            <w:pPr>
              <w:pStyle w:val="Compact"/>
              <w:jc w:val="left"/>
            </w:pPr>
            <w:r>
              <w:t xml:space="preserve">Audience Overlap Analysis</w:t>
            </w:r>
          </w:p>
        </w:tc>
        <w:tc>
          <w:tcPr/>
          <w:p>
            <w:pPr>
              <w:pStyle w:val="Compact"/>
              <w:jc w:val="left"/>
            </w:pPr>
            <w:r>
              <w:t xml:space="preserve">P1</w:t>
            </w:r>
          </w:p>
        </w:tc>
        <w:tc>
          <w:tcPr/>
          <w:p>
            <w:pPr>
              <w:pStyle w:val="Compact"/>
              <w:jc w:val="left"/>
            </w:pPr>
            <w:r>
              <w:t xml:space="preserve">Detects audience overlap between campaigns and platforms to prevent internal competition; recommends consolidation or differentiation</w:t>
            </w:r>
          </w:p>
        </w:tc>
        <w:tc>
          <w:tcPr/>
          <w:p>
            <w:pPr>
              <w:pStyle w:val="Compact"/>
              <w:jc w:val="left"/>
            </w:pPr>
            <w:r>
              <w:t xml:space="preserve">Overlap detection accuracy &gt;90%</w:t>
            </w:r>
          </w:p>
        </w:tc>
      </w:tr>
      <w:tr>
        <w:tc>
          <w:tcPr/>
          <w:p>
            <w:pPr>
              <w:pStyle w:val="Compact"/>
              <w:jc w:val="left"/>
            </w:pPr>
            <w:r>
              <w:t xml:space="preserve">Advanced AI Insights</w:t>
            </w:r>
          </w:p>
        </w:tc>
        <w:tc>
          <w:tcPr/>
          <w:p>
            <w:pPr>
              <w:pStyle w:val="Compact"/>
              <w:jc w:val="left"/>
            </w:pPr>
            <w:r>
              <w:t xml:space="preserve">P1</w:t>
            </w:r>
          </w:p>
        </w:tc>
        <w:tc>
          <w:tcPr/>
          <w:p>
            <w:pPr>
              <w:pStyle w:val="Compact"/>
              <w:jc w:val="left"/>
            </w:pPr>
            <w:r>
              <w:t xml:space="preserve">Anomaly detection for unexpected performance changes; predictive forecasting for spend, conversions, and ROAS; seasonality modeling</w:t>
            </w:r>
          </w:p>
        </w:tc>
        <w:tc>
          <w:tcPr/>
          <w:p>
            <w:pPr>
              <w:pStyle w:val="Compact"/>
              <w:jc w:val="left"/>
            </w:pPr>
            <w:r>
              <w:t xml:space="preserve">Forecast accuracy within 10% at 7-day horizon</w:t>
            </w:r>
          </w:p>
        </w:tc>
      </w:tr>
      <w:tr>
        <w:tc>
          <w:tcPr/>
          <w:p>
            <w:pPr>
              <w:pStyle w:val="Compact"/>
              <w:jc w:val="left"/>
            </w:pPr>
            <w:r>
              <w:t xml:space="preserve">White-Label Agency Workspace</w:t>
            </w:r>
          </w:p>
        </w:tc>
        <w:tc>
          <w:tcPr/>
          <w:p>
            <w:pPr>
              <w:pStyle w:val="Compact"/>
              <w:jc w:val="left"/>
            </w:pPr>
            <w:r>
              <w:t xml:space="preserve">P2</w:t>
            </w:r>
          </w:p>
        </w:tc>
        <w:tc>
          <w:tcPr/>
          <w:p>
            <w:pPr>
              <w:pStyle w:val="Compact"/>
              <w:jc w:val="left"/>
            </w:pPr>
            <w:r>
              <w:t xml:space="preserve">Custom-branded client portals for agencies; client-specific dashboards, reports, and approval workflows</w:t>
            </w:r>
          </w:p>
        </w:tc>
        <w:tc>
          <w:tcPr/>
          <w:p>
            <w:pPr>
              <w:pStyle w:val="Compact"/>
              <w:jc w:val="left"/>
            </w:pPr>
            <w:r>
              <w:t xml:space="preserve">Full white-label with custom domain and logo</w:t>
            </w:r>
          </w:p>
        </w:tc>
      </w:tr>
      <w:tr>
        <w:tc>
          <w:tcPr/>
          <w:p>
            <w:pPr>
              <w:pStyle w:val="Compact"/>
              <w:jc w:val="left"/>
            </w:pPr>
            <w:r>
              <w:t xml:space="preserve">A/B Testing Framework</w:t>
            </w:r>
          </w:p>
        </w:tc>
        <w:tc>
          <w:tcPr/>
          <w:p>
            <w:pPr>
              <w:pStyle w:val="Compact"/>
              <w:jc w:val="left"/>
            </w:pPr>
            <w:r>
              <w:t xml:space="preserve">P2</w:t>
            </w:r>
          </w:p>
        </w:tc>
        <w:tc>
          <w:tcPr/>
          <w:p>
            <w:pPr>
              <w:pStyle w:val="Compact"/>
              <w:jc w:val="left"/>
            </w:pPr>
            <w:r>
              <w:t xml:space="preserve">Native A/B test design, execution, and analysis across platforms; statistical significance calculation; winner auto-implementation (as draft)</w:t>
            </w:r>
          </w:p>
        </w:tc>
        <w:tc>
          <w:tcPr/>
          <w:p>
            <w:pPr>
              <w:pStyle w:val="Compact"/>
              <w:jc w:val="left"/>
            </w:pPr>
            <w:r>
              <w:t xml:space="preserve">Supports 10+ concurrent tests; automatic winner detection</w:t>
            </w:r>
          </w:p>
        </w:tc>
      </w:tr>
    </w:tbl>
    <w:p>
      <w:pPr>
        <w:pStyle w:val="BodyText"/>
      </w:pPr>
      <w:r>
        <w:rPr>
          <w:bCs/>
          <w:b/>
        </w:rPr>
        <w:t xml:space="preserve">Phase 3 Milestone:</w:t>
      </w:r>
      <w:r>
        <w:t xml:space="preserve"> </w:t>
      </w:r>
      <w:r>
        <w:t xml:space="preserve">Competitive intelligence database populated; agency white-label deployed with 3+ agency customers; A/B testing framework running 50+ concurrent experiments.</w:t>
      </w:r>
    </w:p>
    <w:p>
      <w:r>
        <w:pict>
          <v:rect style="width:0;height:1.5pt" o:hralign="center" o:hrstd="t" o:hr="t"/>
        </w:pict>
      </w:r>
    </w:p>
    <w:bookmarkEnd w:id="53"/>
    <w:bookmarkStart w:id="54" w:name="phase-4-scale-months-10-12"/>
    <w:p>
      <w:pPr>
        <w:pStyle w:val="Heading3"/>
      </w:pPr>
      <w:r>
        <w:t xml:space="preserve">6.4 Phase 4: Scale (Months 10-12)</w:t>
      </w:r>
    </w:p>
    <w:p>
      <w:pPr>
        <w:pStyle w:val="FirstParagraph"/>
      </w:pPr>
      <w:r>
        <w:rPr>
          <w:bCs/>
          <w:b/>
        </w:rPr>
        <w:t xml:space="preserve">Strategic Objective:</w:t>
      </w:r>
      <w:r>
        <w:t xml:space="preserve"> </w:t>
      </w:r>
      <w:r>
        <w:t xml:space="preserve">Enable sophisticated portfolio-level optimization, developer ecosystem growth, and third-party integrations that embed AdNexus into the broader marketing stack.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Portfolio Optimization</w:t>
            </w:r>
          </w:p>
        </w:tc>
        <w:tc>
          <w:tcPr/>
          <w:p>
            <w:pPr>
              <w:pStyle w:val="Compact"/>
              <w:jc w:val="left"/>
            </w:pPr>
            <w:r>
              <w:t xml:space="preserve">P0</w:t>
            </w:r>
          </w:p>
        </w:tc>
        <w:tc>
          <w:tcPr/>
          <w:p>
            <w:pPr>
              <w:pStyle w:val="Compact"/>
              <w:jc w:val="left"/>
            </w:pPr>
            <w:r>
              <w:t xml:space="preserve">Multi-campaign, multi-platform budget optimization using portfolio theory; automatically rebalances spend across campaigns to maximize blended ROAS or CPA target</w:t>
            </w:r>
          </w:p>
        </w:tc>
        <w:tc>
          <w:tcPr/>
          <w:p>
            <w:pPr>
              <w:pStyle w:val="Compact"/>
              <w:jc w:val="left"/>
            </w:pPr>
            <w:r>
              <w:t xml:space="preserve">15%+ efficiency improvement vs. manual management</w:t>
            </w:r>
          </w:p>
        </w:tc>
      </w:tr>
      <w:tr>
        <w:tc>
          <w:tcPr/>
          <w:p>
            <w:pPr>
              <w:pStyle w:val="Compact"/>
              <w:jc w:val="left"/>
            </w:pPr>
            <w:r>
              <w:t xml:space="preserve">Advanced MCP Tools (NLP)</w:t>
            </w:r>
          </w:p>
        </w:tc>
        <w:tc>
          <w:tcPr/>
          <w:p>
            <w:pPr>
              <w:pStyle w:val="Compact"/>
              <w:jc w:val="left"/>
            </w:pPr>
            <w:r>
              <w:t xml:space="preserve">P1</w:t>
            </w:r>
          </w:p>
        </w:tc>
        <w:tc>
          <w:tcPr/>
          <w:p>
            <w:pPr>
              <w:pStyle w:val="Compact"/>
              <w:jc w:val="left"/>
            </w:pPr>
            <w:r>
              <w:t xml:space="preserve">Natural language campaign creation:</w:t>
            </w:r>
            <w:r>
              <w:t xml:space="preserve"> </w:t>
            </w:r>
            <w:r>
              <w:t xml:space="preserve">“</w:t>
            </w:r>
            <w:r>
              <w:t xml:space="preserve">Create a Meta campaign targeting women 25-34 in NYC with a $500 daily budget optimized for purchases</w:t>
            </w:r>
            <w:r>
              <w:t xml:space="preserve">”</w:t>
            </w:r>
            <w:r>
              <w:t xml:space="preserve"> </w:t>
            </w:r>
            <w:r>
              <w:t xml:space="preserve">generates complete draft</w:t>
            </w:r>
          </w:p>
        </w:tc>
        <w:tc>
          <w:tcPr/>
          <w:p>
            <w:pPr>
              <w:pStyle w:val="Compact"/>
              <w:jc w:val="left"/>
            </w:pPr>
            <w:r>
              <w:t xml:space="preserve">&gt;95% NLP intent accuracy; full campaign draft in &lt;10s</w:t>
            </w:r>
          </w:p>
        </w:tc>
      </w:tr>
      <w:tr>
        <w:tc>
          <w:tcPr/>
          <w:p>
            <w:pPr>
              <w:pStyle w:val="Compact"/>
              <w:jc w:val="left"/>
            </w:pPr>
            <w:r>
              <w:t xml:space="preserve">Goal Tracker</w:t>
            </w:r>
          </w:p>
        </w:tc>
        <w:tc>
          <w:tcPr/>
          <w:p>
            <w:pPr>
              <w:pStyle w:val="Compact"/>
              <w:jc w:val="left"/>
            </w:pPr>
            <w:r>
              <w:t xml:space="preserve">P1</w:t>
            </w:r>
          </w:p>
        </w:tc>
        <w:tc>
          <w:tcPr/>
          <w:p>
            <w:pPr>
              <w:pStyle w:val="Compact"/>
              <w:jc w:val="left"/>
            </w:pPr>
            <w:r>
              <w:t xml:space="preserve">AI-assisted goal setting with historical benchmarking; progress tracking with predictive completion dates; automated recommendations when off-track</w:t>
            </w:r>
          </w:p>
        </w:tc>
        <w:tc>
          <w:tcPr/>
          <w:p>
            <w:pPr>
              <w:pStyle w:val="Compact"/>
              <w:jc w:val="left"/>
            </w:pPr>
            <w:r>
              <w:t xml:space="preserve">Goal prediction accuracy within 5%</w:t>
            </w:r>
          </w:p>
        </w:tc>
      </w:tr>
      <w:tr>
        <w:tc>
          <w:tcPr/>
          <w:p>
            <w:pPr>
              <w:pStyle w:val="Compact"/>
              <w:jc w:val="left"/>
            </w:pPr>
            <w:r>
              <w:t xml:space="preserve">Calendar View</w:t>
            </w:r>
          </w:p>
        </w:tc>
        <w:tc>
          <w:tcPr/>
          <w:p>
            <w:pPr>
              <w:pStyle w:val="Compact"/>
              <w:jc w:val="left"/>
            </w:pPr>
            <w:r>
              <w:t xml:space="preserve">P2</w:t>
            </w:r>
          </w:p>
        </w:tc>
        <w:tc>
          <w:tcPr/>
          <w:p>
            <w:pPr>
              <w:pStyle w:val="Compact"/>
              <w:jc w:val="left"/>
            </w:pPr>
            <w:r>
              <w:t xml:space="preserve">Visual campaign calendar showing launches, scheduled actions, budget changes, and seasonal events; drag-and-drop rescheduling</w:t>
            </w:r>
          </w:p>
        </w:tc>
        <w:tc>
          <w:tcPr/>
          <w:p>
            <w:pPr>
              <w:pStyle w:val="Compact"/>
              <w:jc w:val="left"/>
            </w:pPr>
            <w:r>
              <w:t xml:space="preserve">Full campaign timeline visibility</w:t>
            </w:r>
          </w:p>
        </w:tc>
      </w:tr>
      <w:tr>
        <w:tc>
          <w:tcPr/>
          <w:p>
            <w:pPr>
              <w:pStyle w:val="Compact"/>
              <w:jc w:val="left"/>
            </w:pPr>
            <w:r>
              <w:t xml:space="preserve">API Developer Portal</w:t>
            </w:r>
          </w:p>
        </w:tc>
        <w:tc>
          <w:tcPr/>
          <w:p>
            <w:pPr>
              <w:pStyle w:val="Compact"/>
              <w:jc w:val="left"/>
            </w:pPr>
            <w:r>
              <w:t xml:space="preserve">P2</w:t>
            </w:r>
          </w:p>
        </w:tc>
        <w:tc>
          <w:tcPr/>
          <w:p>
            <w:pPr>
              <w:pStyle w:val="Compact"/>
              <w:jc w:val="left"/>
            </w:pPr>
            <w:r>
              <w:t xml:space="preserve">Public REST API with comprehensive documentation, SDKs (Node, Python, Ruby), interactive sandbox, and webhook management</w:t>
            </w:r>
          </w:p>
        </w:tc>
        <w:tc>
          <w:tcPr/>
          <w:p>
            <w:pPr>
              <w:pStyle w:val="Compact"/>
              <w:jc w:val="left"/>
            </w:pPr>
            <w:r>
              <w:t xml:space="preserve">100% feature parity with UI; 50+ developer signups</w:t>
            </w:r>
          </w:p>
        </w:tc>
      </w:tr>
      <w:tr>
        <w:tc>
          <w:tcPr/>
          <w:p>
            <w:pPr>
              <w:pStyle w:val="Compact"/>
              <w:jc w:val="left"/>
            </w:pPr>
            <w:r>
              <w:t xml:space="preserve">Integration Marketplace</w:t>
            </w:r>
          </w:p>
        </w:tc>
        <w:tc>
          <w:tcPr/>
          <w:p>
            <w:pPr>
              <w:pStyle w:val="Compact"/>
              <w:jc w:val="left"/>
            </w:pPr>
            <w:r>
              <w:t xml:space="preserve">P2</w:t>
            </w:r>
          </w:p>
        </w:tc>
        <w:tc>
          <w:tcPr/>
          <w:p>
            <w:pPr>
              <w:pStyle w:val="Compact"/>
              <w:jc w:val="left"/>
            </w:pPr>
            <w:r>
              <w:t xml:space="preserve">Pre-built integrations: Slack (notifications), Shopify (conversion data sync), HubSpot (lead attribution), Zapier (workflow automation)</w:t>
            </w:r>
          </w:p>
        </w:tc>
        <w:tc>
          <w:tcPr/>
          <w:p>
            <w:pPr>
              <w:pStyle w:val="Compact"/>
              <w:jc w:val="left"/>
            </w:pPr>
            <w:r>
              <w:t xml:space="preserve">10+ integrations; &gt;1,000 active connections</w:t>
            </w:r>
          </w:p>
        </w:tc>
      </w:tr>
    </w:tbl>
    <w:p>
      <w:pPr>
        <w:pStyle w:val="BodyText"/>
      </w:pPr>
      <w:r>
        <w:rPr>
          <w:bCs/>
          <w:b/>
        </w:rPr>
        <w:t xml:space="preserve">Phase 4 Milestone:</w:t>
      </w:r>
      <w:r>
        <w:t xml:space="preserve"> </w:t>
      </w:r>
      <w:r>
        <w:t xml:space="preserve">Portfolio optimization managing $10M+ in annualized ad spend; developer portal live with 50+ registered apps.</w:t>
      </w:r>
    </w:p>
    <w:p>
      <w:r>
        <w:pict>
          <v:rect style="width:0;height:1.5pt" o:hralign="center" o:hrstd="t" o:hr="t"/>
        </w:pict>
      </w:r>
    </w:p>
    <w:bookmarkEnd w:id="54"/>
    <w:bookmarkStart w:id="55" w:name="phase-5-enterprise-months-13-18"/>
    <w:p>
      <w:pPr>
        <w:pStyle w:val="Heading3"/>
      </w:pPr>
      <w:r>
        <w:t xml:space="preserve">6.5 Phase 5: Enterprise (Months 13-18)</w:t>
      </w:r>
    </w:p>
    <w:p>
      <w:pPr>
        <w:pStyle w:val="FirstParagraph"/>
      </w:pPr>
      <w:r>
        <w:rPr>
          <w:bCs/>
          <w:b/>
        </w:rPr>
        <w:t xml:space="preserve">Strategic Objective:</w:t>
      </w:r>
      <w:r>
        <w:t xml:space="preserve"> </w:t>
      </w:r>
      <w:r>
        <w:t xml:space="preserve">Meet the governance, compliance, and customization requirements of large enterprises and sophisticated agency holding companies.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Advanced Approval Chains</w:t>
            </w:r>
          </w:p>
        </w:tc>
        <w:tc>
          <w:tcPr/>
          <w:p>
            <w:pPr>
              <w:pStyle w:val="Compact"/>
              <w:jc w:val="left"/>
            </w:pPr>
            <w:r>
              <w:t xml:space="preserve">P0</w:t>
            </w:r>
          </w:p>
        </w:tc>
        <w:tc>
          <w:tcPr/>
          <w:p>
            <w:pPr>
              <w:pStyle w:val="Compact"/>
              <w:jc w:val="left"/>
            </w:pPr>
            <w:r>
              <w:t xml:space="preserve">Multi-level, conditional approval workflows: e.g., budget changes &gt;$10K require VP approval; creative changes require brand team review; rules based on spend amount, risk score, or campaign type</w:t>
            </w:r>
          </w:p>
        </w:tc>
        <w:tc>
          <w:tcPr/>
          <w:p>
            <w:pPr>
              <w:pStyle w:val="Compact"/>
              <w:jc w:val="left"/>
            </w:pPr>
            <w:r>
              <w:t xml:space="preserve">Supports 5+ approval levels; conditional logic engine</w:t>
            </w:r>
          </w:p>
        </w:tc>
      </w:tr>
      <w:tr>
        <w:tc>
          <w:tcPr/>
          <w:p>
            <w:pPr>
              <w:pStyle w:val="Compact"/>
              <w:jc w:val="left"/>
            </w:pPr>
            <w:r>
              <w:t xml:space="preserve">Compliance Automation</w:t>
            </w:r>
          </w:p>
        </w:tc>
        <w:tc>
          <w:tcPr/>
          <w:p>
            <w:pPr>
              <w:pStyle w:val="Compact"/>
              <w:jc w:val="left"/>
            </w:pPr>
            <w:r>
              <w:t xml:space="preserve">P0</w:t>
            </w:r>
          </w:p>
        </w:tc>
        <w:tc>
          <w:tcPr/>
          <w:p>
            <w:pPr>
              <w:pStyle w:val="Compact"/>
              <w:jc w:val="left"/>
            </w:pPr>
            <w:r>
              <w:t xml:space="preserve">Automated compliance checking: EU AI Act transparency requirements, FINRA advertising rules for financial services, SOC 2 audit trails, GDPR consent management</w:t>
            </w:r>
          </w:p>
        </w:tc>
        <w:tc>
          <w:tcPr/>
          <w:p>
            <w:pPr>
              <w:pStyle w:val="Compact"/>
              <w:jc w:val="left"/>
            </w:pPr>
            <w:r>
              <w:t xml:space="preserve">100% compliance rule coverage for configured frameworks</w:t>
            </w:r>
          </w:p>
        </w:tc>
      </w:tr>
      <w:tr>
        <w:tc>
          <w:tcPr/>
          <w:p>
            <w:pPr>
              <w:pStyle w:val="Compact"/>
              <w:jc w:val="left"/>
            </w:pPr>
            <w:r>
              <w:t xml:space="preserve">Custom AI Model Training</w:t>
            </w:r>
          </w:p>
        </w:tc>
        <w:tc>
          <w:tcPr/>
          <w:p>
            <w:pPr>
              <w:pStyle w:val="Compact"/>
              <w:jc w:val="left"/>
            </w:pPr>
            <w:r>
              <w:t xml:space="preserve">P1</w:t>
            </w:r>
          </w:p>
        </w:tc>
        <w:tc>
          <w:tcPr/>
          <w:p>
            <w:pPr>
              <w:pStyle w:val="Compact"/>
              <w:jc w:val="left"/>
            </w:pPr>
            <w:r>
              <w:t xml:space="preserve">Per-client fine-tuned models trained on historical campaign data; personalized optimization strategies reflecting unique business patterns</w:t>
            </w:r>
          </w:p>
        </w:tc>
        <w:tc>
          <w:tcPr/>
          <w:p>
            <w:pPr>
              <w:pStyle w:val="Compact"/>
              <w:jc w:val="left"/>
            </w:pPr>
            <w:r>
              <w:t xml:space="preserve">Model performance &gt;15% better than generic baseline</w:t>
            </w:r>
          </w:p>
        </w:tc>
      </w:tr>
      <w:tr>
        <w:tc>
          <w:tcPr/>
          <w:p>
            <w:pPr>
              <w:pStyle w:val="Compact"/>
              <w:jc w:val="left"/>
            </w:pPr>
            <w:r>
              <w:t xml:space="preserve">Advanced Attribution Modeling</w:t>
            </w:r>
          </w:p>
        </w:tc>
        <w:tc>
          <w:tcPr/>
          <w:p>
            <w:pPr>
              <w:pStyle w:val="Compact"/>
              <w:jc w:val="left"/>
            </w:pPr>
            <w:r>
              <w:t xml:space="preserve">P1</w:t>
            </w:r>
          </w:p>
        </w:tc>
        <w:tc>
          <w:tcPr/>
          <w:p>
            <w:pPr>
              <w:pStyle w:val="Compact"/>
              <w:jc w:val="left"/>
            </w:pPr>
            <w:r>
              <w:t xml:space="preserve">Multi-touch attribution (first-click, last-click, linear, time-decay, data-driven); cross-platform attribution de-duplication; incrementality testing framework</w:t>
            </w:r>
          </w:p>
        </w:tc>
        <w:tc>
          <w:tcPr/>
          <w:p>
            <w:pPr>
              <w:pStyle w:val="Compact"/>
              <w:jc w:val="left"/>
            </w:pPr>
            <w:r>
              <w:t xml:space="preserve">4+ attribution models; incrementality test design</w:t>
            </w:r>
          </w:p>
        </w:tc>
      </w:tr>
      <w:tr>
        <w:tc>
          <w:tcPr/>
          <w:p>
            <w:pPr>
              <w:pStyle w:val="Compact"/>
              <w:jc w:val="left"/>
            </w:pPr>
            <w:r>
              <w:t xml:space="preserve">Multi-Account Agency Architecture</w:t>
            </w:r>
          </w:p>
        </w:tc>
        <w:tc>
          <w:tcPr/>
          <w:p>
            <w:pPr>
              <w:pStyle w:val="Compact"/>
              <w:jc w:val="left"/>
            </w:pPr>
            <w:r>
              <w:t xml:space="preserve">P1</w:t>
            </w:r>
          </w:p>
        </w:tc>
        <w:tc>
          <w:tcPr/>
          <w:p>
            <w:pPr>
              <w:pStyle w:val="Compact"/>
              <w:jc w:val="left"/>
            </w:pPr>
            <w:r>
              <w:t xml:space="preserve">Hierarchical account structure for agencies: holding company &gt; agency &gt; client &gt; brand &gt; campaign; consolidated reporting and billing</w:t>
            </w:r>
          </w:p>
        </w:tc>
        <w:tc>
          <w:tcPr/>
          <w:p>
            <w:pPr>
              <w:pStyle w:val="Compact"/>
              <w:jc w:val="left"/>
            </w:pPr>
            <w:r>
              <w:t xml:space="preserve">10-level hierarchy; cross-client portfolio views</w:t>
            </w:r>
          </w:p>
        </w:tc>
      </w:tr>
      <w:tr>
        <w:tc>
          <w:tcPr/>
          <w:p>
            <w:pPr>
              <w:pStyle w:val="Compact"/>
              <w:jc w:val="left"/>
            </w:pPr>
            <w:r>
              <w:t xml:space="preserve">Enterprise SSO &amp; SCIM</w:t>
            </w:r>
          </w:p>
        </w:tc>
        <w:tc>
          <w:tcPr/>
          <w:p>
            <w:pPr>
              <w:pStyle w:val="Compact"/>
              <w:jc w:val="left"/>
            </w:pPr>
            <w:r>
              <w:t xml:space="preserve">P2</w:t>
            </w:r>
          </w:p>
        </w:tc>
        <w:tc>
          <w:tcPr/>
          <w:p>
            <w:pPr>
              <w:pStyle w:val="Compact"/>
              <w:jc w:val="left"/>
            </w:pPr>
            <w:r>
              <w:t xml:space="preserve">SAML 2.0 / OIDC single sign-on; SCIM 2.0 user provisioning; integration with Okta, Azure AD, OneLogin</w:t>
            </w:r>
          </w:p>
        </w:tc>
        <w:tc>
          <w:tcPr/>
          <w:p>
            <w:pPr>
              <w:pStyle w:val="Compact"/>
              <w:jc w:val="left"/>
            </w:pPr>
            <w:r>
              <w:t xml:space="preserve">5+ identity provider integrations; automated user lifecycle management</w:t>
            </w:r>
          </w:p>
        </w:tc>
      </w:tr>
    </w:tbl>
    <w:p>
      <w:pPr>
        <w:pStyle w:val="BodyText"/>
      </w:pPr>
      <w:r>
        <w:rPr>
          <w:bCs/>
          <w:b/>
        </w:rPr>
        <w:t xml:space="preserve">Phase 5 Milestone:</w:t>
      </w:r>
      <w:r>
        <w:t xml:space="preserve"> </w:t>
      </w:r>
      <w:r>
        <w:t xml:space="preserve">Enterprise contracts with 3+ Fortune 500 companies; SOC 2 Type II certification achieved; custom AI models deployed for 10+ enterprise clients.</w:t>
      </w:r>
    </w:p>
    <w:p>
      <w:r>
        <w:pict>
          <v:rect style="width:0;height:1.5pt" o:hralign="center" o:hrstd="t" o:hr="t"/>
        </w:pict>
      </w:r>
    </w:p>
    <w:bookmarkEnd w:id="55"/>
    <w:bookmarkEnd w:id="56"/>
    <w:bookmarkStart w:id="61" w:name="technical-architecture"/>
    <w:p>
      <w:pPr>
        <w:pStyle w:val="Heading2"/>
      </w:pPr>
      <w:r>
        <w:t xml:space="preserve">7. Technical Architecture</w:t>
      </w:r>
    </w:p>
    <w:bookmarkStart w:id="57" w:name="stack-overview"/>
    <w:p>
      <w:pPr>
        <w:pStyle w:val="Heading3"/>
      </w:pPr>
      <w:r>
        <w:t xml:space="preserve">7.1 Stack Overview</w:t>
      </w:r>
    </w:p>
    <w:p>
      <w:pPr>
        <w:pStyle w:val="SourceCode"/>
      </w:pPr>
      <w:r>
        <w:rPr>
          <w:rStyle w:val="VerbatimChar"/>
        </w:rPr>
        <w:t xml:space="preserve">┌─────────────────────────────────────────────────────────────────────┐</w:t>
      </w:r>
      <w:r>
        <w:br/>
      </w:r>
      <w:r>
        <w:rPr>
          <w:rStyle w:val="VerbatimChar"/>
        </w:rPr>
        <w:t xml:space="preserve">│                        ADNEXUS TECH STACK                            │</w:t>
      </w:r>
      <w:r>
        <w:br/>
      </w:r>
      <w:r>
        <w:rPr>
          <w:rStyle w:val="VerbatimChar"/>
        </w:rPr>
        <w:t xml:space="preserve">├─────────────────────────────────────────────────────────────────────┤</w:t>
      </w:r>
      <w:r>
        <w:br/>
      </w:r>
      <w:r>
        <w:rPr>
          <w:rStyle w:val="VerbatimChar"/>
        </w:rPr>
        <w:t xml:space="preserve">│  FRONTEND          │  React 18 + TypeScript + Tailwind CSS + Recharts│</w:t>
      </w:r>
      <w:r>
        <w:br/>
      </w:r>
      <w:r>
        <w:rPr>
          <w:rStyle w:val="VerbatimChar"/>
        </w:rPr>
        <w:t xml:space="preserve">├─────────────────────────────────────────────────────────────────────┤</w:t>
      </w:r>
      <w:r>
        <w:br/>
      </w:r>
      <w:r>
        <w:rPr>
          <w:rStyle w:val="VerbatimChar"/>
        </w:rPr>
        <w:t xml:space="preserve">│  BACKEND           │  Node.js + Express + PostgreSQL + Redis         │</w:t>
      </w:r>
      <w:r>
        <w:br/>
      </w:r>
      <w:r>
        <w:rPr>
          <w:rStyle w:val="VerbatimChar"/>
        </w:rPr>
        <w:t xml:space="preserve">├─────────────────────────────────────────────────────────────────────┤</w:t>
      </w:r>
      <w:r>
        <w:br/>
      </w:r>
      <w:r>
        <w:rPr>
          <w:rStyle w:val="VerbatimChar"/>
        </w:rPr>
        <w:t xml:space="preserve">│  AI / ML           │  OpenAI/Anthropic API + Custom ML (Python)      │</w:t>
      </w:r>
      <w:r>
        <w:br/>
      </w:r>
      <w:r>
        <w:rPr>
          <w:rStyle w:val="VerbatimChar"/>
        </w:rPr>
        <w:t xml:space="preserve">├─────────────────────────────────────────────────────────────────────┤</w:t>
      </w:r>
      <w:r>
        <w:br/>
      </w:r>
      <w:r>
        <w:rPr>
          <w:rStyle w:val="VerbatimChar"/>
        </w:rPr>
        <w:t xml:space="preserve">│  MCP SERVER        │  Python FastMCP (async, typed)                  │</w:t>
      </w:r>
      <w:r>
        <w:br/>
      </w:r>
      <w:r>
        <w:rPr>
          <w:rStyle w:val="VerbatimChar"/>
        </w:rPr>
        <w:t xml:space="preserve">├─────────────────────────────────────────────────────────────────────┤</w:t>
      </w:r>
      <w:r>
        <w:br/>
      </w:r>
      <w:r>
        <w:rPr>
          <w:rStyle w:val="VerbatimChar"/>
        </w:rPr>
        <w:t xml:space="preserve">│  INFRASTRUCTURE    │  Docker + Kubernetes + Nginx + Kafka + Grafana  │</w:t>
      </w:r>
      <w:r>
        <w:br/>
      </w:r>
      <w:r>
        <w:rPr>
          <w:rStyle w:val="VerbatimChar"/>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Justification</w:t>
            </w:r>
          </w:p>
        </w:tc>
      </w:tr>
      <w:tr>
        <w:tc>
          <w:tcPr/>
          <w:p>
            <w:pPr>
              <w:pStyle w:val="Compact"/>
              <w:jc w:val="left"/>
            </w:pPr>
            <w:r>
              <w:rPr>
                <w:bCs/>
                <w:b/>
              </w:rPr>
              <w:t xml:space="preserve">Frontend Framework</w:t>
            </w:r>
          </w:p>
        </w:tc>
        <w:tc>
          <w:tcPr/>
          <w:p>
            <w:pPr>
              <w:pStyle w:val="Compact"/>
              <w:jc w:val="left"/>
            </w:pPr>
            <w:r>
              <w:t xml:space="preserve">React 18 + TypeScript</w:t>
            </w:r>
          </w:p>
        </w:tc>
        <w:tc>
          <w:tcPr/>
          <w:p>
            <w:pPr>
              <w:pStyle w:val="Compact"/>
              <w:jc w:val="left"/>
            </w:pPr>
            <w:r>
              <w:t xml:space="preserve">Component reusability, strong typing for complex dashboard state, vast ecosystem</w:t>
            </w:r>
          </w:p>
        </w:tc>
      </w:tr>
      <w:tr>
        <w:tc>
          <w:tcPr/>
          <w:p>
            <w:pPr>
              <w:pStyle w:val="Compact"/>
              <w:jc w:val="left"/>
            </w:pPr>
            <w:r>
              <w:rPr>
                <w:bCs/>
                <w:b/>
              </w:rPr>
              <w:t xml:space="preserve">Styling</w:t>
            </w:r>
          </w:p>
        </w:tc>
        <w:tc>
          <w:tcPr/>
          <w:p>
            <w:pPr>
              <w:pStyle w:val="Compact"/>
              <w:jc w:val="left"/>
            </w:pPr>
            <w:r>
              <w:t xml:space="preserve">Tailwind CSS</w:t>
            </w:r>
          </w:p>
        </w:tc>
        <w:tc>
          <w:tcPr/>
          <w:p>
            <w:pPr>
              <w:pStyle w:val="Compact"/>
              <w:jc w:val="left"/>
            </w:pPr>
            <w:r>
              <w:t xml:space="preserve">Rapid UI development, design system consistency, minimal CSS bundle size</w:t>
            </w:r>
          </w:p>
        </w:tc>
      </w:tr>
      <w:tr>
        <w:tc>
          <w:tcPr/>
          <w:p>
            <w:pPr>
              <w:pStyle w:val="Compact"/>
              <w:jc w:val="left"/>
            </w:pPr>
            <w:r>
              <w:rPr>
                <w:bCs/>
                <w:b/>
              </w:rPr>
              <w:t xml:space="preserve">Visualization</w:t>
            </w:r>
          </w:p>
        </w:tc>
        <w:tc>
          <w:tcPr/>
          <w:p>
            <w:pPr>
              <w:pStyle w:val="Compact"/>
              <w:jc w:val="left"/>
            </w:pPr>
            <w:r>
              <w:t xml:space="preserve">Recharts + D3.js</w:t>
            </w:r>
          </w:p>
        </w:tc>
        <w:tc>
          <w:tcPr/>
          <w:p>
            <w:pPr>
              <w:pStyle w:val="Compact"/>
              <w:jc w:val="left"/>
            </w:pPr>
            <w:r>
              <w:t xml:space="preserve">React-native charting, customizable for advertising-specific visualizations</w:t>
            </w:r>
          </w:p>
        </w:tc>
      </w:tr>
      <w:tr>
        <w:tc>
          <w:tcPr/>
          <w:p>
            <w:pPr>
              <w:pStyle w:val="Compact"/>
              <w:jc w:val="left"/>
            </w:pPr>
            <w:r>
              <w:rPr>
                <w:bCs/>
                <w:b/>
              </w:rPr>
              <w:t xml:space="preserve">Backend Runtime</w:t>
            </w:r>
          </w:p>
        </w:tc>
        <w:tc>
          <w:tcPr/>
          <w:p>
            <w:pPr>
              <w:pStyle w:val="Compact"/>
              <w:jc w:val="left"/>
            </w:pPr>
            <w:r>
              <w:t xml:space="preserve">Node.js + Express</w:t>
            </w:r>
          </w:p>
        </w:tc>
        <w:tc>
          <w:tcPr/>
          <w:p>
            <w:pPr>
              <w:pStyle w:val="Compact"/>
              <w:jc w:val="left"/>
            </w:pPr>
            <w:r>
              <w:t xml:space="preserve">Non-blocking I/O for concurrent API requests; JavaScript/TypeScript full-stack consistency</w:t>
            </w:r>
          </w:p>
        </w:tc>
      </w:tr>
      <w:tr>
        <w:tc>
          <w:tcPr/>
          <w:p>
            <w:pPr>
              <w:pStyle w:val="Compact"/>
              <w:jc w:val="left"/>
            </w:pPr>
            <w:r>
              <w:rPr>
                <w:bCs/>
                <w:b/>
              </w:rPr>
              <w:t xml:space="preserve">Primary Database</w:t>
            </w:r>
          </w:p>
        </w:tc>
        <w:tc>
          <w:tcPr/>
          <w:p>
            <w:pPr>
              <w:pStyle w:val="Compact"/>
              <w:jc w:val="left"/>
            </w:pPr>
            <w:r>
              <w:t xml:space="preserve">PostgreSQL 15</w:t>
            </w:r>
          </w:p>
        </w:tc>
        <w:tc>
          <w:tcPr/>
          <w:p>
            <w:pPr>
              <w:pStyle w:val="Compact"/>
              <w:jc w:val="left"/>
            </w:pPr>
            <w:r>
              <w:t xml:space="preserve">ACID compliance for financial campaign data; JSONB for flexible platform schemas; excellent complex query support</w:t>
            </w:r>
          </w:p>
        </w:tc>
      </w:tr>
      <w:tr>
        <w:tc>
          <w:tcPr/>
          <w:p>
            <w:pPr>
              <w:pStyle w:val="Compact"/>
              <w:jc w:val="left"/>
            </w:pPr>
            <w:r>
              <w:rPr>
                <w:bCs/>
                <w:b/>
              </w:rPr>
              <w:t xml:space="preserve">Cache Layer</w:t>
            </w:r>
          </w:p>
        </w:tc>
        <w:tc>
          <w:tcPr/>
          <w:p>
            <w:pPr>
              <w:pStyle w:val="Compact"/>
              <w:jc w:val="left"/>
            </w:pPr>
            <w:r>
              <w:t xml:space="preserve">Redis 7</w:t>
            </w:r>
          </w:p>
        </w:tc>
        <w:tc>
          <w:tcPr/>
          <w:p>
            <w:pPr>
              <w:pStyle w:val="Compact"/>
              <w:jc w:val="left"/>
            </w:pPr>
            <w:r>
              <w:t xml:space="preserve">Session management, API response caching, real-time metric buffering, rate limit tracking</w:t>
            </w:r>
          </w:p>
        </w:tc>
      </w:tr>
      <w:tr>
        <w:tc>
          <w:tcPr/>
          <w:p>
            <w:pPr>
              <w:pStyle w:val="Compact"/>
              <w:jc w:val="left"/>
            </w:pPr>
            <w:r>
              <w:rPr>
                <w:bCs/>
                <w:b/>
              </w:rPr>
              <w:t xml:space="preserve">AI Orchestration</w:t>
            </w:r>
          </w:p>
        </w:tc>
        <w:tc>
          <w:tcPr/>
          <w:p>
            <w:pPr>
              <w:pStyle w:val="Compact"/>
              <w:jc w:val="left"/>
            </w:pPr>
            <w:r>
              <w:t xml:space="preserve">OpenAI GPT-4o / Anthropic Claude 3.5 Sonnet</w:t>
            </w:r>
          </w:p>
        </w:tc>
        <w:tc>
          <w:tcPr/>
          <w:p>
            <w:pPr>
              <w:pStyle w:val="Compact"/>
              <w:jc w:val="left"/>
            </w:pPr>
            <w:r>
              <w:t xml:space="preserve">Best-in-class reasoning for agent decision-making; structured output for draft generation</w:t>
            </w:r>
          </w:p>
        </w:tc>
      </w:tr>
      <w:tr>
        <w:tc>
          <w:tcPr/>
          <w:p>
            <w:pPr>
              <w:pStyle w:val="Compact"/>
              <w:jc w:val="left"/>
            </w:pPr>
            <w:r>
              <w:rPr>
                <w:bCs/>
                <w:b/>
              </w:rPr>
              <w:t xml:space="preserve">Custom ML</w:t>
            </w:r>
          </w:p>
        </w:tc>
        <w:tc>
          <w:tcPr/>
          <w:p>
            <w:pPr>
              <w:pStyle w:val="Compact"/>
              <w:jc w:val="left"/>
            </w:pPr>
            <w:r>
              <w:t xml:space="preserve">Python + scikit-learn + XGBoost</w:t>
            </w:r>
          </w:p>
        </w:tc>
        <w:tc>
          <w:tcPr/>
          <w:p>
            <w:pPr>
              <w:pStyle w:val="Compact"/>
              <w:jc w:val="left"/>
            </w:pPr>
            <w:r>
              <w:t xml:space="preserve">Lightweight models for forecasting, anomaly detection, and creative scoring</w:t>
            </w:r>
          </w:p>
        </w:tc>
      </w:tr>
      <w:tr>
        <w:tc>
          <w:tcPr/>
          <w:p>
            <w:pPr>
              <w:pStyle w:val="Compact"/>
              <w:jc w:val="left"/>
            </w:pPr>
            <w:r>
              <w:rPr>
                <w:bCs/>
                <w:b/>
              </w:rPr>
              <w:t xml:space="preserve">MCP Server</w:t>
            </w:r>
          </w:p>
        </w:tc>
        <w:tc>
          <w:tcPr/>
          <w:p>
            <w:pPr>
              <w:pStyle w:val="Compact"/>
              <w:jc w:val="left"/>
            </w:pPr>
            <w:r>
              <w:t xml:space="preserve">Python FastMCP</w:t>
            </w:r>
          </w:p>
        </w:tc>
        <w:tc>
          <w:tcPr/>
          <w:p>
            <w:pPr>
              <w:pStyle w:val="Compact"/>
              <w:jc w:val="left"/>
            </w:pPr>
            <w:r>
              <w:t xml:space="preserve">Native async support; typed tool definitions; automatic MCP protocol handling</w:t>
            </w:r>
          </w:p>
        </w:tc>
      </w:tr>
      <w:tr>
        <w:tc>
          <w:tcPr/>
          <w:p>
            <w:pPr>
              <w:pStyle w:val="Compact"/>
              <w:jc w:val="left"/>
            </w:pPr>
            <w:r>
              <w:rPr>
                <w:bCs/>
                <w:b/>
              </w:rPr>
              <w:t xml:space="preserve">Containerization</w:t>
            </w:r>
          </w:p>
        </w:tc>
        <w:tc>
          <w:tcPr/>
          <w:p>
            <w:pPr>
              <w:pStyle w:val="Compact"/>
              <w:jc w:val="left"/>
            </w:pPr>
            <w:r>
              <w:t xml:space="preserve">Docker + Kubernetes</w:t>
            </w:r>
          </w:p>
        </w:tc>
        <w:tc>
          <w:tcPr/>
          <w:p>
            <w:pPr>
              <w:pStyle w:val="Compact"/>
              <w:jc w:val="left"/>
            </w:pPr>
            <w:r>
              <w:t xml:space="preserve">Horizontal scaling of microservices; blue-green deployments; self-healing</w:t>
            </w:r>
          </w:p>
        </w:tc>
      </w:tr>
      <w:tr>
        <w:tc>
          <w:tcPr/>
          <w:p>
            <w:pPr>
              <w:pStyle w:val="Compact"/>
              <w:jc w:val="left"/>
            </w:pPr>
            <w:r>
              <w:rPr>
                <w:bCs/>
                <w:b/>
              </w:rPr>
              <w:t xml:space="preserve">Message Broker</w:t>
            </w:r>
          </w:p>
        </w:tc>
        <w:tc>
          <w:tcPr/>
          <w:p>
            <w:pPr>
              <w:pStyle w:val="Compact"/>
              <w:jc w:val="left"/>
            </w:pPr>
            <w:r>
              <w:t xml:space="preserve">Apache Kafka</w:t>
            </w:r>
          </w:p>
        </w:tc>
        <w:tc>
          <w:tcPr/>
          <w:p>
            <w:pPr>
              <w:pStyle w:val="Compact"/>
              <w:jc w:val="left"/>
            </w:pPr>
            <w:r>
              <w:t xml:space="preserve">Event sourcing for campaign changes; real-time metric streaming; AI action queuing</w:t>
            </w:r>
          </w:p>
        </w:tc>
      </w:tr>
      <w:tr>
        <w:tc>
          <w:tcPr/>
          <w:p>
            <w:pPr>
              <w:pStyle w:val="Compact"/>
              <w:jc w:val="left"/>
            </w:pPr>
            <w:r>
              <w:rPr>
                <w:bCs/>
                <w:b/>
              </w:rPr>
              <w:t xml:space="preserve">Load Balancer</w:t>
            </w:r>
          </w:p>
        </w:tc>
        <w:tc>
          <w:tcPr/>
          <w:p>
            <w:pPr>
              <w:pStyle w:val="Compact"/>
              <w:jc w:val="left"/>
            </w:pPr>
            <w:r>
              <w:t xml:space="preserve">Nginx</w:t>
            </w:r>
          </w:p>
        </w:tc>
        <w:tc>
          <w:tcPr/>
          <w:p>
            <w:pPr>
              <w:pStyle w:val="Compact"/>
              <w:jc w:val="left"/>
            </w:pPr>
            <w:r>
              <w:t xml:space="preserve">SSL termination, request routing, static asset serving, WebSocket proxying</w:t>
            </w:r>
          </w:p>
        </w:tc>
      </w:tr>
      <w:tr>
        <w:tc>
          <w:tcPr/>
          <w:p>
            <w:pPr>
              <w:pStyle w:val="Compact"/>
              <w:jc w:val="left"/>
            </w:pPr>
            <w:r>
              <w:rPr>
                <w:bCs/>
                <w:b/>
              </w:rPr>
              <w:t xml:space="preserve">Observability</w:t>
            </w:r>
          </w:p>
        </w:tc>
        <w:tc>
          <w:tcPr/>
          <w:p>
            <w:pPr>
              <w:pStyle w:val="Compact"/>
              <w:jc w:val="left"/>
            </w:pPr>
            <w:r>
              <w:t xml:space="preserve">Grafana + Prometheus + Loki</w:t>
            </w:r>
          </w:p>
        </w:tc>
        <w:tc>
          <w:tcPr/>
          <w:p>
            <w:pPr>
              <w:pStyle w:val="Compact"/>
              <w:jc w:val="left"/>
            </w:pPr>
            <w:r>
              <w:t xml:space="preserve">Metrics dashboards, alerting, centralized logging, distributed tracing</w:t>
            </w:r>
          </w:p>
        </w:tc>
      </w:tr>
    </w:tbl>
    <w:bookmarkEnd w:id="57"/>
    <w:bookmarkStart w:id="58" w:name="architecture-principles"/>
    <w:p>
      <w:pPr>
        <w:pStyle w:val="Heading3"/>
      </w:pPr>
      <w:r>
        <w:t xml:space="preserve">7.2 Architecture Principles</w:t>
      </w:r>
    </w:p>
    <w:p>
      <w:pPr>
        <w:pStyle w:val="FirstParagraph"/>
      </w:pPr>
      <w:r>
        <w:rPr>
          <w:bCs/>
          <w:b/>
        </w:rPr>
        <w:t xml:space="preserve">1. Microservices Decomposition</w:t>
      </w:r>
    </w:p>
    <w:p>
      <w:pPr>
        <w:pStyle w:val="BodyText"/>
      </w:pPr>
      <w:r>
        <w:t xml:space="preserve">The platform is decomposed into five independently deployable services, each with a single responsibility:</w:t>
      </w:r>
    </w:p>
    <w:p>
      <w:pPr>
        <w:pStyle w:val="SourceCode"/>
      </w:pPr>
      <w:r>
        <w:rPr>
          <w:rStyle w:val="VerbatimChar"/>
        </w:rPr>
        <w:t xml:space="preserve">┌────────────────────────────────────────────────────────────────────┐</w:t>
      </w:r>
      <w:r>
        <w:br/>
      </w:r>
      <w:r>
        <w:rPr>
          <w:rStyle w:val="VerbatimChar"/>
        </w:rPr>
        <w:t xml:space="preserve">│                      ADNEXUS MICROSERVICES                          │</w:t>
      </w:r>
      <w:r>
        <w:br/>
      </w:r>
      <w:r>
        <w:rPr>
          <w:rStyle w:val="VerbatimChar"/>
        </w:rPr>
        <w:t xml:space="preserve">├──────────────┬─────────────────────────────────────────────────────┤</w:t>
      </w:r>
      <w:r>
        <w:br/>
      </w:r>
      <w:r>
        <w:rPr>
          <w:rStyle w:val="VerbatimChar"/>
        </w:rPr>
        <w:t xml:space="preserve">│  API Server  │  REST API for frontend; GraphQL for complex queries │</w:t>
      </w:r>
      <w:r>
        <w:br/>
      </w:r>
      <w:r>
        <w:rPr>
          <w:rStyle w:val="VerbatimChar"/>
        </w:rPr>
        <w:t xml:space="preserve">│  (Node.js)   │  Authentication, authorization, request validation   │</w:t>
      </w:r>
      <w:r>
        <w:br/>
      </w:r>
      <w:r>
        <w:rPr>
          <w:rStyle w:val="VerbatimChar"/>
        </w:rPr>
        <w:t xml:space="preserve">├──────────────┼─────────────────────────────────────────────────────┤</w:t>
      </w:r>
      <w:r>
        <w:br/>
      </w:r>
      <w:r>
        <w:rPr>
          <w:rStyle w:val="VerbatimChar"/>
        </w:rPr>
        <w:t xml:space="preserve">│  MCP Server  │  MCP protocol handler; tool registration; schema    │</w:t>
      </w:r>
      <w:r>
        <w:br/>
      </w:r>
      <w:r>
        <w:rPr>
          <w:rStyle w:val="VerbatimChar"/>
        </w:rPr>
        <w:t xml:space="preserve">│  (Python)    │  validation; streaming responses                     │</w:t>
      </w:r>
      <w:r>
        <w:br/>
      </w:r>
      <w:r>
        <w:rPr>
          <w:rStyle w:val="VerbatimChar"/>
        </w:rPr>
        <w:t xml:space="preserve">├──────────────┼─────────────────────────────────────────────────────┤</w:t>
      </w:r>
      <w:r>
        <w:br/>
      </w:r>
      <w:r>
        <w:rPr>
          <w:rStyle w:val="VerbatimChar"/>
        </w:rPr>
        <w:t xml:space="preserve">│  AI Workers  │  Celery + Python; async job processing for model    │</w:t>
      </w:r>
      <w:r>
        <w:br/>
      </w:r>
      <w:r>
        <w:rPr>
          <w:rStyle w:val="VerbatimChar"/>
        </w:rPr>
        <w:t xml:space="preserve">│  (Python)    │  inference, forecasting, anomaly detection           │</w:t>
      </w:r>
      <w:r>
        <w:br/>
      </w:r>
      <w:r>
        <w:rPr>
          <w:rStyle w:val="VerbatimChar"/>
        </w:rPr>
        <w:t xml:space="preserve">├──────────────┼─────────────────────────────────────────────────────┤</w:t>
      </w:r>
      <w:r>
        <w:br/>
      </w:r>
      <w:r>
        <w:rPr>
          <w:rStyle w:val="VerbatimChar"/>
        </w:rPr>
        <w:t xml:space="preserve">│  Real-Time   │  WebSocket server for live dashboard updates;       │</w:t>
      </w:r>
      <w:r>
        <w:br/>
      </w:r>
      <w:r>
        <w:rPr>
          <w:rStyle w:val="VerbatimChar"/>
        </w:rPr>
        <w:t xml:space="preserve">│  Service     │  push notifications; activity streams                │</w:t>
      </w:r>
      <w:r>
        <w:br/>
      </w:r>
      <w:r>
        <w:rPr>
          <w:rStyle w:val="VerbatimChar"/>
        </w:rPr>
        <w:t xml:space="preserve">│  (Node.js)   │                                                      │</w:t>
      </w:r>
      <w:r>
        <w:br/>
      </w:r>
      <w:r>
        <w:rPr>
          <w:rStyle w:val="VerbatimChar"/>
        </w:rPr>
        <w:t xml:space="preserve">├──────────────┼─────────────────────────────────────────────────────┤</w:t>
      </w:r>
      <w:r>
        <w:br/>
      </w:r>
      <w:r>
        <w:rPr>
          <w:rStyle w:val="VerbatimChar"/>
        </w:rPr>
        <w:t xml:space="preserve">│  Sync Engine │  Platform API adapters; rate limit management;      │</w:t>
      </w:r>
      <w:r>
        <w:br/>
      </w:r>
      <w:r>
        <w:rPr>
          <w:rStyle w:val="VerbatimChar"/>
        </w:rPr>
        <w:t xml:space="preserve">│  (Node.js)   │  data normalization; webhook receivers               │</w:t>
      </w:r>
      <w:r>
        <w:br/>
      </w:r>
      <w:r>
        <w:rPr>
          <w:rStyle w:val="VerbatimChar"/>
        </w:rPr>
        <w:t xml:space="preserve">└──────────────┴─────────────────────────────────────────────────────┘</w:t>
      </w:r>
    </w:p>
    <w:p>
      <w:pPr>
        <w:pStyle w:val="FirstParagraph"/>
      </w:pPr>
      <w:r>
        <w:rPr>
          <w:bCs/>
          <w:b/>
        </w:rPr>
        <w:t xml:space="preserve">2. Event-Driven Architecture</w:t>
      </w:r>
    </w:p>
    <w:p>
      <w:pPr>
        <w:pStyle w:val="BodyText"/>
      </w:pPr>
      <w:r>
        <w:t xml:space="preserve">All significant state changes are emitted as events to Kafka, enabling loose coupling between services and supporting real-time workflows: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Event Topic</w:t>
            </w:r>
          </w:p>
        </w:tc>
        <w:tc>
          <w:tcPr/>
          <w:p>
            <w:pPr>
              <w:pStyle w:val="Compact"/>
              <w:jc w:val="left"/>
            </w:pPr>
            <w:r>
              <w:t xml:space="preserve">Producer</w:t>
            </w:r>
          </w:p>
        </w:tc>
        <w:tc>
          <w:tcPr/>
          <w:p>
            <w:pPr>
              <w:pStyle w:val="Compact"/>
              <w:jc w:val="left"/>
            </w:pPr>
            <w:r>
              <w:t xml:space="preserve">Consumers</w:t>
            </w:r>
          </w:p>
        </w:tc>
        <w:tc>
          <w:tcPr/>
          <w:p>
            <w:pPr>
              <w:pStyle w:val="Compact"/>
              <w:jc w:val="left"/>
            </w:pPr>
            <w:r>
              <w:t xml:space="preserve">Purpose</w:t>
            </w:r>
          </w:p>
        </w:tc>
      </w:tr>
      <w:tr>
        <w:tc>
          <w:tcPr/>
          <w:p>
            <w:pPr>
              <w:pStyle w:val="Compact"/>
              <w:jc w:val="left"/>
            </w:pPr>
            <w:r>
              <w:rPr>
                <w:rStyle w:val="VerbatimChar"/>
              </w:rPr>
              <w:t xml:space="preserve">campaign.changed</w:t>
            </w:r>
          </w:p>
        </w:tc>
        <w:tc>
          <w:tcPr/>
          <w:p>
            <w:pPr>
              <w:pStyle w:val="Compact"/>
              <w:jc w:val="left"/>
            </w:pPr>
            <w:r>
              <w:t xml:space="preserve">Sync Engine</w:t>
            </w:r>
          </w:p>
        </w:tc>
        <w:tc>
          <w:tcPr/>
          <w:p>
            <w:pPr>
              <w:pStyle w:val="Compact"/>
              <w:jc w:val="left"/>
            </w:pPr>
            <w:r>
              <w:t xml:space="preserve">API Server, Real-Time Service</w:t>
            </w:r>
          </w:p>
        </w:tc>
        <w:tc>
          <w:tcPr/>
          <w:p>
            <w:pPr>
              <w:pStyle w:val="Compact"/>
              <w:jc w:val="left"/>
            </w:pPr>
            <w:r>
              <w:t xml:space="preserve">Propagate platform changes to UI</w:t>
            </w:r>
          </w:p>
        </w:tc>
      </w:tr>
      <w:tr>
        <w:tc>
          <w:tcPr/>
          <w:p>
            <w:pPr>
              <w:pStyle w:val="Compact"/>
              <w:jc w:val="left"/>
            </w:pPr>
            <w:r>
              <w:rPr>
                <w:rStyle w:val="VerbatimChar"/>
              </w:rPr>
              <w:t xml:space="preserve">metrics.updated</w:t>
            </w:r>
          </w:p>
        </w:tc>
        <w:tc>
          <w:tcPr/>
          <w:p>
            <w:pPr>
              <w:pStyle w:val="Compact"/>
              <w:jc w:val="left"/>
            </w:pPr>
            <w:r>
              <w:t xml:space="preserve">Sync Engine</w:t>
            </w:r>
          </w:p>
        </w:tc>
        <w:tc>
          <w:tcPr/>
          <w:p>
            <w:pPr>
              <w:pStyle w:val="Compact"/>
              <w:jc w:val="left"/>
            </w:pPr>
            <w:r>
              <w:t xml:space="preserve">AI Workers, Real-Time Service</w:t>
            </w:r>
          </w:p>
        </w:tc>
        <w:tc>
          <w:tcPr/>
          <w:p>
            <w:pPr>
              <w:pStyle w:val="Compact"/>
              <w:jc w:val="left"/>
            </w:pPr>
            <w:r>
              <w:t xml:space="preserve">Trigger analysis, update dashboards</w:t>
            </w:r>
          </w:p>
        </w:tc>
      </w:tr>
      <w:tr>
        <w:tc>
          <w:tcPr/>
          <w:p>
            <w:pPr>
              <w:pStyle w:val="Compact"/>
              <w:jc w:val="left"/>
            </w:pPr>
            <w:r>
              <w:rPr>
                <w:rStyle w:val="VerbatimChar"/>
              </w:rPr>
              <w:t xml:space="preserve">draft.created</w:t>
            </w:r>
          </w:p>
        </w:tc>
        <w:tc>
          <w:tcPr/>
          <w:p>
            <w:pPr>
              <w:pStyle w:val="Compact"/>
              <w:jc w:val="left"/>
            </w:pPr>
            <w:r>
              <w:t xml:space="preserve">API Server</w:t>
            </w:r>
          </w:p>
        </w:tc>
        <w:tc>
          <w:tcPr/>
          <w:p>
            <w:pPr>
              <w:pStyle w:val="Compact"/>
              <w:jc w:val="left"/>
            </w:pPr>
            <w:r>
              <w:t xml:space="preserve">AI Workers, Notification Service</w:t>
            </w:r>
          </w:p>
        </w:tc>
        <w:tc>
          <w:tcPr/>
          <w:p>
            <w:pPr>
              <w:pStyle w:val="Compact"/>
              <w:jc w:val="left"/>
            </w:pPr>
            <w:r>
              <w:t xml:space="preserve">Process AI recommendations, alert users</w:t>
            </w:r>
          </w:p>
        </w:tc>
      </w:tr>
      <w:tr>
        <w:tc>
          <w:tcPr/>
          <w:p>
            <w:pPr>
              <w:pStyle w:val="Compact"/>
              <w:jc w:val="left"/>
            </w:pPr>
            <w:r>
              <w:rPr>
                <w:rStyle w:val="VerbatimChar"/>
              </w:rPr>
              <w:t xml:space="preserve">draft.approved</w:t>
            </w:r>
          </w:p>
        </w:tc>
        <w:tc>
          <w:tcPr/>
          <w:p>
            <w:pPr>
              <w:pStyle w:val="Compact"/>
              <w:jc w:val="left"/>
            </w:pPr>
            <w:r>
              <w:t xml:space="preserve">API Server</w:t>
            </w:r>
          </w:p>
        </w:tc>
        <w:tc>
          <w:tcPr/>
          <w:p>
            <w:pPr>
              <w:pStyle w:val="Compact"/>
              <w:jc w:val="left"/>
            </w:pPr>
            <w:r>
              <w:t xml:space="preserve">Sync Engine, Audit Logger</w:t>
            </w:r>
          </w:p>
        </w:tc>
        <w:tc>
          <w:tcPr/>
          <w:p>
            <w:pPr>
              <w:pStyle w:val="Compact"/>
              <w:jc w:val="left"/>
            </w:pPr>
            <w:r>
              <w:t xml:space="preserve">Execute approved changes, maintain audit trail</w:t>
            </w:r>
          </w:p>
        </w:tc>
      </w:tr>
      <w:tr>
        <w:tc>
          <w:tcPr/>
          <w:p>
            <w:pPr>
              <w:pStyle w:val="Compact"/>
              <w:jc w:val="left"/>
            </w:pPr>
            <w:r>
              <w:rPr>
                <w:rStyle w:val="VerbatimChar"/>
              </w:rPr>
              <w:t xml:space="preserve">alert.triggered</w:t>
            </w:r>
          </w:p>
        </w:tc>
        <w:tc>
          <w:tcPr/>
          <w:p>
            <w:pPr>
              <w:pStyle w:val="Compact"/>
              <w:jc w:val="left"/>
            </w:pPr>
            <w:r>
              <w:t xml:space="preserve">AI Workers</w:t>
            </w:r>
          </w:p>
        </w:tc>
        <w:tc>
          <w:tcPr/>
          <w:p>
            <w:pPr>
              <w:pStyle w:val="Compact"/>
              <w:jc w:val="left"/>
            </w:pPr>
            <w:r>
              <w:t xml:space="preserve">Notification Service, Real-Time Service</w:t>
            </w:r>
          </w:p>
        </w:tc>
        <w:tc>
          <w:tcPr/>
          <w:p>
            <w:pPr>
              <w:pStyle w:val="Compact"/>
              <w:jc w:val="left"/>
            </w:pPr>
            <w:r>
              <w:t xml:space="preserve">Deliver alerts via email, Slack, in-app</w:t>
            </w:r>
          </w:p>
        </w:tc>
      </w:tr>
      <w:tr>
        <w:tc>
          <w:tcPr/>
          <w:p>
            <w:pPr>
              <w:pStyle w:val="Compact"/>
              <w:jc w:val="left"/>
            </w:pPr>
            <w:r>
              <w:rPr>
                <w:rStyle w:val="VerbatimChar"/>
              </w:rPr>
              <w:t xml:space="preserve">report.requested</w:t>
            </w:r>
          </w:p>
        </w:tc>
        <w:tc>
          <w:tcPr/>
          <w:p>
            <w:pPr>
              <w:pStyle w:val="Compact"/>
              <w:jc w:val="left"/>
            </w:pPr>
            <w:r>
              <w:t xml:space="preserve">API Server</w:t>
            </w:r>
          </w:p>
        </w:tc>
        <w:tc>
          <w:tcPr/>
          <w:p>
            <w:pPr>
              <w:pStyle w:val="Compact"/>
              <w:jc w:val="left"/>
            </w:pPr>
            <w:r>
              <w:t xml:space="preserve">AI Workers</w:t>
            </w:r>
          </w:p>
        </w:tc>
        <w:tc>
          <w:tcPr/>
          <w:p>
            <w:pPr>
              <w:pStyle w:val="Compact"/>
              <w:jc w:val="left"/>
            </w:pPr>
            <w:r>
              <w:t xml:space="preserve">Generate scheduled/on-demand reports</w:t>
            </w:r>
          </w:p>
        </w:tc>
      </w:tr>
    </w:tbl>
    <w:p>
      <w:pPr>
        <w:pStyle w:val="BodyText"/>
      </w:pPr>
      <w:r>
        <w:rPr>
          <w:bCs/>
          <w:b/>
        </w:rPr>
        <w:t xml:space="preserve">3. CQRS (Command Query Responsibility Segregation)</w:t>
      </w:r>
    </w:p>
    <w:p>
      <w:pPr>
        <w:pStyle w:val="BodyText"/>
      </w:pPr>
      <w:r>
        <w:t xml:space="preserve">Write operations (campaign creation, draft approval, budget changes) flow through the transactional PostgreSQL path with full ACID guarantees. Read operations (dashboards, reports, analytics) are served from optimized read models — materialized views in PostgreSQL, cached aggregations in Redis, and pre-computed analytics tables refreshed on a schedule.</w:t>
      </w:r>
    </w:p>
    <w:p>
      <w:pPr>
        <w:pStyle w:val="BodyText"/>
      </w:pPr>
      <w:r>
        <w:rPr>
          <w:bCs/>
          <w:b/>
        </w:rPr>
        <w:t xml:space="preserve">4. Multi-Tenancy</w:t>
      </w:r>
    </w:p>
    <w:p>
      <w:pPr>
        <w:pStyle w:val="BodyText"/>
      </w:pPr>
      <w:r>
        <w:t xml:space="preserve">Two tenancy models support different customer segments: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Implementation</w:t>
            </w:r>
          </w:p>
        </w:tc>
        <w:tc>
          <w:tcPr/>
          <w:p>
            <w:pPr>
              <w:pStyle w:val="Compact"/>
              <w:jc w:val="left"/>
            </w:pPr>
            <w:r>
              <w:t xml:space="preserve">Use Case</w:t>
            </w:r>
          </w:p>
        </w:tc>
      </w:tr>
      <w:tr>
        <w:tc>
          <w:tcPr/>
          <w:p>
            <w:pPr>
              <w:pStyle w:val="Compact"/>
              <w:jc w:val="left"/>
            </w:pPr>
            <w:r>
              <w:rPr>
                <w:bCs/>
                <w:b/>
              </w:rPr>
              <w:t xml:space="preserve">Row-Level Security</w:t>
            </w:r>
          </w:p>
        </w:tc>
        <w:tc>
          <w:tcPr/>
          <w:p>
            <w:pPr>
              <w:pStyle w:val="Compact"/>
              <w:jc w:val="left"/>
            </w:pPr>
            <w:r>
              <w:rPr>
                <w:rStyle w:val="VerbatimChar"/>
              </w:rPr>
              <w:t xml:space="preserve">tenant_id</w:t>
            </w:r>
            <w:r>
              <w:t xml:space="preserve"> </w:t>
            </w:r>
            <w:r>
              <w:t xml:space="preserve">column on all tables; RLS policies enforce isolation</w:t>
            </w:r>
          </w:p>
        </w:tc>
        <w:tc>
          <w:tcPr/>
          <w:p>
            <w:pPr>
              <w:pStyle w:val="Compact"/>
              <w:jc w:val="left"/>
            </w:pPr>
            <w:r>
              <w:t xml:space="preserve">SMB and mid-market customers; cost-efficient shared infrastructure</w:t>
            </w:r>
          </w:p>
        </w:tc>
      </w:tr>
      <w:tr>
        <w:tc>
          <w:tcPr/>
          <w:p>
            <w:pPr>
              <w:pStyle w:val="Compact"/>
              <w:jc w:val="left"/>
            </w:pPr>
            <w:r>
              <w:rPr>
                <w:bCs/>
                <w:b/>
              </w:rPr>
              <w:t xml:space="preserve">Schema-Per-Tenant</w:t>
            </w:r>
          </w:p>
        </w:tc>
        <w:tc>
          <w:tcPr/>
          <w:p>
            <w:pPr>
              <w:pStyle w:val="Compact"/>
              <w:jc w:val="left"/>
            </w:pPr>
            <w:r>
              <w:t xml:space="preserve">Dedicated PostgreSQL schema per agency/client</w:t>
            </w:r>
          </w:p>
        </w:tc>
        <w:tc>
          <w:tcPr/>
          <w:p>
            <w:pPr>
              <w:pStyle w:val="Compact"/>
              <w:jc w:val="left"/>
            </w:pPr>
            <w:r>
              <w:t xml:space="preserve">Large agencies and enterprises requiring data isolation for compliance</w:t>
            </w:r>
          </w:p>
        </w:tc>
      </w:tr>
    </w:tbl>
    <w:p>
      <w:pPr>
        <w:pStyle w:val="BodyText"/>
      </w:pPr>
      <w:r>
        <w:t xml:space="preserve">Tenant context is resolved at the API gateway layer from the authentication token and propagated through request headers to all services.</w:t>
      </w:r>
    </w:p>
    <w:p>
      <w:pPr>
        <w:pStyle w:val="BodyText"/>
      </w:pPr>
      <w:r>
        <w:rPr>
          <w:bCs/>
          <w:b/>
        </w:rPr>
        <w:t xml:space="preserve">5. Privacy-First Design</w:t>
      </w:r>
    </w:p>
    <w:p>
      <w:pPr>
        <w:numPr>
          <w:ilvl w:val="0"/>
          <w:numId w:val="1009"/>
        </w:numPr>
        <w:pStyle w:val="Compact"/>
      </w:pPr>
      <w:r>
        <w:rPr>
          <w:bCs/>
          <w:b/>
        </w:rPr>
        <w:t xml:space="preserve">Server-Side Tracking</w:t>
      </w:r>
      <w:r>
        <w:t xml:space="preserve">: AdNexus does not rely on client-side pixels for conversion tracking; instead, it ingests conversion data via server-to-server APIs (Meta CAPI, Google Enhanced Conversions, TikTok Events API) ensuring accuracy even with ad blockers and iOS privacy restrictions.</w:t>
      </w:r>
    </w:p>
    <w:p>
      <w:pPr>
        <w:numPr>
          <w:ilvl w:val="0"/>
          <w:numId w:val="1009"/>
        </w:numPr>
        <w:pStyle w:val="Compact"/>
      </w:pPr>
      <w:r>
        <w:rPr>
          <w:bCs/>
          <w:b/>
        </w:rPr>
        <w:t xml:space="preserve">Consent Management</w:t>
      </w:r>
      <w:r>
        <w:t xml:space="preserve">: Integration with consent management platforms (OneTrust, TrustArc) to respect user privacy preferences and enforce geographic consent requirements.</w:t>
      </w:r>
    </w:p>
    <w:p>
      <w:pPr>
        <w:numPr>
          <w:ilvl w:val="0"/>
          <w:numId w:val="1009"/>
        </w:numPr>
        <w:pStyle w:val="Compact"/>
      </w:pPr>
      <w:r>
        <w:rPr>
          <w:bCs/>
          <w:b/>
        </w:rPr>
        <w:t xml:space="preserve">Audit Trails</w:t>
      </w:r>
      <w:r>
        <w:t xml:space="preserve">: Every data access, every AI recommendation, every approval decision is logged immutably with user ID, timestamp, IP address, and full before/after state for compliance and forensic analysis.</w:t>
      </w:r>
    </w:p>
    <w:bookmarkEnd w:id="58"/>
    <w:bookmarkStart w:id="59" w:name="data-architecture"/>
    <w:p>
      <w:pPr>
        <w:pStyle w:val="Heading3"/>
      </w:pPr>
      <w:r>
        <w:t xml:space="preserve">7.3 Data Architecture</w:t>
      </w:r>
    </w:p>
    <w:p>
      <w:pPr>
        <w:pStyle w:val="SourceCode"/>
      </w:pPr>
      <w:r>
        <w:rPr>
          <w:rStyle w:val="VerbatimChar"/>
        </w:rPr>
        <w:t xml:space="preserve">┌────────────────────────────────────────────────────────────────────┐</w:t>
      </w:r>
      <w:r>
        <w:br/>
      </w:r>
      <w:r>
        <w:rPr>
          <w:rStyle w:val="VerbatimChar"/>
        </w:rPr>
        <w:t xml:space="preserve">│                      DATA FLOW ARCHITECTURE                         │</w:t>
      </w:r>
      <w:r>
        <w:br/>
      </w:r>
      <w:r>
        <w:rPr>
          <w:rStyle w:val="VerbatimChar"/>
        </w:rPr>
        <w:t xml:space="preserve">│                                                                     │</w:t>
      </w:r>
      <w:r>
        <w:br/>
      </w:r>
      <w:r>
        <w:rPr>
          <w:rStyle w:val="VerbatimChar"/>
        </w:rPr>
        <w:t xml:space="preserve">│   ┌─────────────┐     ┌──────────────┐     ┌──────────────────┐   │</w:t>
      </w:r>
      <w:r>
        <w:br/>
      </w:r>
      <w:r>
        <w:rPr>
          <w:rStyle w:val="VerbatimChar"/>
        </w:rPr>
        <w:t xml:space="preserve">│   │  Platform   │────▶│  Sync Engine │────▶│  Raw Data Store  │   │</w:t>
      </w:r>
      <w:r>
        <w:br/>
      </w:r>
      <w:r>
        <w:rPr>
          <w:rStyle w:val="VerbatimChar"/>
        </w:rPr>
        <w:t xml:space="preserve">│   │  APIs       │     │  (Adapters)  │     │  (PostgreSQL)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Analytics Warehouse    │  │  Real-Time Cache │  │ AI/ML    │ │</w:t>
      </w:r>
      <w:r>
        <w:br/>
      </w:r>
      <w:r>
        <w:rPr>
          <w:rStyle w:val="VerbatimChar"/>
        </w:rPr>
        <w:t xml:space="preserve">│   │  (Materialized Views)   │  │  (Redis)         │  │ Models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API RESPONSE LAYER                      │ │</w:t>
      </w:r>
      <w:r>
        <w:br/>
      </w:r>
      <w:r>
        <w:rPr>
          <w:rStyle w:val="VerbatimChar"/>
        </w:rPr>
        <w:t xml:space="preserve">│   │         (REST API + GraphQL + WebSocket Streams)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FRONTEND APPLICATION                        │ │</w:t>
      </w:r>
      <w:r>
        <w:br/>
      </w:r>
      <w:r>
        <w:rPr>
          <w:rStyle w:val="VerbatimChar"/>
        </w:rPr>
        <w:t xml:space="preserve">│   │         (Dashboards + Approval Queues + Reports)             │ │</w:t>
      </w:r>
      <w:r>
        <w:br/>
      </w:r>
      <w:r>
        <w:rPr>
          <w:rStyle w:val="VerbatimChar"/>
        </w:rPr>
        <w:t xml:space="preserve">│   └─────────────────────────────────────────────────────────────┘ │</w:t>
      </w:r>
      <w:r>
        <w:br/>
      </w:r>
      <w:r>
        <w:rPr>
          <w:rStyle w:val="VerbatimChar"/>
        </w:rPr>
        <w:t xml:space="preserve">└────────────────────────────────────────────────────────────────────┘</w:t>
      </w:r>
    </w:p>
    <w:bookmarkEnd w:id="59"/>
    <w:bookmarkStart w:id="60" w:name="api-rate-limit-management"/>
    <w:p>
      <w:pPr>
        <w:pStyle w:val="Heading3"/>
      </w:pPr>
      <w:r>
        <w:t xml:space="preserve">7.4 API Rate Limit Management</w:t>
      </w:r>
    </w:p>
    <w:p>
      <w:pPr>
        <w:pStyle w:val="FirstParagraph"/>
      </w:pPr>
      <w:r>
        <w:t xml:space="preserve">Each advertising platform imposes distinct rate limits. AdNexus implements platform-specific strategies to maximize throughput while respecting constraints: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Rate Limit</w:t>
            </w:r>
          </w:p>
        </w:tc>
        <w:tc>
          <w:tcPr/>
          <w:p>
            <w:pPr>
              <w:pStyle w:val="Compact"/>
              <w:jc w:val="left"/>
            </w:pPr>
            <w:r>
              <w:t xml:space="preserve">AdNexus Strategy</w:t>
            </w:r>
          </w:p>
        </w:tc>
        <w:tc>
          <w:tcPr/>
          <w:p>
            <w:pPr>
              <w:pStyle w:val="Compact"/>
              <w:jc w:val="left"/>
            </w:pPr>
            <w:r>
              <w:t xml:space="preserve">Implementation</w:t>
            </w:r>
          </w:p>
        </w:tc>
      </w:tr>
      <w:tr>
        <w:tc>
          <w:tcPr/>
          <w:p>
            <w:pPr>
              <w:pStyle w:val="Compact"/>
              <w:jc w:val="left"/>
            </w:pPr>
            <w:r>
              <w:rPr>
                <w:bCs/>
                <w:b/>
              </w:rPr>
              <w:t xml:space="preserve">Meta Marketing API</w:t>
            </w:r>
          </w:p>
        </w:tc>
        <w:tc>
          <w:tcPr/>
          <w:p>
            <w:pPr>
              <w:pStyle w:val="Compact"/>
              <w:jc w:val="left"/>
            </w:pPr>
            <w:r>
              <w:t xml:space="preserve">200 calls × number of users / hour</w:t>
            </w:r>
          </w:p>
        </w:tc>
        <w:tc>
          <w:tcPr/>
          <w:p>
            <w:pPr>
              <w:pStyle w:val="Compact"/>
              <w:jc w:val="left"/>
            </w:pPr>
            <w:r>
              <w:rPr>
                <w:bCs/>
                <w:b/>
              </w:rPr>
              <w:t xml:space="preserve">Tiered quotas with caching</w:t>
            </w:r>
            <w:r>
              <w:t xml:space="preserve">: User-count-aware dynamic rate allocation; 5-min TTL cache for read requests; aggressive batching of write operations</w:t>
            </w:r>
          </w:p>
        </w:tc>
        <w:tc>
          <w:tcPr/>
          <w:p>
            <w:pPr>
              <w:pStyle w:val="Compact"/>
              <w:jc w:val="left"/>
            </w:pPr>
            <w:r>
              <w:t xml:space="preserve">Token bucket algorithm with per-workshop quota distribution; Redis-backed counters</w:t>
            </w:r>
          </w:p>
        </w:tc>
      </w:tr>
      <w:tr>
        <w:tc>
          <w:tcPr/>
          <w:p>
            <w:pPr>
              <w:pStyle w:val="Compact"/>
              <w:jc w:val="left"/>
            </w:pPr>
            <w:r>
              <w:rPr>
                <w:bCs/>
                <w:b/>
              </w:rPr>
              <w:t xml:space="preserve">Google Ads API</w:t>
            </w:r>
          </w:p>
        </w:tc>
        <w:tc>
          <w:tcPr/>
          <w:p>
            <w:pPr>
              <w:pStyle w:val="Compact"/>
              <w:jc w:val="left"/>
            </w:pPr>
            <w:r>
              <w:t xml:space="preserve">15,000 operations / developer token / day</w:t>
            </w:r>
          </w:p>
        </w:tc>
        <w:tc>
          <w:tcPr/>
          <w:p>
            <w:pPr>
              <w:pStyle w:val="Compact"/>
              <w:jc w:val="left"/>
            </w:pPr>
            <w:r>
              <w:rPr>
                <w:bCs/>
                <w:b/>
              </w:rPr>
              <w:t xml:space="preserve">Batching + request coalescing</w:t>
            </w:r>
            <w:r>
              <w:t xml:space="preserve">: Google Ads API mutate operations batch up to 10,000 operations; parallel mutate requests across multiple campaigns; field masks to minimize payload</w:t>
            </w:r>
          </w:p>
        </w:tc>
        <w:tc>
          <w:tcPr/>
          <w:p>
            <w:pPr>
              <w:pStyle w:val="Compact"/>
              <w:jc w:val="left"/>
            </w:pPr>
            <w:r>
              <w:t xml:space="preserve">Exponential backoff on rate limit errors; daily spend tracking with mid-day throttle warnings</w:t>
            </w:r>
          </w:p>
        </w:tc>
      </w:tr>
      <w:tr>
        <w:tc>
          <w:tcPr/>
          <w:p>
            <w:pPr>
              <w:pStyle w:val="Compact"/>
              <w:jc w:val="left"/>
            </w:pPr>
            <w:r>
              <w:rPr>
                <w:bCs/>
                <w:b/>
              </w:rPr>
              <w:t xml:space="preserve">TikTok Ads API</w:t>
            </w:r>
          </w:p>
        </w:tc>
        <w:tc>
          <w:tcPr/>
          <w:p>
            <w:pPr>
              <w:pStyle w:val="Compact"/>
              <w:jc w:val="left"/>
            </w:pPr>
            <w:r>
              <w:t xml:space="preserve">50 queries per second</w:t>
            </w:r>
          </w:p>
        </w:tc>
        <w:tc>
          <w:tcPr/>
          <w:p>
            <w:pPr>
              <w:pStyle w:val="Compact"/>
              <w:jc w:val="left"/>
            </w:pPr>
            <w:r>
              <w:rPr>
                <w:bCs/>
                <w:b/>
              </w:rPr>
              <w:t xml:space="preserve">Token bucket with exponential backoff</w:t>
            </w:r>
            <w:r>
              <w:t xml:space="preserve">: Smooth request distribution; burst handling with queue-based deferral; prioritized request scheduling (sync &gt; reporting &gt; AI analysis)</w:t>
            </w:r>
          </w:p>
        </w:tc>
        <w:tc>
          <w:tcPr/>
          <w:p>
            <w:pPr>
              <w:pStyle w:val="Compact"/>
              <w:jc w:val="left"/>
            </w:pPr>
            <w:r>
              <w:t xml:space="preserve">Leaky bucket implementation; request queue with priority classes</w:t>
            </w:r>
          </w:p>
        </w:tc>
      </w:tr>
      <w:tr>
        <w:tc>
          <w:tcPr/>
          <w:p>
            <w:pPr>
              <w:pStyle w:val="Compact"/>
              <w:jc w:val="left"/>
            </w:pPr>
            <w:r>
              <w:rPr>
                <w:bCs/>
                <w:b/>
              </w:rPr>
              <w:t xml:space="preserve">Snap Marketing API</w:t>
            </w:r>
          </w:p>
        </w:tc>
        <w:tc>
          <w:tcPr/>
          <w:p>
            <w:pPr>
              <w:pStyle w:val="Compact"/>
              <w:jc w:val="left"/>
            </w:pPr>
            <w:r>
              <w:t xml:space="preserve">20 queries per second</w:t>
            </w:r>
          </w:p>
        </w:tc>
        <w:tc>
          <w:tcPr/>
          <w:p>
            <w:pPr>
              <w:pStyle w:val="Compact"/>
              <w:jc w:val="left"/>
            </w:pPr>
            <w:r>
              <w:rPr>
                <w:bCs/>
                <w:b/>
              </w:rPr>
              <w:t xml:space="preserve">Priority queue + rate limiting</w:t>
            </w:r>
            <w:r>
              <w:t xml:space="preserve">: Critical sync operations get highest priority; reporting and analytics requests queued for off-peak windows</w:t>
            </w:r>
          </w:p>
        </w:tc>
        <w:tc>
          <w:tcPr/>
          <w:p>
            <w:pPr>
              <w:pStyle w:val="Compact"/>
              <w:jc w:val="left"/>
            </w:pPr>
            <w:r>
              <w:t xml:space="preserve">Redis Sorted Set priority queue; sliding window rate limiter</w:t>
            </w:r>
          </w:p>
        </w:tc>
      </w:tr>
    </w:tbl>
    <w:p>
      <w:pPr>
        <w:pStyle w:val="BodyText"/>
      </w:pPr>
      <w:r>
        <w:rPr>
          <w:bCs/>
          <w:b/>
        </w:rPr>
        <w:t xml:space="preserve">Cross-Platform Sync Schedule: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Sync Frequency</w:t>
            </w:r>
          </w:p>
        </w:tc>
        <w:tc>
          <w:tcPr/>
          <w:p>
            <w:pPr>
              <w:pStyle w:val="Compact"/>
              <w:jc w:val="left"/>
            </w:pPr>
            <w:r>
              <w:t xml:space="preserve">Latency Target</w:t>
            </w:r>
          </w:p>
        </w:tc>
      </w:tr>
      <w:tr>
        <w:tc>
          <w:tcPr/>
          <w:p>
            <w:pPr>
              <w:pStyle w:val="Compact"/>
              <w:jc w:val="left"/>
            </w:pPr>
            <w:r>
              <w:t xml:space="preserve">Campaign structure</w:t>
            </w:r>
          </w:p>
        </w:tc>
        <w:tc>
          <w:tcPr/>
          <w:p>
            <w:pPr>
              <w:pStyle w:val="Compact"/>
              <w:jc w:val="left"/>
            </w:pPr>
            <w:r>
              <w:t xml:space="preserve">Every 5 minutes</w:t>
            </w:r>
          </w:p>
        </w:tc>
        <w:tc>
          <w:tcPr/>
          <w:p>
            <w:pPr>
              <w:pStyle w:val="Compact"/>
              <w:jc w:val="left"/>
            </w:pPr>
            <w:r>
              <w:t xml:space="preserve">&lt;5 min stale</w:t>
            </w:r>
          </w:p>
        </w:tc>
      </w:tr>
      <w:tr>
        <w:tc>
          <w:tcPr/>
          <w:p>
            <w:pPr>
              <w:pStyle w:val="Compact"/>
              <w:jc w:val="left"/>
            </w:pPr>
            <w:r>
              <w:t xml:space="preserve">Spend data</w:t>
            </w:r>
          </w:p>
        </w:tc>
        <w:tc>
          <w:tcPr/>
          <w:p>
            <w:pPr>
              <w:pStyle w:val="Compact"/>
              <w:jc w:val="left"/>
            </w:pPr>
            <w:r>
              <w:t xml:space="preserve">Every 2 minutes</w:t>
            </w:r>
          </w:p>
        </w:tc>
        <w:tc>
          <w:tcPr/>
          <w:p>
            <w:pPr>
              <w:pStyle w:val="Compact"/>
              <w:jc w:val="left"/>
            </w:pPr>
            <w:r>
              <w:t xml:space="preserve">&lt;2 min stale</w:t>
            </w:r>
          </w:p>
        </w:tc>
      </w:tr>
      <w:tr>
        <w:tc>
          <w:tcPr/>
          <w:p>
            <w:pPr>
              <w:pStyle w:val="Compact"/>
              <w:jc w:val="left"/>
            </w:pPr>
            <w:r>
              <w:t xml:space="preserve">Conversion data</w:t>
            </w:r>
          </w:p>
        </w:tc>
        <w:tc>
          <w:tcPr/>
          <w:p>
            <w:pPr>
              <w:pStyle w:val="Compact"/>
              <w:jc w:val="left"/>
            </w:pPr>
            <w:r>
              <w:t xml:space="preserve">Every 15 minutes</w:t>
            </w:r>
          </w:p>
        </w:tc>
        <w:tc>
          <w:tcPr/>
          <w:p>
            <w:pPr>
              <w:pStyle w:val="Compact"/>
              <w:jc w:val="left"/>
            </w:pPr>
            <w:r>
              <w:t xml:space="preserve">&lt;15 min stale</w:t>
            </w:r>
          </w:p>
        </w:tc>
      </w:tr>
      <w:tr>
        <w:tc>
          <w:tcPr/>
          <w:p>
            <w:pPr>
              <w:pStyle w:val="Compact"/>
              <w:jc w:val="left"/>
            </w:pPr>
            <w:r>
              <w:t xml:space="preserve">Creative performance</w:t>
            </w:r>
          </w:p>
        </w:tc>
        <w:tc>
          <w:tcPr/>
          <w:p>
            <w:pPr>
              <w:pStyle w:val="Compact"/>
              <w:jc w:val="left"/>
            </w:pPr>
            <w:r>
              <w:t xml:space="preserve">Every 30 minutes</w:t>
            </w:r>
          </w:p>
        </w:tc>
        <w:tc>
          <w:tcPr/>
          <w:p>
            <w:pPr>
              <w:pStyle w:val="Compact"/>
              <w:jc w:val="left"/>
            </w:pPr>
            <w:r>
              <w:t xml:space="preserve">&lt;30 min stale</w:t>
            </w:r>
          </w:p>
        </w:tc>
      </w:tr>
      <w:tr>
        <w:tc>
          <w:tcPr/>
          <w:p>
            <w:pPr>
              <w:pStyle w:val="Compact"/>
              <w:jc w:val="left"/>
            </w:pPr>
            <w:r>
              <w:t xml:space="preserve">Competitive intelligence</w:t>
            </w:r>
          </w:p>
        </w:tc>
        <w:tc>
          <w:tcPr/>
          <w:p>
            <w:pPr>
              <w:pStyle w:val="Compact"/>
              <w:jc w:val="left"/>
            </w:pPr>
            <w:r>
              <w:t xml:space="preserve">Daily</w:t>
            </w:r>
          </w:p>
        </w:tc>
        <w:tc>
          <w:tcPr/>
          <w:p>
            <w:pPr>
              <w:pStyle w:val="Compact"/>
              <w:jc w:val="left"/>
            </w:pPr>
            <w:r>
              <w:t xml:space="preserve">Daily refresh</w:t>
            </w:r>
          </w:p>
        </w:tc>
      </w:tr>
    </w:tbl>
    <w:p>
      <w:r>
        <w:pict>
          <v:rect style="width:0;height:1.5pt" o:hralign="center" o:hrstd="t" o:hr="t"/>
        </w:pict>
      </w:r>
    </w:p>
    <w:bookmarkEnd w:id="60"/>
    <w:bookmarkEnd w:id="61"/>
    <w:bookmarkStart w:id="68" w:name="ai-agent-design"/>
    <w:p>
      <w:pPr>
        <w:pStyle w:val="Heading2"/>
      </w:pPr>
      <w:r>
        <w:t xml:space="preserve">8. AI Agent Design</w:t>
      </w:r>
    </w:p>
    <w:bookmarkStart w:id="62" w:name="agent-architecture"/>
    <w:p>
      <w:pPr>
        <w:pStyle w:val="Heading3"/>
      </w:pPr>
      <w:r>
        <w:t xml:space="preserve">8.1 Agent Architecture</w:t>
      </w:r>
    </w:p>
    <w:p>
      <w:pPr>
        <w:pStyle w:val="FirstParagraph"/>
      </w:pPr>
      <w:r>
        <w:t xml:space="preserve">AdNexus implements a</w:t>
      </w:r>
      <w:r>
        <w:t xml:space="preserve"> </w:t>
      </w:r>
      <w:r>
        <w:rPr>
          <w:bCs/>
          <w:b/>
        </w:rPr>
        <w:t xml:space="preserve">multi-agent system</w:t>
      </w:r>
      <w:r>
        <w:t xml:space="preserve"> </w:t>
      </w:r>
      <w:r>
        <w:t xml:space="preserve">coordinated by a Director Agent. Each specialized agent has a narrow domain of expertise, access to specific tools, and defined escalation paths to human reviewers.</w:t>
      </w:r>
    </w:p>
    <w:p>
      <w:pPr>
        <w:pStyle w:val="SourceCode"/>
      </w:pPr>
      <w:r>
        <w:rPr>
          <w:rStyle w:val="VerbatimChar"/>
        </w:rPr>
        <w:t xml:space="preserve">┌─────────────────────────────────────────────────────────────────────┐</w:t>
      </w:r>
      <w:r>
        <w:br/>
      </w:r>
      <w:r>
        <w:rPr>
          <w:rStyle w:val="VerbatimChar"/>
        </w:rPr>
        <w:t xml:space="preserve">│                    ADNEXUS AI AGENT ARCHITECTURE                     │</w:t>
      </w:r>
      <w:r>
        <w:br/>
      </w:r>
      <w:r>
        <w:rPr>
          <w:rStyle w:val="VerbatimChar"/>
        </w:rPr>
        <w:t xml:space="preserve">│                                                                     │</w:t>
      </w:r>
      <w:r>
        <w:br/>
      </w:r>
      <w:r>
        <w:rPr>
          <w:rStyle w:val="VerbatimChar"/>
        </w:rPr>
        <w:t xml:space="preserve">│                        ┌─────────────┐                              │</w:t>
      </w:r>
      <w:r>
        <w:br/>
      </w:r>
      <w:r>
        <w:rPr>
          <w:rStyle w:val="VerbatimChar"/>
        </w:rPr>
        <w:t xml:space="preserve">│                        │   Director  │                              │</w:t>
      </w:r>
      <w:r>
        <w:br/>
      </w:r>
      <w:r>
        <w:rPr>
          <w:rStyle w:val="VerbatimChar"/>
        </w:rPr>
        <w:t xml:space="preserve">│                        │   Agent     │                              │</w:t>
      </w:r>
      <w:r>
        <w:br/>
      </w:r>
      <w:r>
        <w:rPr>
          <w:rStyle w:val="VerbatimChar"/>
        </w:rPr>
        <w:t xml:space="preserve">│                        │  (Router)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Optimization│    │   Creative  │    │   Budget    │           │</w:t>
      </w:r>
      <w:r>
        <w:br/>
      </w:r>
      <w:r>
        <w:rPr>
          <w:rStyle w:val="VerbatimChar"/>
        </w:rPr>
        <w:t xml:space="preserve">│    │   Agent     │    │   Agent     │    │   Agent     │           │</w:t>
      </w:r>
      <w:r>
        <w:br/>
      </w:r>
      <w:r>
        <w:rPr>
          <w:rStyle w:val="VerbatimChar"/>
        </w:rPr>
        <w:t xml:space="preserve">│    │  (Bids,     │    │  (Fatigue,  │    │  (Pacing,   │           │</w:t>
      </w:r>
      <w:r>
        <w:br/>
      </w:r>
      <w:r>
        <w:rPr>
          <w:rStyle w:val="VerbatimChar"/>
        </w:rPr>
        <w:t xml:space="preserve">│    │  Audiences) │    │  Scoring)   │    │  Forecast)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Reporting  │       │  Compliance │                   │</w:t>
      </w:r>
      <w:r>
        <w:br/>
      </w:r>
      <w:r>
        <w:rPr>
          <w:rStyle w:val="VerbatimChar"/>
        </w:rPr>
        <w:t xml:space="preserve">│           │   Agent     │       │   Agent     │                   │</w:t>
      </w:r>
      <w:r>
        <w:br/>
      </w:r>
      <w:r>
        <w:rPr>
          <w:rStyle w:val="VerbatimChar"/>
        </w:rPr>
        <w:t xml:space="preserve">│           │  (Briefs,   │       │  (Policy,   │                   │</w:t>
      </w:r>
      <w:r>
        <w:br/>
      </w:r>
      <w:r>
        <w:rPr>
          <w:rStyle w:val="VerbatimChar"/>
        </w:rPr>
        <w:t xml:space="preserve">│           │  Reports)   │       │  Audits)    │                   │</w:t>
      </w:r>
      <w:r>
        <w:br/>
      </w:r>
      <w:r>
        <w:rPr>
          <w:rStyle w:val="VerbatimChar"/>
        </w:rPr>
        <w:t xml:space="preserve">│           └─────────────┘       └─────────────┘                   │</w:t>
      </w:r>
      <w:r>
        <w:br/>
      </w:r>
      <w:r>
        <w:rPr>
          <w:rStyle w:val="VerbatimChar"/>
        </w:rPr>
        <w:t xml:space="preserve">└─────────────────────────────────────────────────────────────────────┘</w:t>
      </w:r>
    </w:p>
    <w:bookmarkEnd w:id="62"/>
    <w:bookmarkStart w:id="63" w:name="agent-specifications"/>
    <w:p>
      <w:pPr>
        <w:pStyle w:val="Heading3"/>
      </w:pPr>
      <w:r>
        <w:t xml:space="preserve">8.2 Agent Specifications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Trigger</w:t>
            </w:r>
          </w:p>
        </w:tc>
        <w:tc>
          <w:tcPr/>
          <w:p>
            <w:pPr>
              <w:pStyle w:val="Compact"/>
              <w:jc w:val="left"/>
            </w:pPr>
            <w:r>
              <w:t xml:space="preserve">Tools</w:t>
            </w:r>
          </w:p>
        </w:tc>
        <w:tc>
          <w:tcPr/>
          <w:p>
            <w:pPr>
              <w:pStyle w:val="Compact"/>
              <w:jc w:val="left"/>
            </w:pPr>
            <w:r>
              <w:t xml:space="preserve">Output</w:t>
            </w:r>
          </w:p>
        </w:tc>
      </w:tr>
      <w:tr>
        <w:tc>
          <w:tcPr/>
          <w:p>
            <w:pPr>
              <w:pStyle w:val="Compact"/>
              <w:jc w:val="left"/>
            </w:pPr>
            <w:r>
              <w:rPr>
                <w:bCs/>
                <w:b/>
              </w:rPr>
              <w:t xml:space="preserve">Director Agent</w:t>
            </w:r>
          </w:p>
        </w:tc>
        <w:tc>
          <w:tcPr/>
          <w:p>
            <w:pPr>
              <w:pStyle w:val="Compact"/>
              <w:jc w:val="left"/>
            </w:pPr>
            <w:r>
              <w:t xml:space="preserve">Routes incoming tasks to specialized agents; resolves conflicts between agent recommendations; prioritizes by business impact</w:t>
            </w:r>
          </w:p>
        </w:tc>
        <w:tc>
          <w:tcPr/>
          <w:p>
            <w:pPr>
              <w:pStyle w:val="Compact"/>
              <w:jc w:val="left"/>
            </w:pPr>
            <w:r>
              <w:t xml:space="preserve">Scheduled (every 15 min), event-driven (metric threshold), or on-demand (user request)</w:t>
            </w:r>
          </w:p>
        </w:tc>
        <w:tc>
          <w:tcPr/>
          <w:p>
            <w:pPr>
              <w:pStyle w:val="Compact"/>
              <w:jc w:val="left"/>
            </w:pPr>
            <w:r>
              <w:t xml:space="preserve">All agent dispatch tools; conflict resolution logic</w:t>
            </w:r>
          </w:p>
        </w:tc>
        <w:tc>
          <w:tcPr/>
          <w:p>
            <w:pPr>
              <w:pStyle w:val="Compact"/>
              <w:jc w:val="left"/>
            </w:pPr>
            <w:r>
              <w:t xml:space="preserve">Task assignment; consolidated recommendation package</w:t>
            </w:r>
          </w:p>
        </w:tc>
      </w:tr>
      <w:tr>
        <w:tc>
          <w:tcPr/>
          <w:p>
            <w:pPr>
              <w:pStyle w:val="Compact"/>
              <w:jc w:val="left"/>
            </w:pPr>
            <w:r>
              <w:rPr>
                <w:bCs/>
                <w:b/>
              </w:rPr>
              <w:t xml:space="preserve">Optimization Agent</w:t>
            </w:r>
          </w:p>
        </w:tc>
        <w:tc>
          <w:tcPr/>
          <w:p>
            <w:pPr>
              <w:pStyle w:val="Compact"/>
              <w:jc w:val="left"/>
            </w:pPr>
            <w:r>
              <w:t xml:space="preserve">Monitors campaign performance metrics; identifies underperforming elements; suggests bid adjustments, audience refinements, and targeting changes</w:t>
            </w:r>
          </w:p>
        </w:tc>
        <w:tc>
          <w:tcPr/>
          <w:p>
            <w:pPr>
              <w:pStyle w:val="Compact"/>
              <w:jc w:val="left"/>
            </w:pPr>
            <w:r>
              <w:t xml:space="preserve">Continuous metric monitoring; significant performance delta detection</w:t>
            </w:r>
          </w:p>
        </w:tc>
        <w:tc>
          <w:tcPr/>
          <w:p>
            <w:pPr>
              <w:pStyle w:val="Compact"/>
              <w:jc w:val="left"/>
            </w:pPr>
            <w:r>
              <w:t xml:space="preserve">Campaign read tools; platform analytics; historical performance database</w:t>
            </w:r>
          </w:p>
        </w:tc>
        <w:tc>
          <w:tcPr/>
          <w:p>
            <w:pPr>
              <w:pStyle w:val="Compact"/>
              <w:jc w:val="left"/>
            </w:pPr>
            <w:r>
              <w:t xml:space="preserve">Optimization drafts with expected impact estimates</w:t>
            </w:r>
          </w:p>
        </w:tc>
      </w:tr>
      <w:tr>
        <w:tc>
          <w:tcPr/>
          <w:p>
            <w:pPr>
              <w:pStyle w:val="Compact"/>
              <w:jc w:val="left"/>
            </w:pPr>
            <w:r>
              <w:rPr>
                <w:bCs/>
                <w:b/>
              </w:rPr>
              <w:t xml:space="preserve">Creative Agent</w:t>
            </w:r>
          </w:p>
        </w:tc>
        <w:tc>
          <w:tcPr/>
          <w:p>
            <w:pPr>
              <w:pStyle w:val="Compact"/>
              <w:jc w:val="left"/>
            </w:pPr>
            <w:r>
              <w:t xml:space="preserve">Analyzes creative performance across platforms; detects fatigue signals; scores creative elements; recommends refresh timing and A/B test candidates</w:t>
            </w:r>
          </w:p>
        </w:tc>
        <w:tc>
          <w:tcPr/>
          <w:p>
            <w:pPr>
              <w:pStyle w:val="Compact"/>
              <w:jc w:val="left"/>
            </w:pPr>
            <w:r>
              <w:t xml:space="preserve">Creative fatigue threshold breach; scheduled weekly review</w:t>
            </w:r>
          </w:p>
        </w:tc>
        <w:tc>
          <w:tcPr/>
          <w:p>
            <w:pPr>
              <w:pStyle w:val="Compact"/>
              <w:jc w:val="left"/>
            </w:pPr>
            <w:r>
              <w:t xml:space="preserve">Creative library access; performance cross-platform comparison; ML fatigue model</w:t>
            </w:r>
          </w:p>
        </w:tc>
        <w:tc>
          <w:tcPr/>
          <w:p>
            <w:pPr>
              <w:pStyle w:val="Compact"/>
              <w:jc w:val="left"/>
            </w:pPr>
            <w:r>
              <w:t xml:space="preserve">Creative performance reports; refresh recommendations; A/B test proposals</w:t>
            </w:r>
          </w:p>
        </w:tc>
      </w:tr>
      <w:tr>
        <w:tc>
          <w:tcPr/>
          <w:p>
            <w:pPr>
              <w:pStyle w:val="Compact"/>
              <w:jc w:val="left"/>
            </w:pPr>
            <w:r>
              <w:rPr>
                <w:bCs/>
                <w:b/>
              </w:rPr>
              <w:t xml:space="preserve">Budget Agent</w:t>
            </w:r>
          </w:p>
        </w:tc>
        <w:tc>
          <w:tcPr/>
          <w:p>
            <w:pPr>
              <w:pStyle w:val="Compact"/>
              <w:jc w:val="left"/>
            </w:pPr>
            <w:r>
              <w:t xml:space="preserve">Tracks spend pacing against targets; forecasts end-of-period spend; recommends reallocation between campaigns; alerts on over/under-pacing</w:t>
            </w:r>
          </w:p>
        </w:tc>
        <w:tc>
          <w:tcPr/>
          <w:p>
            <w:pPr>
              <w:pStyle w:val="Compact"/>
              <w:jc w:val="left"/>
            </w:pPr>
            <w:r>
              <w:t xml:space="preserve">Daily pacing check; budget threshold alerts; forecast deviation</w:t>
            </w:r>
          </w:p>
        </w:tc>
        <w:tc>
          <w:tcPr/>
          <w:p>
            <w:pPr>
              <w:pStyle w:val="Compact"/>
              <w:jc w:val="left"/>
            </w:pPr>
            <w:r>
              <w:t xml:space="preserve">Budget data access; portfolio optimization model; pacing calculator</w:t>
            </w:r>
          </w:p>
        </w:tc>
        <w:tc>
          <w:tcPr/>
          <w:p>
            <w:pPr>
              <w:pStyle w:val="Compact"/>
              <w:jc w:val="left"/>
            </w:pPr>
            <w:r>
              <w:t xml:space="preserve">Budget reallocation drafts; pacing alerts; forecast updates</w:t>
            </w:r>
          </w:p>
        </w:tc>
      </w:tr>
      <w:tr>
        <w:tc>
          <w:tcPr/>
          <w:p>
            <w:pPr>
              <w:pStyle w:val="Compact"/>
              <w:jc w:val="left"/>
            </w:pPr>
            <w:r>
              <w:rPr>
                <w:bCs/>
                <w:b/>
              </w:rPr>
              <w:t xml:space="preserve">Reporting Agent</w:t>
            </w:r>
          </w:p>
        </w:tc>
        <w:tc>
          <w:tcPr/>
          <w:p>
            <w:pPr>
              <w:pStyle w:val="Compact"/>
              <w:jc w:val="left"/>
            </w:pPr>
            <w:r>
              <w:t xml:space="preserve">Generates Morning Brief; creates scheduled reports; builds ad-hoc analysis summaries; formats for distribution channels</w:t>
            </w:r>
          </w:p>
        </w:tc>
        <w:tc>
          <w:tcPr/>
          <w:p>
            <w:pPr>
              <w:pStyle w:val="Compact"/>
              <w:jc w:val="left"/>
            </w:pPr>
            <w:r>
              <w:t xml:space="preserve">Daily schedule (6 AM user timezone); on-demand report requests</w:t>
            </w:r>
          </w:p>
        </w:tc>
        <w:tc>
          <w:tcPr/>
          <w:p>
            <w:pPr>
              <w:pStyle w:val="Compact"/>
              <w:jc w:val="left"/>
            </w:pPr>
            <w:r>
              <w:t xml:space="preserve">All data sources; NLG templates; distribution integrations (email, Slack, PDF)</w:t>
            </w:r>
          </w:p>
        </w:tc>
        <w:tc>
          <w:tcPr/>
          <w:p>
            <w:pPr>
              <w:pStyle w:val="Compact"/>
              <w:jc w:val="left"/>
            </w:pPr>
            <w:r>
              <w:t xml:space="preserve">Morning Brief email; PDF reports; Slack summaries</w:t>
            </w:r>
          </w:p>
        </w:tc>
      </w:tr>
      <w:tr>
        <w:tc>
          <w:tcPr/>
          <w:p>
            <w:pPr>
              <w:pStyle w:val="Compact"/>
              <w:jc w:val="left"/>
            </w:pPr>
            <w:r>
              <w:rPr>
                <w:bCs/>
                <w:b/>
              </w:rPr>
              <w:t xml:space="preserve">Compliance Agent</w:t>
            </w:r>
          </w:p>
        </w:tc>
        <w:tc>
          <w:tcPr/>
          <w:p>
            <w:pPr>
              <w:pStyle w:val="Compact"/>
              <w:jc w:val="left"/>
            </w:pPr>
            <w:r>
              <w:t xml:space="preserve">Scans draft proposals for policy violations (platform policies, regulatory rules, brand safety); flags high-risk changes before they enter approval queue</w:t>
            </w:r>
          </w:p>
        </w:tc>
        <w:tc>
          <w:tcPr/>
          <w:p>
            <w:pPr>
              <w:pStyle w:val="Compact"/>
              <w:jc w:val="left"/>
            </w:pPr>
            <w:r>
              <w:t xml:space="preserve">Pre-approval scan on every draft; scheduled compliance audits</w:t>
            </w:r>
          </w:p>
        </w:tc>
        <w:tc>
          <w:tcPr/>
          <w:p>
            <w:pPr>
              <w:pStyle w:val="Compact"/>
              <w:jc w:val="left"/>
            </w:pPr>
            <w:r>
              <w:t xml:space="preserve">Policy rule database; brand safety API; regulatory framework definitions</w:t>
            </w:r>
          </w:p>
        </w:tc>
        <w:tc>
          <w:tcPr/>
          <w:p>
            <w:pPr>
              <w:pStyle w:val="Compact"/>
              <w:jc w:val="left"/>
            </w:pPr>
            <w:r>
              <w:t xml:space="preserve">Compliance clearance or violation report with remediation guidance</w:t>
            </w:r>
          </w:p>
        </w:tc>
      </w:tr>
    </w:tbl>
    <w:bookmarkEnd w:id="63"/>
    <w:bookmarkStart w:id="64" w:name="human-in-the-loop-design"/>
    <w:p>
      <w:pPr>
        <w:pStyle w:val="Heading3"/>
      </w:pPr>
      <w:r>
        <w:t xml:space="preserve">8.3 Human-in-the-Loop Design</w:t>
      </w:r>
    </w:p>
    <w:p>
      <w:pPr>
        <w:pStyle w:val="FirstParagraph"/>
      </w:pPr>
      <w:r>
        <w:t xml:space="preserve">The central governance mechanism for all AI agents is a</w:t>
      </w:r>
      <w:r>
        <w:t xml:space="preserve"> </w:t>
      </w:r>
      <w:r>
        <w:rPr>
          <w:bCs/>
          <w:b/>
        </w:rPr>
        <w:t xml:space="preserve">three-tier risk classification system</w:t>
      </w:r>
      <w:r>
        <w:t xml:space="preserve"> </w:t>
      </w:r>
      <w:r>
        <w:t xml:space="preserve">that determines the level of human oversight required for each action:</w:t>
      </w:r>
    </w:p>
    <w:p>
      <w:pPr>
        <w:pStyle w:val="SourceCode"/>
      </w:pPr>
      <w:r>
        <w:rPr>
          <w:rStyle w:val="VerbatimChar"/>
        </w:rPr>
        <w:t xml:space="preserve">┌─────────────────────────────────────────────────────────────────────┐</w:t>
      </w:r>
      <w:r>
        <w:br/>
      </w:r>
      <w:r>
        <w:rPr>
          <w:rStyle w:val="VerbatimChar"/>
        </w:rPr>
        <w:t xml:space="preserve">│              HUMAN-IN-THE-LOOP RISK TIERS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TIER 1: AUTO-EXECUTE   (Low Risk)                          │   │</w:t>
      </w:r>
      <w:r>
        <w:br/>
      </w:r>
      <w:r>
        <w:rPr>
          <w:rStyle w:val="VerbatimChar"/>
        </w:rPr>
        <w:t xml:space="preserve">│  │  Confidence: &gt;95%  |  Impact: &lt;$50  |  Reversibility: High  │   │</w:t>
      </w:r>
      <w:r>
        <w:br/>
      </w:r>
      <w:r>
        <w:rPr>
          <w:rStyle w:val="VerbatimChar"/>
        </w:rPr>
        <w:t xml:space="preserve">│  ├─────────────────────────────────────────────────────────────┤   │</w:t>
      </w:r>
      <w:r>
        <w:br/>
      </w:r>
      <w:r>
        <w:rPr>
          <w:rStyle w:val="VerbatimChar"/>
        </w:rPr>
        <w:t xml:space="preserve">│  │  • Pause an ad with $5 daily spend and zero conversions     │   │</w:t>
      </w:r>
      <w:r>
        <w:br/>
      </w:r>
      <w:r>
        <w:rPr>
          <w:rStyle w:val="VerbatimChar"/>
        </w:rPr>
        <w:t xml:space="preserve">│  │    over 7 days                                              │   │</w:t>
      </w:r>
      <w:r>
        <w:br/>
      </w:r>
      <w:r>
        <w:rPr>
          <w:rStyle w:val="VerbatimChar"/>
        </w:rPr>
        <w:t xml:space="preserve">│  │  • Adjust bid by ±10% within platform-recommended range     │   │</w:t>
      </w:r>
      <w:r>
        <w:br/>
      </w:r>
      <w:r>
        <w:rPr>
          <w:rStyle w:val="VerbatimChar"/>
        </w:rPr>
        <w:t xml:space="preserve">│  │  • Add negative keyword from pre-approved list              │   │</w:t>
      </w:r>
      <w:r>
        <w:br/>
      </w:r>
      <w:r>
        <w:rPr>
          <w:rStyle w:val="VerbatimChar"/>
        </w:rPr>
        <w:t xml:space="preserve">│  │  • Toggle campaign status per pre-configured schedule       │   │</w:t>
      </w:r>
      <w:r>
        <w:br/>
      </w:r>
      <w:r>
        <w:rPr>
          <w:rStyle w:val="VerbatimChar"/>
        </w:rPr>
        <w:t xml:space="preserve">│  │  ──────────────────────────────────────────────────────     │   │</w:t>
      </w:r>
      <w:r>
        <w:br/>
      </w:r>
      <w:r>
        <w:rPr>
          <w:rStyle w:val="VerbatimChar"/>
        </w:rPr>
        <w:t xml:space="preserve">│  │  EXECUTION: Automatic  |  NOTIFICATION: Logged only         │   │</w:t>
      </w:r>
      <w:r>
        <w:br/>
      </w:r>
      <w:r>
        <w:rPr>
          <w:rStyle w:val="VerbatimChar"/>
        </w:rPr>
        <w:t xml:space="preserve">│  │  OVERRIDE: User can disable auto-execute per workspace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TIER 2: QUICK-VERIFY  (Medium Risk)                        │   │</w:t>
      </w:r>
      <w:r>
        <w:br/>
      </w:r>
      <w:r>
        <w:rPr>
          <w:rStyle w:val="VerbatimChar"/>
        </w:rPr>
        <w:t xml:space="preserve">│  │  Confidence: 80-95%  |  Impact: $50-$500  |  Reversibility: │   │</w:t>
      </w:r>
      <w:r>
        <w:br/>
      </w:r>
      <w:r>
        <w:rPr>
          <w:rStyle w:val="VerbatimChar"/>
        </w:rPr>
        <w:t xml:space="preserve">│  │  Medium                                                         │</w:t>
      </w:r>
      <w:r>
        <w:br/>
      </w:r>
      <w:r>
        <w:rPr>
          <w:rStyle w:val="VerbatimChar"/>
        </w:rPr>
        <w:t xml:space="preserve">│  ├─────────────────────────────────────────────────────────────┤   │</w:t>
      </w:r>
      <w:r>
        <w:br/>
      </w:r>
      <w:r>
        <w:rPr>
          <w:rStyle w:val="VerbatimChar"/>
        </w:rPr>
        <w:t xml:space="preserve">│  │  • Budget increase/decrease up to 25%                         │   │</w:t>
      </w:r>
      <w:r>
        <w:br/>
      </w:r>
      <w:r>
        <w:rPr>
          <w:rStyle w:val="VerbatimChar"/>
        </w:rPr>
        <w:t xml:space="preserve">│  │  • Bid strategy change (e.g., manual CPC → target CPA)      │   │</w:t>
      </w:r>
      <w:r>
        <w:br/>
      </w:r>
      <w:r>
        <w:rPr>
          <w:rStyle w:val="VerbatimChar"/>
        </w:rPr>
        <w:t xml:space="preserve">│  │  • Audience expansion within same targeting category        │   │</w:t>
      </w:r>
      <w:r>
        <w:br/>
      </w:r>
      <w:r>
        <w:rPr>
          <w:rStyle w:val="VerbatimChar"/>
        </w:rPr>
        <w:t xml:space="preserve">│  │  • Creative swap within same ad group                       │   │</w:t>
      </w:r>
      <w:r>
        <w:br/>
      </w:r>
      <w:r>
        <w:rPr>
          <w:rStyle w:val="VerbatimChar"/>
        </w:rPr>
        <w:t xml:space="preserve">│  │  ──────────────────────────────────────────────────────     │   │</w:t>
      </w:r>
      <w:r>
        <w:br/>
      </w:r>
      <w:r>
        <w:rPr>
          <w:rStyle w:val="VerbatimChar"/>
        </w:rPr>
        <w:t xml:space="preserve">│  │  EXECUTION: 1-click approve  |  NOTIFICATION: In-app +     │   │</w:t>
      </w:r>
      <w:r>
        <w:br/>
      </w:r>
      <w:r>
        <w:rPr>
          <w:rStyle w:val="VerbatimChar"/>
        </w:rPr>
        <w:t xml:space="preserve">│  │  email  |  TIMEOUT: Auto-execute after 24h if no response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TIER 3: EXPERT-REVIEW  (High Risk)                         │   │</w:t>
      </w:r>
      <w:r>
        <w:br/>
      </w:r>
      <w:r>
        <w:rPr>
          <w:rStyle w:val="VerbatimChar"/>
        </w:rPr>
        <w:t xml:space="preserve">│  │  Confidence: &lt;80%  |  Impact: &gt;$500  |  Reversibility: Low  │   │</w:t>
      </w:r>
      <w:r>
        <w:br/>
      </w:r>
      <w:r>
        <w:rPr>
          <w:rStyle w:val="VerbatimChar"/>
        </w:rPr>
        <w:t xml:space="preserve">│  ├─────────────────────────────────────────────────────────────┤   │</w:t>
      </w:r>
      <w:r>
        <w:br/>
      </w:r>
      <w:r>
        <w:rPr>
          <w:rStyle w:val="VerbatimChar"/>
        </w:rPr>
        <w:t xml:space="preserve">│  │  • New campaign creation                                    │   │</w:t>
      </w:r>
      <w:r>
        <w:br/>
      </w:r>
      <w:r>
        <w:rPr>
          <w:rStyle w:val="VerbatimChar"/>
        </w:rPr>
        <w:t xml:space="preserve">│  │  • Targeting changes that alter audience composition        │   │</w:t>
      </w:r>
      <w:r>
        <w:br/>
      </w:r>
      <w:r>
        <w:rPr>
          <w:rStyle w:val="VerbatimChar"/>
        </w:rPr>
        <w:t xml:space="preserve">│  │  • Budget changes &gt;25% or crossing monthly cap              │   │</w:t>
      </w:r>
      <w:r>
        <w:br/>
      </w:r>
      <w:r>
        <w:rPr>
          <w:rStyle w:val="VerbatimChar"/>
        </w:rPr>
        <w:t xml:space="preserve">│  │  • Creative changes involving new messaging/brand elements  │   │</w:t>
      </w:r>
      <w:r>
        <w:br/>
      </w:r>
      <w:r>
        <w:rPr>
          <w:rStyle w:val="VerbatimChar"/>
        </w:rPr>
        <w:t xml:space="preserve">│  │  • Cross-platform budget reallocation                       │   │</w:t>
      </w:r>
      <w:r>
        <w:br/>
      </w:r>
      <w:r>
        <w:rPr>
          <w:rStyle w:val="VerbatimChar"/>
        </w:rPr>
        <w:t xml:space="preserve">│  │  • Any action flagged by Compliance Agent                   │   │</w:t>
      </w:r>
      <w:r>
        <w:br/>
      </w:r>
      <w:r>
        <w:rPr>
          <w:rStyle w:val="VerbatimChar"/>
        </w:rPr>
        <w:t xml:space="preserve">│  │  ──────────────────────────────────────────────────────     │   │</w:t>
      </w:r>
      <w:r>
        <w:br/>
      </w:r>
      <w:r>
        <w:rPr>
          <w:rStyle w:val="VerbatimChar"/>
        </w:rPr>
        <w:t xml:space="preserve">│  │  EXECUTION: Full review required  |  NOTIFICATION: In-app + │   │</w:t>
      </w:r>
      <w:r>
        <w:br/>
      </w:r>
      <w:r>
        <w:rPr>
          <w:rStyle w:val="VerbatimChar"/>
        </w:rPr>
        <w:t xml:space="preserve">│  │  email + Slack  |  ESCALATION: Escalates after 4h if       │   │</w:t>
      </w:r>
      <w:r>
        <w:br/>
      </w:r>
      <w:r>
        <w:rPr>
          <w:rStyle w:val="VerbatimChar"/>
        </w:rPr>
        <w:t xml:space="preserve">│  │  unreviewed  |  NO AUTO-EXECUTE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Confidence Threshold Configuration:</w:t>
      </w:r>
    </w:p>
    <w:p>
      <w:pPr>
        <w:pStyle w:val="BodyText"/>
      </w:pPr>
      <w:r>
        <w:t xml:space="preserve">Risk tier thresholds are configurable at three levels: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 Level</w:t>
            </w:r>
          </w:p>
        </w:tc>
        <w:tc>
          <w:tcPr/>
          <w:p>
            <w:pPr>
              <w:pStyle w:val="Compact"/>
              <w:jc w:val="left"/>
            </w:pPr>
            <w:r>
              <w:t xml:space="preserve">Scope</w:t>
            </w:r>
          </w:p>
        </w:tc>
        <w:tc>
          <w:tcPr/>
          <w:p>
            <w:pPr>
              <w:pStyle w:val="Compact"/>
              <w:jc w:val="left"/>
            </w:pPr>
            <w:r>
              <w:t xml:space="preserve">Administrator</w:t>
            </w:r>
          </w:p>
        </w:tc>
      </w:tr>
      <w:tr>
        <w:tc>
          <w:tcPr/>
          <w:p>
            <w:pPr>
              <w:pStyle w:val="Compact"/>
              <w:jc w:val="left"/>
            </w:pPr>
            <w:r>
              <w:rPr>
                <w:bCs/>
                <w:b/>
              </w:rPr>
              <w:t xml:space="preserve">Global Defaults</w:t>
            </w:r>
          </w:p>
        </w:tc>
        <w:tc>
          <w:tcPr/>
          <w:p>
            <w:pPr>
              <w:pStyle w:val="Compact"/>
              <w:jc w:val="left"/>
            </w:pPr>
            <w:r>
              <w:t xml:space="preserve">Platform-wide baseline</w:t>
            </w:r>
          </w:p>
        </w:tc>
        <w:tc>
          <w:tcPr/>
          <w:p>
            <w:pPr>
              <w:pStyle w:val="Compact"/>
              <w:jc w:val="left"/>
            </w:pPr>
            <w:r>
              <w:t xml:space="preserve">AdNexus Engineering</w:t>
            </w:r>
          </w:p>
        </w:tc>
      </w:tr>
      <w:tr>
        <w:tc>
          <w:tcPr/>
          <w:p>
            <w:pPr>
              <w:pStyle w:val="Compact"/>
              <w:jc w:val="left"/>
            </w:pPr>
            <w:r>
              <w:rPr>
                <w:bCs/>
                <w:b/>
              </w:rPr>
              <w:t xml:space="preserve">Workspace Policy</w:t>
            </w:r>
          </w:p>
        </w:tc>
        <w:tc>
          <w:tcPr/>
          <w:p>
            <w:pPr>
              <w:pStyle w:val="Compact"/>
              <w:jc w:val="left"/>
            </w:pPr>
            <w:r>
              <w:t xml:space="preserve">Per-workspace override</w:t>
            </w:r>
          </w:p>
        </w:tc>
        <w:tc>
          <w:tcPr/>
          <w:p>
            <w:pPr>
              <w:pStyle w:val="Compact"/>
              <w:jc w:val="left"/>
            </w:pPr>
            <w:r>
              <w:t xml:space="preserve">Workspace Admin</w:t>
            </w:r>
          </w:p>
        </w:tc>
      </w:tr>
      <w:tr>
        <w:tc>
          <w:tcPr/>
          <w:p>
            <w:pPr>
              <w:pStyle w:val="Compact"/>
              <w:jc w:val="left"/>
            </w:pPr>
            <w:r>
              <w:rPr>
                <w:bCs/>
                <w:b/>
              </w:rPr>
              <w:t xml:space="preserve">User Preference</w:t>
            </w:r>
          </w:p>
        </w:tc>
        <w:tc>
          <w:tcPr/>
          <w:p>
            <w:pPr>
              <w:pStyle w:val="Compact"/>
              <w:jc w:val="left"/>
            </w:pPr>
            <w:r>
              <w:t xml:space="preserve">Individual reviewer override</w:t>
            </w:r>
          </w:p>
        </w:tc>
        <w:tc>
          <w:tcPr/>
          <w:p>
            <w:pPr>
              <w:pStyle w:val="Compact"/>
              <w:jc w:val="left"/>
            </w:pPr>
            <w:r>
              <w:t xml:space="preserve">Any user (within workspace bounds)</w:t>
            </w:r>
          </w:p>
        </w:tc>
      </w:tr>
    </w:tbl>
    <w:p>
      <w:pPr>
        <w:pStyle w:val="BodyText"/>
      </w:pPr>
      <w:r>
        <w:t xml:space="preserve">For example, a conservative financial services workspace might set all bid changes to require Expert-Review regardless of dollar amount, while a high-velocity e-commerce workspace might expand the Auto-Execute tier to include budget changes up to $200.</w:t>
      </w:r>
    </w:p>
    <w:bookmarkEnd w:id="64"/>
    <w:bookmarkStart w:id="65" w:name="agent-reasoning-and-explainability"/>
    <w:p>
      <w:pPr>
        <w:pStyle w:val="Heading3"/>
      </w:pPr>
      <w:r>
        <w:t xml:space="preserve">8.4 Agent Reasoning and Explainability</w:t>
      </w:r>
    </w:p>
    <w:p>
      <w:pPr>
        <w:pStyle w:val="FirstParagraph"/>
      </w:pPr>
      <w:r>
        <w:t xml:space="preserve">Every AI agent recommendation includes a structured</w:t>
      </w:r>
      <w:r>
        <w:t xml:space="preserve"> </w:t>
      </w:r>
      <w:r>
        <w:rPr>
          <w:bCs/>
          <w:b/>
        </w:rPr>
        <w:t xml:space="preserve">Reasoning Chain</w:t>
      </w:r>
      <w:r>
        <w:t xml:space="preserve"> </w:t>
      </w:r>
      <w:r>
        <w:t xml:space="preserve">that is stored alongside the draft and displayed to the human reviewer:</w:t>
      </w:r>
    </w:p>
    <w:p>
      <w:pPr>
        <w:pStyle w:val="SourceCode"/>
      </w:pPr>
      <w:r>
        <w:rPr>
          <w:rStyle w:val="FunctionTok"/>
        </w:rPr>
        <w:t xml:space="preserve">{</w:t>
      </w:r>
      <w:r>
        <w:br/>
      </w:r>
      <w:r>
        <w:rPr>
          <w:rStyle w:val="NormalTok"/>
        </w:rPr>
        <w:t xml:space="preserve">  </w:t>
      </w:r>
      <w:r>
        <w:rPr>
          <w:rStyle w:val="DataTypeTok"/>
        </w:rPr>
        <w:t xml:space="preserve">"draft_id"</w:t>
      </w:r>
      <w:r>
        <w:rPr>
          <w:rStyle w:val="FunctionTok"/>
        </w:rPr>
        <w:t xml:space="preserve">:</w:t>
      </w:r>
      <w:r>
        <w:rPr>
          <w:rStyle w:val="NormalTok"/>
        </w:rPr>
        <w:t xml:space="preserve"> </w:t>
      </w:r>
      <w:r>
        <w:rPr>
          <w:rStyle w:val="StringTok"/>
        </w:rPr>
        <w:t xml:space="preserve">"draft_abc123"</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"optimization_agent"</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"increase_daily_budget"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"campaign_meta_456"</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"proposed_value"</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"reasoning_chain"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StringTok"/>
        </w:rPr>
        <w:t xml:space="preserve">"Campaign ROAS has been 4.3x over the past 7 days"</w:t>
      </w:r>
      <w:r>
        <w:rPr>
          <w:rStyle w:val="FunctionTok"/>
        </w:rPr>
        <w:t xml:space="preserve">,</w:t>
      </w:r>
      <w:r>
        <w:br/>
      </w:r>
      <w:r>
        <w:rPr>
          <w:rStyle w:val="NormalTok"/>
        </w:rPr>
        <w:t xml:space="preserve">        </w:t>
      </w:r>
      <w:r>
        <w:rPr>
          <w:rStyle w:val="DataTypeTok"/>
        </w:rPr>
        <w:t xml:space="preserve">"data_source"</w:t>
      </w:r>
      <w:r>
        <w:rPr>
          <w:rStyle w:val="FunctionTok"/>
        </w:rPr>
        <w:t xml:space="preserve">:</w:t>
      </w:r>
      <w:r>
        <w:rPr>
          <w:rStyle w:val="NormalTok"/>
        </w:rPr>
        <w:t xml:space="preserve"> </w:t>
      </w:r>
      <w:r>
        <w:rPr>
          <w:rStyle w:val="StringTok"/>
        </w:rPr>
        <w:t xml:space="preserve">"meta_ads_api"</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StringTok"/>
        </w:rPr>
        <w:t xml:space="preserve">"Portfolio optimization model indicates diminishing returns begin at $825/day"</w:t>
      </w:r>
      <w:r>
        <w:rPr>
          <w:rStyle w:val="FunctionTok"/>
        </w:rPr>
        <w:t xml:space="preserve">,</w:t>
      </w:r>
      <w:r>
        <w:br/>
      </w:r>
      <w:r>
        <w:rPr>
          <w:rStyle w:val="NormalTok"/>
        </w:rPr>
        <w:t xml:space="preserve">        </w:t>
      </w:r>
      <w:r>
        <w:rPr>
          <w:rStyle w:val="DataTypeTok"/>
        </w:rPr>
        <w:t xml:space="preserve">"data_source"</w:t>
      </w:r>
      <w:r>
        <w:rPr>
          <w:rStyle w:val="FunctionTok"/>
        </w:rPr>
        <w:t xml:space="preserve">:</w:t>
      </w:r>
      <w:r>
        <w:rPr>
          <w:rStyle w:val="NormalTok"/>
        </w:rPr>
        <w:t xml:space="preserve"> </w:t>
      </w:r>
      <w:r>
        <w:rPr>
          <w:rStyle w:val="StringTok"/>
        </w:rPr>
        <w:t xml:space="preserve">"portfolio_ml_model"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StringTok"/>
        </w:rPr>
        <w:t xml:space="preserve">"Budget pacing shows current spend at 94% of daily cap by 6 PM"</w:t>
      </w:r>
      <w:r>
        <w:rPr>
          <w:rStyle w:val="FunctionTok"/>
        </w:rPr>
        <w:t xml:space="preserve">,</w:t>
      </w:r>
      <w:r>
        <w:br/>
      </w:r>
      <w:r>
        <w:rPr>
          <w:rStyle w:val="NormalTok"/>
        </w:rPr>
        <w:t xml:space="preserve">        </w:t>
      </w:r>
      <w:r>
        <w:rPr>
          <w:rStyle w:val="DataTypeTok"/>
        </w:rPr>
        <w:t xml:space="preserve">"data_source"</w:t>
      </w:r>
      <w:r>
        <w:rPr>
          <w:rStyle w:val="FunctionTok"/>
        </w:rPr>
        <w:t xml:space="preserve">:</w:t>
      </w:r>
      <w:r>
        <w:rPr>
          <w:rStyle w:val="NormalTok"/>
        </w:rPr>
        <w:t xml:space="preserve"> </w:t>
      </w:r>
      <w:r>
        <w:rPr>
          <w:rStyle w:val="StringTok"/>
        </w:rPr>
        <w:t xml:space="preserve">"budget_agent_calculation"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"conclusion"</w:t>
      </w:r>
      <w:r>
        <w:rPr>
          <w:rStyle w:val="FunctionTok"/>
        </w:rPr>
        <w:t xml:space="preserve">:</w:t>
      </w:r>
      <w:r>
        <w:rPr>
          <w:rStyle w:val="NormalTok"/>
        </w:rPr>
        <w:t xml:space="preserve"> </w:t>
      </w:r>
      <w:r>
        <w:rPr>
          <w:rStyle w:val="StringTok"/>
        </w:rPr>
        <w:t xml:space="preserve">"Increasing budget to $750 captures additional conversions before daily peak traffic ends while maintaining ROAS above 3.5x threshold"</w:t>
      </w:r>
      <w:r>
        <w:rPr>
          <w:rStyle w:val="FunctionTok"/>
        </w:rPr>
        <w:t xml:space="preserve">,</w:t>
      </w:r>
      <w:r>
        <w:br/>
      </w:r>
      <w:r>
        <w:rPr>
          <w:rStyle w:val="NormalTok"/>
        </w:rPr>
        <w:t xml:space="preserve">        </w:t>
      </w:r>
      <w:r>
        <w:rPr>
          <w:rStyle w:val="DataTypeTok"/>
        </w:rPr>
        <w:t xml:space="preserve">"expected_impact"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"conversions"</w:t>
      </w:r>
      <w:r>
        <w:rPr>
          <w:rStyle w:val="FunctionTok"/>
        </w:rPr>
        <w:t xml:space="preserve">:</w:t>
      </w:r>
      <w:r>
        <w:rPr>
          <w:rStyle w:val="NormalTok"/>
        </w:rPr>
        <w:t xml:space="preserve"> </w:t>
      </w:r>
      <w:r>
        <w:rPr>
          <w:rStyle w:val="StringTok"/>
        </w:rPr>
        <w:t xml:space="preserve">"+23%"</w:t>
      </w:r>
      <w:r>
        <w:rPr>
          <w:rStyle w:val="FunctionTok"/>
        </w:rPr>
        <w:t xml:space="preserve">,</w:t>
      </w:r>
      <w:r>
        <w:br/>
      </w:r>
      <w:r>
        <w:rPr>
          <w:rStyle w:val="NormalTok"/>
        </w:rPr>
        <w:t xml:space="preserve">          </w:t>
      </w:r>
      <w:r>
        <w:rPr>
          <w:rStyle w:val="DataTypeTok"/>
        </w:rPr>
        <w:t xml:space="preserve">"roas"</w:t>
      </w:r>
      <w:r>
        <w:rPr>
          <w:rStyle w:val="FunctionTok"/>
        </w:rPr>
        <w:t xml:space="preserve">:</w:t>
      </w:r>
      <w:r>
        <w:rPr>
          <w:rStyle w:val="NormalTok"/>
        </w:rPr>
        <w:t xml:space="preserve"> </w:t>
      </w:r>
      <w:r>
        <w:rPr>
          <w:rStyle w:val="StringTok"/>
        </w:rPr>
        <w:t xml:space="preserve">"-5% (from 4.3x to 4.1x)"</w:t>
      </w:r>
      <w:r>
        <w:rPr>
          <w:rStyle w:val="FunctionTok"/>
        </w:rPr>
        <w:t xml:space="preserve">,</w:t>
      </w:r>
      <w:r>
        <w:br/>
      </w:r>
      <w:r>
        <w:rPr>
          <w:rStyle w:val="NormalTok"/>
        </w:rPr>
        <w:t xml:space="preserve">          </w:t>
      </w:r>
      <w:r>
        <w:rPr>
          <w:rStyle w:val="DataTypeTok"/>
        </w:rPr>
        <w:t xml:space="preserve">"spend"</w:t>
      </w:r>
      <w:r>
        <w:rPr>
          <w:rStyle w:val="FunctionTok"/>
        </w:rPr>
        <w:t xml:space="preserve">:</w:t>
      </w:r>
      <w:r>
        <w:rPr>
          <w:rStyle w:val="NormalTok"/>
        </w:rPr>
        <w:t xml:space="preserve"> </w:t>
      </w:r>
      <w:r>
        <w:rPr>
          <w:rStyle w:val="StringTok"/>
        </w:rPr>
        <w:t xml:space="preserve">"+$250/day"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"risk_tier"</w:t>
      </w:r>
      <w:r>
        <w:rPr>
          <w:rStyle w:val="FunctionTok"/>
        </w:rPr>
        <w:t xml:space="preserve">:</w:t>
      </w:r>
      <w:r>
        <w:rPr>
          <w:rStyle w:val="NormalTok"/>
        </w:rPr>
        <w:t xml:space="preserve"> </w:t>
      </w:r>
      <w:r>
        <w:rPr>
          <w:rStyle w:val="StringTok"/>
        </w:rPr>
        <w:t xml:space="preserve">"quick_verify"</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reasoning chain is rendered in the UI as a collapsible narrative that the reviewer can expand to inspect each data point, verify the source, and understand the expected outcome before making an approval decision.</w:t>
      </w:r>
    </w:p>
    <w:bookmarkEnd w:id="65"/>
    <w:bookmarkStart w:id="66" w:name="feedback-loop-and-continuous-learning"/>
    <w:p>
      <w:pPr>
        <w:pStyle w:val="Heading3"/>
      </w:pPr>
      <w:r>
        <w:t xml:space="preserve">8.5 Feedback Loop and Continuous Learning</w:t>
      </w:r>
    </w:p>
    <w:p>
      <w:pPr>
        <w:pStyle w:val="FirstParagraph"/>
      </w:pPr>
      <w:r>
        <w:t xml:space="preserve">Every approval or rejection is captured as a</w:t>
      </w:r>
      <w:r>
        <w:t xml:space="preserve"> </w:t>
      </w:r>
      <w:r>
        <w:rPr>
          <w:bCs/>
          <w:b/>
        </w:rPr>
        <w:t xml:space="preserve">labeled training signal</w:t>
      </w:r>
      <w:r>
        <w:t xml:space="preserve"> </w:t>
      </w:r>
      <w:r>
        <w:t xml:space="preserve">that refines agent behavior over time: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Feedback Signal</w:t>
            </w:r>
          </w:p>
        </w:tc>
        <w:tc>
          <w:tcPr/>
          <w:p>
            <w:pPr>
              <w:pStyle w:val="Compact"/>
              <w:jc w:val="left"/>
            </w:pPr>
            <w:r>
              <w:t xml:space="preserve">How Captured</w:t>
            </w:r>
          </w:p>
        </w:tc>
        <w:tc>
          <w:tcPr/>
          <w:p>
            <w:pPr>
              <w:pStyle w:val="Compact"/>
              <w:jc w:val="left"/>
            </w:pPr>
            <w:r>
              <w:t xml:space="preserve">Learning Application</w:t>
            </w:r>
          </w:p>
        </w:tc>
      </w:tr>
      <w:tr>
        <w:tc>
          <w:tcPr/>
          <w:p>
            <w:pPr>
              <w:pStyle w:val="Compact"/>
              <w:jc w:val="left"/>
            </w:pPr>
            <w:r>
              <w:rPr>
                <w:bCs/>
                <w:b/>
              </w:rPr>
              <w:t xml:space="preserve">Approval</w:t>
            </w:r>
          </w:p>
        </w:tc>
        <w:tc>
          <w:tcPr/>
          <w:p>
            <w:pPr>
              <w:pStyle w:val="Compact"/>
              <w:jc w:val="left"/>
            </w:pPr>
            <w:r>
              <w:t xml:space="preserve">User clicks</w:t>
            </w:r>
            <w:r>
              <w:t xml:space="preserve"> </w:t>
            </w:r>
            <w:r>
              <w:t xml:space="preserve">“</w:t>
            </w:r>
            <w:r>
              <w:t xml:space="preserve">Approve</w:t>
            </w:r>
            <w:r>
              <w:t xml:space="preserve">”</w:t>
            </w:r>
            <w:r>
              <w:t xml:space="preserve"> </w:t>
            </w:r>
            <w:r>
              <w:t xml:space="preserve">on a draft</w:t>
            </w:r>
          </w:p>
        </w:tc>
        <w:tc>
          <w:tcPr/>
          <w:p>
            <w:pPr>
              <w:pStyle w:val="Compact"/>
              <w:jc w:val="left"/>
            </w:pPr>
            <w:r>
              <w:t xml:space="preserve">Reinforces the agent’s reasoning pattern; increases confidence weight for similar future scenarios</w:t>
            </w:r>
          </w:p>
        </w:tc>
      </w:tr>
      <w:tr>
        <w:tc>
          <w:tcPr/>
          <w:p>
            <w:pPr>
              <w:pStyle w:val="Compact"/>
              <w:jc w:val="left"/>
            </w:pPr>
            <w:r>
              <w:rPr>
                <w:bCs/>
                <w:b/>
              </w:rPr>
              <w:t xml:space="preserve">Rejection</w:t>
            </w:r>
          </w:p>
        </w:tc>
        <w:tc>
          <w:tcPr/>
          <w:p>
            <w:pPr>
              <w:pStyle w:val="Compact"/>
              <w:jc w:val="left"/>
            </w:pPr>
            <w:r>
              <w:t xml:space="preserve">User clicks</w:t>
            </w:r>
            <w:r>
              <w:t xml:space="preserve"> </w:t>
            </w:r>
            <w:r>
              <w:t xml:space="preserve">“</w:t>
            </w:r>
            <w:r>
              <w:t xml:space="preserve">Reject</w:t>
            </w:r>
            <w:r>
              <w:t xml:space="preserve">”</w:t>
            </w:r>
            <w:r>
              <w:t xml:space="preserve"> </w:t>
            </w:r>
            <w:r>
              <w:t xml:space="preserve">with optional reason</w:t>
            </w:r>
          </w:p>
        </w:tc>
        <w:tc>
          <w:tcPr/>
          <w:p>
            <w:pPr>
              <w:pStyle w:val="Compact"/>
              <w:jc w:val="left"/>
            </w:pPr>
            <w:r>
              <w:t xml:space="preserve">Agent logs the rejection reason; decreases confidence for similar patterns; may trigger rule adjustment</w:t>
            </w:r>
          </w:p>
        </w:tc>
      </w:tr>
      <w:tr>
        <w:tc>
          <w:tcPr/>
          <w:p>
            <w:pPr>
              <w:pStyle w:val="Compact"/>
              <w:jc w:val="left"/>
            </w:pPr>
            <w:r>
              <w:rPr>
                <w:bCs/>
                <w:b/>
              </w:rPr>
              <w:t xml:space="preserve">Modification</w:t>
            </w:r>
          </w:p>
        </w:tc>
        <w:tc>
          <w:tcPr/>
          <w:p>
            <w:pPr>
              <w:pStyle w:val="Compact"/>
              <w:jc w:val="left"/>
            </w:pPr>
            <w:r>
              <w:t xml:space="preserve">User edits the draft before approving</w:t>
            </w:r>
          </w:p>
        </w:tc>
        <w:tc>
          <w:tcPr/>
          <w:p>
            <w:pPr>
              <w:pStyle w:val="Compact"/>
              <w:jc w:val="left"/>
            </w:pPr>
            <w:r>
              <w:t xml:space="preserve">Captures the delta between AI proposal and human preference; feeds model fine-tuning pipeline</w:t>
            </w:r>
          </w:p>
        </w:tc>
      </w:tr>
      <w:tr>
        <w:tc>
          <w:tcPr/>
          <w:p>
            <w:pPr>
              <w:pStyle w:val="Compact"/>
              <w:jc w:val="left"/>
            </w:pPr>
            <w:r>
              <w:rPr>
                <w:bCs/>
                <w:b/>
              </w:rPr>
              <w:t xml:space="preserve">Outcome Validation</w:t>
            </w:r>
          </w:p>
        </w:tc>
        <w:tc>
          <w:tcPr/>
          <w:p>
            <w:pPr>
              <w:pStyle w:val="Compact"/>
              <w:jc w:val="left"/>
            </w:pPr>
            <w:r>
              <w:t xml:space="preserve">Post-deployment performance tracking</w:t>
            </w:r>
          </w:p>
        </w:tc>
        <w:tc>
          <w:tcPr/>
          <w:p>
            <w:pPr>
              <w:pStyle w:val="Compact"/>
              <w:jc w:val="left"/>
            </w:pPr>
            <w:r>
              <w:t xml:space="preserve">If approved change underperforms expectation, agent adjusts impact estimation model</w:t>
            </w:r>
          </w:p>
        </w:tc>
      </w:tr>
    </w:tbl>
    <w:p>
      <w:pPr>
        <w:pStyle w:val="BodyText"/>
      </w:pPr>
      <w:r>
        <w:t xml:space="preserve">The feedback loop operates on two time horizons:</w:t>
      </w:r>
    </w:p>
    <w:p>
      <w:pPr>
        <w:numPr>
          <w:ilvl w:val="0"/>
          <w:numId w:val="1010"/>
        </w:numPr>
        <w:pStyle w:val="Compact"/>
      </w:pPr>
      <w:r>
        <w:rPr>
          <w:bCs/>
          <w:b/>
        </w:rPr>
        <w:t xml:space="preserve">Short-term (real-time)</w:t>
      </w:r>
      <w:r>
        <w:t xml:space="preserve">: Rule-based confidence adjustments based on immediate approval/rejection patterns</w:t>
      </w:r>
    </w:p>
    <w:p>
      <w:pPr>
        <w:numPr>
          <w:ilvl w:val="0"/>
          <w:numId w:val="1010"/>
        </w:numPr>
        <w:pStyle w:val="Compact"/>
      </w:pPr>
      <w:r>
        <w:rPr>
          <w:bCs/>
          <w:b/>
        </w:rPr>
        <w:t xml:space="preserve">Long-term (weekly)</w:t>
      </w:r>
      <w:r>
        <w:t xml:space="preserve">: Aggregated feedback batches are used to fine-tune the custom ML models (Phase 5), improving recommendation quality for each specific workspace based on its historical feedback</w:t>
      </w:r>
    </w:p>
    <w:bookmarkEnd w:id="66"/>
    <w:bookmarkStart w:id="67" w:name="mcp-tool-specification-for-ai-agents"/>
    <w:p>
      <w:pPr>
        <w:pStyle w:val="Heading3"/>
      </w:pPr>
      <w:r>
        <w:t xml:space="preserve">8.6 MCP Tool Specification for AI Agents</w:t>
      </w:r>
    </w:p>
    <w:p>
      <w:pPr>
        <w:pStyle w:val="FirstParagraph"/>
      </w:pPr>
      <w:r>
        <w:t xml:space="preserve">The following MCP tools enable external AI assistants to interact with the AdNexus agent system: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Parameters</w:t>
            </w:r>
          </w:p>
        </w:tc>
        <w:tc>
          <w:tcPr/>
          <w:p>
            <w:pPr>
              <w:pStyle w:val="Compact"/>
              <w:jc w:val="left"/>
            </w:pPr>
            <w:r>
              <w:t xml:space="preserve">Return</w:t>
            </w:r>
          </w:p>
        </w:tc>
        <w:tc>
          <w:tcPr/>
          <w:p>
            <w:pPr>
              <w:pStyle w:val="Compact"/>
              <w:jc w:val="left"/>
            </w:pPr>
            <w:r>
              <w:t xml:space="preserve">Risk Tier</w:t>
            </w:r>
          </w:p>
        </w:tc>
      </w:tr>
      <w:tr>
        <w:tc>
          <w:tcPr/>
          <w:p>
            <w:pPr>
              <w:pStyle w:val="Compact"/>
              <w:jc w:val="left"/>
            </w:pPr>
            <w:r>
              <w:rPr>
                <w:rStyle w:val="VerbatimChar"/>
              </w:rPr>
              <w:t xml:space="preserve">adnexus_analyze_campaign</w:t>
            </w:r>
          </w:p>
        </w:tc>
        <w:tc>
          <w:tcPr/>
          <w:p>
            <w:pPr>
              <w:pStyle w:val="Compact"/>
              <w:jc w:val="left"/>
            </w:pPr>
            <w:r>
              <w:rPr>
                <w:rStyle w:val="VerbatimChar"/>
              </w:rPr>
              <w:t xml:space="preserve">campaign_id</w:t>
            </w:r>
            <w:r>
              <w:t xml:space="preserve">,</w:t>
            </w:r>
            <w:r>
              <w:t xml:space="preserve"> </w:t>
            </w:r>
            <w:r>
              <w:rPr>
                <w:rStyle w:val="VerbatimChar"/>
              </w:rPr>
              <w:t xml:space="preserve">metric</w:t>
            </w:r>
            <w:r>
              <w:t xml:space="preserve"> </w:t>
            </w:r>
            <w:r>
              <w:t xml:space="preserve">(ROAS/CPA/CTR),</w:t>
            </w:r>
            <w:r>
              <w:t xml:space="preserve"> </w:t>
            </w:r>
            <w:r>
              <w:rPr>
                <w:rStyle w:val="VerbatimChar"/>
              </w:rPr>
              <w:t xml:space="preserve">lookback_days</w:t>
            </w:r>
          </w:p>
        </w:tc>
        <w:tc>
          <w:tcPr/>
          <w:p>
            <w:pPr>
              <w:pStyle w:val="Compact"/>
              <w:jc w:val="left"/>
            </w:pPr>
            <w:r>
              <w:t xml:space="preserve">Structured analysis with trends, anomalies, and recommendations</w:t>
            </w:r>
          </w:p>
        </w:tc>
        <w:tc>
          <w:tcPr/>
          <w:p>
            <w:pPr>
              <w:pStyle w:val="Compact"/>
              <w:jc w:val="left"/>
            </w:pPr>
            <w:r>
              <w:t xml:space="preserve">Read-only</w:t>
            </w:r>
          </w:p>
        </w:tc>
      </w:tr>
      <w:tr>
        <w:tc>
          <w:tcPr/>
          <w:p>
            <w:pPr>
              <w:pStyle w:val="Compact"/>
              <w:jc w:val="left"/>
            </w:pPr>
            <w:r>
              <w:rPr>
                <w:rStyle w:val="VerbatimChar"/>
              </w:rPr>
              <w:t xml:space="preserve">adnexus_create_optimization_draft</w:t>
            </w:r>
          </w:p>
        </w:tc>
        <w:tc>
          <w:tcPr/>
          <w:p>
            <w:pPr>
              <w:pStyle w:val="Compact"/>
              <w:jc w:val="left"/>
            </w:pPr>
            <w:r>
              <w:rPr>
                <w:rStyle w:val="VerbatimChar"/>
              </w:rPr>
              <w:t xml:space="preserve">campaign_id</w:t>
            </w:r>
            <w:r>
              <w:t xml:space="preserve">,</w:t>
            </w:r>
            <w:r>
              <w:t xml:space="preserve"> </w:t>
            </w:r>
            <w:r>
              <w:rPr>
                <w:rStyle w:val="VerbatimChar"/>
              </w:rPr>
              <w:t xml:space="preserve">change_type</w:t>
            </w:r>
            <w:r>
              <w:t xml:space="preserve">,</w:t>
            </w:r>
            <w:r>
              <w:t xml:space="preserve"> </w:t>
            </w:r>
            <w:r>
              <w:rPr>
                <w:rStyle w:val="VerbatimChar"/>
              </w:rPr>
              <w:t xml:space="preserve">parameters</w:t>
            </w:r>
            <w:r>
              <w:t xml:space="preserve">,</w:t>
            </w:r>
            <w:r>
              <w:t xml:space="preserve"> </w:t>
            </w:r>
            <w:r>
              <w:rPr>
                <w:rStyle w:val="VerbatimChar"/>
              </w:rPr>
              <w:t xml:space="preserve">justification</w:t>
            </w:r>
          </w:p>
        </w:tc>
        <w:tc>
          <w:tcPr/>
          <w:p>
            <w:pPr>
              <w:pStyle w:val="Compact"/>
              <w:jc w:val="left"/>
            </w:pPr>
            <w:r>
              <w:t xml:space="preserve">Draft object with ID and approval queue status</w:t>
            </w:r>
          </w:p>
        </w:tc>
        <w:tc>
          <w:tcPr/>
          <w:p>
            <w:pPr>
              <w:pStyle w:val="Compact"/>
              <w:jc w:val="left"/>
            </w:pPr>
            <w:r>
              <w:t xml:space="preserve">Quick-Verify or Expert-Review</w:t>
            </w:r>
          </w:p>
        </w:tc>
      </w:tr>
      <w:tr>
        <w:tc>
          <w:tcPr/>
          <w:p>
            <w:pPr>
              <w:pStyle w:val="Compact"/>
              <w:jc w:val="left"/>
            </w:pPr>
            <w:r>
              <w:rPr>
                <w:rStyle w:val="VerbatimChar"/>
              </w:rPr>
              <w:t xml:space="preserve">adnexus_get_morning_brief</w:t>
            </w:r>
          </w:p>
        </w:tc>
        <w:tc>
          <w:tcPr/>
          <w:p>
            <w:pPr>
              <w:pStyle w:val="Compact"/>
              <w:jc w:val="left"/>
            </w:pPr>
            <w:r>
              <w:rPr>
                <w:rStyle w:val="VerbatimChar"/>
              </w:rPr>
              <w:t xml:space="preserve">workspace_id</w:t>
            </w:r>
            <w:r>
              <w:t xml:space="preserve">,</w:t>
            </w:r>
            <w:r>
              <w:t xml:space="preserve"> </w:t>
            </w:r>
            <w:r>
              <w:rPr>
                <w:rStyle w:val="VerbatimChar"/>
              </w:rPr>
              <w:t xml:space="preserve">date</w:t>
            </w:r>
          </w:p>
        </w:tc>
        <w:tc>
          <w:tcPr/>
          <w:p>
            <w:pPr>
              <w:pStyle w:val="Compact"/>
              <w:jc w:val="left"/>
            </w:pPr>
            <w:r>
              <w:t xml:space="preserve">Full morning brief as structured text</w:t>
            </w:r>
          </w:p>
        </w:tc>
        <w:tc>
          <w:tcPr/>
          <w:p>
            <w:pPr>
              <w:pStyle w:val="Compact"/>
              <w:jc w:val="left"/>
            </w:pPr>
            <w:r>
              <w:t xml:space="preserve">Read-only</w:t>
            </w:r>
          </w:p>
        </w:tc>
      </w:tr>
      <w:tr>
        <w:tc>
          <w:tcPr/>
          <w:p>
            <w:pPr>
              <w:pStyle w:val="Compact"/>
              <w:jc w:val="left"/>
            </w:pPr>
            <w:r>
              <w:rPr>
                <w:rStyle w:val="VerbatimChar"/>
              </w:rPr>
              <w:t xml:space="preserve">adnexus_list_pending_drafts</w:t>
            </w:r>
          </w:p>
        </w:tc>
        <w:tc>
          <w:tcPr/>
          <w:p>
            <w:pPr>
              <w:pStyle w:val="Compact"/>
              <w:jc w:val="left"/>
            </w:pPr>
            <w:r>
              <w:rPr>
                <w:rStyle w:val="VerbatimChar"/>
              </w:rPr>
              <w:t xml:space="preserve">workspace_id</w:t>
            </w:r>
            <w:r>
              <w:t xml:space="preserve">,</w:t>
            </w:r>
            <w:r>
              <w:t xml:space="preserve"> </w:t>
            </w:r>
            <w:r>
              <w:rPr>
                <w:rStyle w:val="VerbatimChar"/>
              </w:rPr>
              <w:t xml:space="preserve">risk_tier</w:t>
            </w:r>
            <w:r>
              <w:t xml:space="preserve"> </w:t>
            </w:r>
            <w:r>
              <w:t xml:space="preserve">(optional)</w:t>
            </w:r>
          </w:p>
        </w:tc>
        <w:tc>
          <w:tcPr/>
          <w:p>
            <w:pPr>
              <w:pStyle w:val="Compact"/>
              <w:jc w:val="left"/>
            </w:pPr>
            <w:r>
              <w:t xml:space="preserve">Array of drafts awaiting approval</w:t>
            </w:r>
          </w:p>
        </w:tc>
        <w:tc>
          <w:tcPr/>
          <w:p>
            <w:pPr>
              <w:pStyle w:val="Compact"/>
              <w:jc w:val="left"/>
            </w:pPr>
            <w:r>
              <w:t xml:space="preserve">Read-only</w:t>
            </w:r>
          </w:p>
        </w:tc>
      </w:tr>
      <w:tr>
        <w:tc>
          <w:tcPr/>
          <w:p>
            <w:pPr>
              <w:pStyle w:val="Compact"/>
              <w:jc w:val="left"/>
            </w:pPr>
            <w:r>
              <w:rPr>
                <w:rStyle w:val="VerbatimChar"/>
              </w:rPr>
              <w:t xml:space="preserve">adnexus_approve_draft</w:t>
            </w:r>
          </w:p>
        </w:tc>
        <w:tc>
          <w:tcPr/>
          <w:p>
            <w:pPr>
              <w:pStyle w:val="Compact"/>
              <w:jc w:val="left"/>
            </w:pPr>
            <w:r>
              <w:rPr>
                <w:rStyle w:val="VerbatimChar"/>
              </w:rPr>
              <w:t xml:space="preserve">draft_id</w:t>
            </w:r>
            <w:r>
              <w:t xml:space="preserve">,</w:t>
            </w:r>
            <w:r>
              <w:t xml:space="preserve"> </w:t>
            </w:r>
            <w:r>
              <w:rPr>
                <w:rStyle w:val="VerbatimChar"/>
              </w:rPr>
              <w:t xml:space="preserve">approver_notes</w:t>
            </w:r>
          </w:p>
        </w:tc>
        <w:tc>
          <w:tcPr/>
          <w:p>
            <w:pPr>
              <w:pStyle w:val="Compact"/>
              <w:jc w:val="left"/>
            </w:pPr>
            <w:r>
              <w:t xml:space="preserve">Confirmation of deployment or queue status</w:t>
            </w:r>
          </w:p>
        </w:tc>
        <w:tc>
          <w:tcPr/>
          <w:p>
            <w:pPr>
              <w:pStyle w:val="Compact"/>
              <w:jc w:val="left"/>
            </w:pPr>
            <w:r>
              <w:t xml:space="preserve">Human action</w:t>
            </w:r>
          </w:p>
        </w:tc>
      </w:tr>
      <w:tr>
        <w:tc>
          <w:tcPr/>
          <w:p>
            <w:pPr>
              <w:pStyle w:val="Compact"/>
              <w:jc w:val="left"/>
            </w:pPr>
            <w:r>
              <w:rPr>
                <w:rStyle w:val="VerbatimChar"/>
              </w:rPr>
              <w:t xml:space="preserve">adnexus_reject_draft</w:t>
            </w:r>
          </w:p>
        </w:tc>
        <w:tc>
          <w:tcPr/>
          <w:p>
            <w:pPr>
              <w:pStyle w:val="Compact"/>
              <w:jc w:val="left"/>
            </w:pPr>
            <w:r>
              <w:rPr>
                <w:rStyle w:val="VerbatimChar"/>
              </w:rPr>
              <w:t xml:space="preserve">draft_id</w:t>
            </w:r>
            <w:r>
              <w:t xml:space="preserve">,</w:t>
            </w:r>
            <w:r>
              <w:t xml:space="preserve"> </w:t>
            </w:r>
            <w:r>
              <w:rPr>
                <w:rStyle w:val="VerbatimChar"/>
              </w:rPr>
              <w:t xml:space="preserve">rejection_reason</w:t>
            </w:r>
          </w:p>
        </w:tc>
        <w:tc>
          <w:tcPr/>
          <w:p>
            <w:pPr>
              <w:pStyle w:val="Compact"/>
              <w:jc w:val="left"/>
            </w:pPr>
            <w:r>
              <w:t xml:space="preserve">Confirmation of rejection; triggers feedback loop</w:t>
            </w:r>
          </w:p>
        </w:tc>
        <w:tc>
          <w:tcPr/>
          <w:p>
            <w:pPr>
              <w:pStyle w:val="Compact"/>
              <w:jc w:val="left"/>
            </w:pPr>
            <w:r>
              <w:t xml:space="preserve">Human action</w:t>
            </w:r>
          </w:p>
        </w:tc>
      </w:tr>
      <w:tr>
        <w:tc>
          <w:tcPr/>
          <w:p>
            <w:pPr>
              <w:pStyle w:val="Compact"/>
              <w:jc w:val="left"/>
            </w:pPr>
            <w:r>
              <w:rPr>
                <w:rStyle w:val="VerbatimChar"/>
              </w:rPr>
              <w:t xml:space="preserve">adnexus_get_budget_forecast</w:t>
            </w:r>
          </w:p>
        </w:tc>
        <w:tc>
          <w:tcPr/>
          <w:p>
            <w:pPr>
              <w:pStyle w:val="Compact"/>
              <w:jc w:val="left"/>
            </w:pPr>
            <w:r>
              <w:rPr>
                <w:rStyle w:val="VerbatimChar"/>
              </w:rPr>
              <w:t xml:space="preserve">campaign_ids</w:t>
            </w:r>
            <w:r>
              <w:t xml:space="preserve">,</w:t>
            </w:r>
            <w:r>
              <w:t xml:space="preserve"> </w:t>
            </w:r>
            <w:r>
              <w:rPr>
                <w:rStyle w:val="VerbatimChar"/>
              </w:rPr>
              <w:t xml:space="preserve">forecast_days</w:t>
            </w:r>
          </w:p>
        </w:tc>
        <w:tc>
          <w:tcPr/>
          <w:p>
            <w:pPr>
              <w:pStyle w:val="Compact"/>
              <w:jc w:val="left"/>
            </w:pPr>
            <w:r>
              <w:t xml:space="preserve">Projected spend, conversions, and ROAS with confidence intervals</w:t>
            </w:r>
          </w:p>
        </w:tc>
        <w:tc>
          <w:tcPr/>
          <w:p>
            <w:pPr>
              <w:pStyle w:val="Compact"/>
              <w:jc w:val="left"/>
            </w:pPr>
            <w:r>
              <w:t xml:space="preserve">Read-only</w:t>
            </w:r>
          </w:p>
        </w:tc>
      </w:tr>
      <w:tr>
        <w:tc>
          <w:tcPr/>
          <w:p>
            <w:pPr>
              <w:pStyle w:val="Compact"/>
              <w:jc w:val="left"/>
            </w:pPr>
            <w:r>
              <w:rPr>
                <w:rStyle w:val="VerbatimChar"/>
              </w:rPr>
              <w:t xml:space="preserve">adnexus_detect_creative_fatigue</w:t>
            </w:r>
          </w:p>
        </w:tc>
        <w:tc>
          <w:tcPr/>
          <w:p>
            <w:pPr>
              <w:pStyle w:val="Compact"/>
              <w:jc w:val="left"/>
            </w:pPr>
            <w:r>
              <w:rPr>
                <w:rStyle w:val="VerbatimChar"/>
              </w:rPr>
              <w:t xml:space="preserve">creative_ids</w:t>
            </w:r>
            <w:r>
              <w:t xml:space="preserve">,</w:t>
            </w:r>
            <w:r>
              <w:t xml:space="preserve"> </w:t>
            </w:r>
            <w:r>
              <w:rPr>
                <w:rStyle w:val="VerbatimChar"/>
              </w:rPr>
              <w:t xml:space="preserve">platforms</w:t>
            </w:r>
          </w:p>
        </w:tc>
        <w:tc>
          <w:tcPr/>
          <w:p>
            <w:pPr>
              <w:pStyle w:val="Compact"/>
              <w:jc w:val="left"/>
            </w:pPr>
            <w:r>
              <w:t xml:space="preserve">Fatigue score (0-1) per creative with refresh recommendations</w:t>
            </w:r>
          </w:p>
        </w:tc>
        <w:tc>
          <w:tcPr/>
          <w:p>
            <w:pPr>
              <w:pStyle w:val="Compact"/>
              <w:jc w:val="left"/>
            </w:pPr>
            <w:r>
              <w:t xml:space="preserve">Read-only</w:t>
            </w:r>
          </w:p>
        </w:tc>
      </w:tr>
    </w:tbl>
    <w:p>
      <w:r>
        <w:pict>
          <v:rect style="width:0;height:1.5pt" o:hralign="center" o:hrstd="t" o:hr="t"/>
        </w:pict>
      </w:r>
    </w:p>
    <w:bookmarkEnd w:id="67"/>
    <w:bookmarkEnd w:id="68"/>
    <w:bookmarkStart w:id="69" w:name="X7ec3464a8d94e41a1925bb6aed235a97f977bc5"/>
    <w:p>
      <w:pPr>
        <w:pStyle w:val="Heading2"/>
      </w:pPr>
      <w:r>
        <w:t xml:space="preserve">9. Summary: From Foundation to Enterprise Intelligence</w:t>
      </w:r>
    </w:p>
    <w:p>
      <w:pPr>
        <w:pStyle w:val="FirstParagraph"/>
      </w:pPr>
      <w:r>
        <w:t xml:space="preserve">The AdNexus product architecture is designed as a progression from a reliable, trust-building foundation to a sophisticated, enterprise-grade intelligent advertising platform. The draft-first approval workflow is the enduring core that never changes — it is what makes AdNexus trustworthy in an industry plagued by opaque automation. The MCP-native architecture ensures that AdNexus is future-proof as AI models evolve; it does not bet on a single AI provider but becomes the infrastructure layer that any AI can operate through.</w:t>
      </w:r>
    </w:p>
    <w:p>
      <w:pPr>
        <w:pStyle w:val="BodyText"/>
      </w:pPr>
      <w:r>
        <w:t xml:space="preserve">The 18-month roadmap balances immediate value delivery (Phase 1: a better way to manage Meta and Google campaigns) with long-term competitive differentiation (Phase 3-5: proprietary intelligence, competitive data assets, and enterprise governance). Each phase is funded by the revenue and learning of the prior phase, ensuring capital-efficient growth.</w:t>
      </w:r>
    </w:p>
    <w:p>
      <w:pPr>
        <w:pStyle w:val="BodyText"/>
      </w:pPr>
      <w:r>
        <w:t xml:space="preserve">The technical architecture — microservices, event-driven, CQRS, multi-tenant, privacy-first — provides the operational resilience and scalability required to serve everyone from a 5-person startup to a global agency holding company. The AI agent system, with its explicit human-in-the-loop design, ensures that intelligence always serves human judgment rather than replacing it.</w:t>
      </w:r>
    </w:p>
    <w:p>
      <w:pPr>
        <w:pStyle w:val="BodyText"/>
      </w:pPr>
      <w:r>
        <w:t xml:space="preserve">The result is a platform that makes advertising teams faster, smarter, and more effective — without ever making them feel like they have lost control.</w:t>
      </w:r>
    </w:p>
    <w:p>
      <w:r>
        <w:pict>
          <v:rect style="width:0;height:1.5pt" o:hralign="center" o:hrstd="t" o:hr="t"/>
        </w:pict>
      </w:r>
    </w:p>
    <w:p>
      <w:pPr>
        <w:pStyle w:val="FirstParagraph"/>
      </w:pPr>
      <w:r>
        <w:rPr>
          <w:iCs/>
          <w:i/>
        </w:rPr>
        <w:t xml:space="preserve">Part 2 of 4 | AdNexus AI Strategy Document | Product Concept, Feature Roadmap, and Technical Architecture</w:t>
      </w:r>
      <w:r>
        <w:t xml:space="preserve"> </w:t>
      </w:r>
      <w:r>
        <w:t xml:space="preserve"># Part 3: Go-to-Market Strategy, Business Model, and Success Metrics</w:t>
      </w:r>
    </w:p>
    <w:p>
      <w:r>
        <w:pict>
          <v:rect style="width:0;height:1.5pt" o:hralign="center" o:hrstd="t" o:hr="t"/>
        </w:pict>
      </w:r>
    </w:p>
    <w:bookmarkEnd w:id="69"/>
    <w:bookmarkStart w:id="73" w:name="go-to-market-strategy"/>
    <w:p>
      <w:pPr>
        <w:pStyle w:val="Heading2"/>
      </w:pPr>
      <w:r>
        <w:t xml:space="preserve">9. Go-to-Market Strategy</w:t>
      </w:r>
    </w:p>
    <w:p>
      <w:pPr>
        <w:pStyle w:val="FirstParagraph"/>
      </w:pPr>
      <w:r>
        <w:t xml:space="preserve">The go-to-market (GTM) strategy for AdNexus AI is designed around a product-led growth (PLG) motion amplified by the Model Context Protocol (MCP) ecosystem. Rather than relying on expensive outbound sales or traditional enterprise hunting, AdNexus will weaponize distribution through developer-native channels, organic content, and ecosystem leverage to acquire customers at a fundamentally lower CAC than incumbent advertising platforms.</w:t>
      </w:r>
    </w:p>
    <w:p>
      <w:pPr>
        <w:pStyle w:val="BodyText"/>
      </w:pPr>
      <w:r>
        <w:t xml:space="preserve">The core strategic thesis is simple:</w:t>
      </w:r>
      <w:r>
        <w:t xml:space="preserve"> </w:t>
      </w:r>
      <w:r>
        <w:rPr>
          <w:bCs/>
          <w:b/>
        </w:rPr>
        <w:t xml:space="preserve">be where the buyers already are</w:t>
      </w:r>
      <w:r>
        <w:t xml:space="preserve">. Media buyers, performance marketers, and growth engineers already live inside AI assistants, Slack channels, GitHub repos, and Product Hunt. AdNexus does not need to build a new destination; it needs to become the canonical answer to</w:t>
      </w:r>
      <w:r>
        <w:t xml:space="preserve"> </w:t>
      </w:r>
      <w:r>
        <w:t xml:space="preserve">“</w:t>
      </w:r>
      <w:r>
        <w:t xml:space="preserve">how do I manage my ad campaigns with AI?</w:t>
      </w:r>
      <w:r>
        <w:t xml:space="preserve">”</w:t>
      </w:r>
    </w:p>
    <w:bookmarkStart w:id="70" w:name="X4e7f302798f8765c239516ac627849f9a7a3b3d"/>
    <w:p>
      <w:pPr>
        <w:pStyle w:val="Heading3"/>
      </w:pPr>
      <w:r>
        <w:t xml:space="preserve">9.1 Target Segments (Prioritized by Accessibility and Time-to-Revenue)</w:t>
      </w:r>
    </w:p>
    <w:tbl>
      <w:tblPr>
        <w:tblStyle w:val="Table"/>
        <w:tblW w:type="pct" w:w="5000"/>
        <w:tblLook w:firstRow="1" w:lastRow="0" w:firstColumn="0" w:lastColumn="0" w:noHBand="0" w:noVBand="0" w:val="0020"/>
      </w:tblPr>
      <w:tblGrid>
        <w:gridCol w:w="880"/>
        <w:gridCol w:w="792"/>
        <w:gridCol w:w="792"/>
        <w:gridCol w:w="880"/>
        <w:gridCol w:w="1408"/>
        <w:gridCol w:w="1848"/>
        <w:gridCol w:w="1320"/>
      </w:tblGrid>
      <w:tr>
        <w:trPr>
          <w:tblHeader w:val="true"/>
        </w:trPr>
        <w:tc>
          <w:tcPr/>
          <w:p>
            <w:pPr>
              <w:pStyle w:val="Compact"/>
              <w:jc w:val="left"/>
            </w:pPr>
            <w:r>
              <w:t xml:space="preserve">Priority</w:t>
            </w:r>
          </w:p>
        </w:tc>
        <w:tc>
          <w:tcPr/>
          <w:p>
            <w:pPr>
              <w:pStyle w:val="Compact"/>
              <w:jc w:val="left"/>
            </w:pPr>
            <w:r>
              <w:t xml:space="preserve">Segment</w:t>
            </w:r>
          </w:p>
        </w:tc>
        <w:tc>
          <w:tcPr/>
          <w:p>
            <w:pPr>
              <w:pStyle w:val="Compact"/>
              <w:jc w:val="left"/>
            </w:pPr>
            <w:r>
              <w:t xml:space="preserve">Profile</w:t>
            </w:r>
          </w:p>
        </w:tc>
        <w:tc>
          <w:tcPr/>
          <w:p>
            <w:pPr>
              <w:pStyle w:val="Compact"/>
              <w:jc w:val="left"/>
            </w:pPr>
            <w:r>
              <w:t xml:space="preserve">Ad Spend</w:t>
            </w:r>
          </w:p>
        </w:tc>
        <w:tc>
          <w:tcPr/>
          <w:p>
            <w:pPr>
              <w:pStyle w:val="Compact"/>
              <w:jc w:val="left"/>
            </w:pPr>
            <w:r>
              <w:t xml:space="preserve">Pain Intensity</w:t>
            </w:r>
          </w:p>
        </w:tc>
        <w:tc>
          <w:tcPr/>
          <w:p>
            <w:pPr>
              <w:pStyle w:val="Compact"/>
              <w:jc w:val="left"/>
            </w:pPr>
            <w:r>
              <w:t xml:space="preserve">Acquisition Channel</w:t>
            </w:r>
          </w:p>
        </w:tc>
        <w:tc>
          <w:tcPr/>
          <w:p>
            <w:pPr>
              <w:pStyle w:val="Compact"/>
              <w:jc w:val="left"/>
            </w:pPr>
            <w:r>
              <w:t xml:space="preserve">Time-to-Value</w:t>
            </w:r>
          </w:p>
        </w:tc>
      </w:tr>
      <w:tr>
        <w:tc>
          <w:tcPr/>
          <w:p>
            <w:pPr>
              <w:pStyle w:val="Compact"/>
              <w:jc w:val="left"/>
            </w:pPr>
            <w:r>
              <w:rPr>
                <w:bCs/>
                <w:b/>
              </w:rPr>
              <w:t xml:space="preserve">1</w:t>
            </w:r>
          </w:p>
        </w:tc>
        <w:tc>
          <w:tcPr/>
          <w:p>
            <w:pPr>
              <w:pStyle w:val="Compact"/>
              <w:jc w:val="left"/>
            </w:pPr>
            <w:r>
              <w:t xml:space="preserve">Solo Media Buyers</w:t>
            </w:r>
          </w:p>
        </w:tc>
        <w:tc>
          <w:tcPr/>
          <w:p>
            <w:pPr>
              <w:pStyle w:val="Compact"/>
              <w:jc w:val="left"/>
            </w:pPr>
            <w:r>
              <w:t xml:space="preserve">Individual freelancers, affiliate marketers, DTC operators managing their own campaigns</w:t>
            </w:r>
          </w:p>
        </w:tc>
        <w:tc>
          <w:tcPr/>
          <w:p>
            <w:pPr>
              <w:pStyle w:val="Compact"/>
              <w:jc w:val="left"/>
            </w:pPr>
            <w:r>
              <w:t xml:space="preserve">$10-100K/mo</w:t>
            </w:r>
          </w:p>
        </w:tc>
        <w:tc>
          <w:tcPr/>
          <w:p>
            <w:pPr>
              <w:pStyle w:val="Compact"/>
              <w:jc w:val="left"/>
            </w:pPr>
            <w:r>
              <w:t xml:space="preserve">Extreme</w:t>
            </w:r>
          </w:p>
        </w:tc>
        <w:tc>
          <w:tcPr/>
          <w:p>
            <w:pPr>
              <w:pStyle w:val="Compact"/>
              <w:jc w:val="left"/>
            </w:pPr>
            <w:r>
              <w:t xml:space="preserve">MCP ecosystem, Product Hunt, SEO, PLG</w:t>
            </w:r>
          </w:p>
        </w:tc>
        <w:tc>
          <w:tcPr/>
          <w:p>
            <w:pPr>
              <w:pStyle w:val="Compact"/>
              <w:jc w:val="left"/>
            </w:pPr>
            <w:r>
              <w:t xml:space="preserve">Minutes</w:t>
            </w:r>
          </w:p>
        </w:tc>
      </w:tr>
      <w:tr>
        <w:tc>
          <w:tcPr/>
          <w:p>
            <w:pPr>
              <w:pStyle w:val="Compact"/>
              <w:jc w:val="left"/>
            </w:pPr>
            <w:r>
              <w:rPr>
                <w:bCs/>
                <w:b/>
              </w:rPr>
              <w:t xml:space="preserve">2</w:t>
            </w:r>
          </w:p>
        </w:tc>
        <w:tc>
          <w:tcPr/>
          <w:p>
            <w:pPr>
              <w:pStyle w:val="Compact"/>
              <w:jc w:val="left"/>
            </w:pPr>
            <w:r>
              <w:t xml:space="preserve">Performance Agencies</w:t>
            </w:r>
          </w:p>
        </w:tc>
        <w:tc>
          <w:tcPr/>
          <w:p>
            <w:pPr>
              <w:pStyle w:val="Compact"/>
              <w:jc w:val="left"/>
            </w:pPr>
            <w:r>
              <w:t xml:space="preserve">Boutique to mid-size agencies running campaigns for 10-50 clients</w:t>
            </w:r>
          </w:p>
        </w:tc>
        <w:tc>
          <w:tcPr/>
          <w:p>
            <w:pPr>
              <w:pStyle w:val="Compact"/>
              <w:jc w:val="left"/>
            </w:pPr>
            <w:r>
              <w:t xml:space="preserve">Variable per client</w:t>
            </w:r>
          </w:p>
        </w:tc>
        <w:tc>
          <w:tcPr/>
          <w:p>
            <w:pPr>
              <w:pStyle w:val="Compact"/>
              <w:jc w:val="left"/>
            </w:pPr>
            <w:r>
              <w:t xml:space="preserve">High</w:t>
            </w:r>
          </w:p>
        </w:tc>
        <w:tc>
          <w:tcPr/>
          <w:p>
            <w:pPr>
              <w:pStyle w:val="Compact"/>
              <w:jc w:val="left"/>
            </w:pPr>
            <w:r>
              <w:t xml:space="preserve">Agency partner program, MCP, content</w:t>
            </w:r>
          </w:p>
        </w:tc>
        <w:tc>
          <w:tcPr/>
          <w:p>
            <w:pPr>
              <w:pStyle w:val="Compact"/>
              <w:jc w:val="left"/>
            </w:pPr>
            <w:r>
              <w:t xml:space="preserve">Days</w:t>
            </w:r>
          </w:p>
        </w:tc>
      </w:tr>
      <w:tr>
        <w:tc>
          <w:tcPr/>
          <w:p>
            <w:pPr>
              <w:pStyle w:val="Compact"/>
              <w:jc w:val="left"/>
            </w:pPr>
            <w:r>
              <w:rPr>
                <w:bCs/>
                <w:b/>
              </w:rPr>
              <w:t xml:space="preserve">3</w:t>
            </w:r>
          </w:p>
        </w:tc>
        <w:tc>
          <w:tcPr/>
          <w:p>
            <w:pPr>
              <w:pStyle w:val="Compact"/>
              <w:jc w:val="left"/>
            </w:pPr>
            <w:r>
              <w:t xml:space="preserve">In-House Marketing Teams</w:t>
            </w:r>
          </w:p>
        </w:tc>
        <w:tc>
          <w:tcPr/>
          <w:p>
            <w:pPr>
              <w:pStyle w:val="Compact"/>
              <w:jc w:val="left"/>
            </w:pPr>
            <w:r>
              <w:t xml:space="preserve">Growth teams at Series A-C startups and mid-market brands</w:t>
            </w:r>
          </w:p>
        </w:tc>
        <w:tc>
          <w:tcPr/>
          <w:p>
            <w:pPr>
              <w:pStyle w:val="Compact"/>
              <w:jc w:val="left"/>
            </w:pPr>
            <w:r>
              <w:t xml:space="preserve">$100K-1M/mo</w:t>
            </w:r>
          </w:p>
        </w:tc>
        <w:tc>
          <w:tcPr/>
          <w:p>
            <w:pPr>
              <w:pStyle w:val="Compact"/>
              <w:jc w:val="left"/>
            </w:pPr>
            <w:r>
              <w:t xml:space="preserve">High</w:t>
            </w:r>
          </w:p>
        </w:tc>
        <w:tc>
          <w:tcPr/>
          <w:p>
            <w:pPr>
              <w:pStyle w:val="Compact"/>
              <w:jc w:val="left"/>
            </w:pPr>
            <w:r>
              <w:t xml:space="preserve">PLG, content SEO, outbound</w:t>
            </w:r>
          </w:p>
        </w:tc>
        <w:tc>
          <w:tcPr/>
          <w:p>
            <w:pPr>
              <w:pStyle w:val="Compact"/>
              <w:jc w:val="left"/>
            </w:pPr>
            <w:r>
              <w:t xml:space="preserve">Weeks</w:t>
            </w:r>
          </w:p>
        </w:tc>
      </w:tr>
      <w:tr>
        <w:tc>
          <w:tcPr/>
          <w:p>
            <w:pPr>
              <w:pStyle w:val="Compact"/>
              <w:jc w:val="left"/>
            </w:pPr>
            <w:r>
              <w:rPr>
                <w:bCs/>
                <w:b/>
              </w:rPr>
              <w:t xml:space="preserve">4</w:t>
            </w:r>
          </w:p>
        </w:tc>
        <w:tc>
          <w:tcPr/>
          <w:p>
            <w:pPr>
              <w:pStyle w:val="Compact"/>
              <w:jc w:val="left"/>
            </w:pPr>
            <w:r>
              <w:t xml:space="preserve">Enterprise</w:t>
            </w:r>
          </w:p>
        </w:tc>
        <w:tc>
          <w:tcPr/>
          <w:p>
            <w:pPr>
              <w:pStyle w:val="Compact"/>
              <w:jc w:val="left"/>
            </w:pPr>
            <w:r>
              <w:t xml:space="preserve">Fortune 500 brands, holding companies, regulated industries</w:t>
            </w:r>
          </w:p>
        </w:tc>
        <w:tc>
          <w:tcPr/>
          <w:p>
            <w:pPr>
              <w:pStyle w:val="Compact"/>
              <w:jc w:val="left"/>
            </w:pPr>
            <w:r>
              <w:t xml:space="preserve">$1M+/mo</w:t>
            </w:r>
          </w:p>
        </w:tc>
        <w:tc>
          <w:tcPr/>
          <w:p>
            <w:pPr>
              <w:pStyle w:val="Compact"/>
              <w:jc w:val="left"/>
            </w:pPr>
            <w:r>
              <w:t xml:space="preserve">Medium-High</w:t>
            </w:r>
          </w:p>
        </w:tc>
        <w:tc>
          <w:tcPr/>
          <w:p>
            <w:pPr>
              <w:pStyle w:val="Compact"/>
              <w:jc w:val="left"/>
            </w:pPr>
            <w:r>
              <w:t xml:space="preserve">Direct sales, land-and-expand, case studies</w:t>
            </w:r>
          </w:p>
        </w:tc>
        <w:tc>
          <w:tcPr/>
          <w:p>
            <w:pPr>
              <w:pStyle w:val="Compact"/>
              <w:jc w:val="left"/>
            </w:pPr>
            <w:r>
              <w:t xml:space="preserve">Months</w:t>
            </w:r>
          </w:p>
        </w:tc>
      </w:tr>
    </w:tbl>
    <w:p>
      <w:pPr>
        <w:pStyle w:val="BodyText"/>
      </w:pPr>
      <w:r>
        <w:rPr>
          <w:bCs/>
          <w:b/>
        </w:rPr>
        <w:t xml:space="preserve">Segment 1: Solo Media Buyers ($10-100K/mo ad spend)</w:t>
      </w:r>
    </w:p>
    <w:p>
      <w:pPr>
        <w:pStyle w:val="BodyText"/>
      </w:pPr>
      <w:r>
        <w:t xml:space="preserve">This segment is the tip of the spear. Solo media buyers are time-starved, price-sensitive, and desperate for quick wins. They typically manage campaigns across 2-3 platforms manually, spending 4-6 hours daily on repetitive tasks: copying creatives, adjusting bids, compiling reports. They are early adopters of AI tools, active on X/Twitter, Slack communities, and Product Hunt. They make purchase decisions in minutes if the value proposition is clear. The Growth tier at $79/month represents a trivial cost against a $50K monthly budget—less than 0.16% of spend.</w:t>
      </w:r>
    </w:p>
    <w:p>
      <w:pPr>
        <w:pStyle w:val="BodyText"/>
      </w:pPr>
      <w:r>
        <w:t xml:space="preserve">The acquisition strategy for this segment is purely organic and product-led. They will discover AdNexus through MCP-powered conversations in Claude, ChatGPT, or Gemini; through Product Hunt upvotes; and through SEO content answering hyper-specific pain questions like</w:t>
      </w:r>
      <w:r>
        <w:t xml:space="preserve"> </w:t>
      </w:r>
      <w:r>
        <w:t xml:space="preserve">“</w:t>
      </w:r>
      <w:r>
        <w:t xml:space="preserve">how to detect creative fatigue automatically.</w:t>
      </w:r>
      <w:r>
        <w:t xml:space="preserve">”</w:t>
      </w:r>
      <w:r>
        <w:t xml:space="preserve"> </w:t>
      </w:r>
      <w:r>
        <w:t xml:space="preserve">The onboarding must be sub-5-minutes, and the first Morning Brief must arrive within 24 hours to cement habit formation.</w:t>
      </w:r>
    </w:p>
    <w:p>
      <w:pPr>
        <w:pStyle w:val="BodyText"/>
      </w:pPr>
      <w:r>
        <w:rPr>
          <w:bCs/>
          <w:b/>
        </w:rPr>
        <w:t xml:space="preserve">Segment 2: Performance Agencies (10-50 clients)</w:t>
      </w:r>
    </w:p>
    <w:p>
      <w:pPr>
        <w:pStyle w:val="BodyText"/>
      </w:pPr>
      <w:r>
        <w:t xml:space="preserve">Agencies represent the primary expansion engine. A single agency with 20 clients, each on the Scale tier at $199/month, generates $3,980/month in subscription revenue—nearly $48K ARR from one relationship. Agencies are 16% more likely to trust vendor recommendations than direct vendor outreach, making them a force multiplier for distribution.</w:t>
      </w:r>
    </w:p>
    <w:p>
      <w:pPr>
        <w:pStyle w:val="BodyText"/>
      </w:pPr>
      <w:r>
        <w:t xml:space="preserve">Agencies have distinct needs: multi-account workspaces, white-label reporting, client isolation, and team role management. They need to onboard clients rapidly, demonstrate ROI weekly, and reduce the hours per client to increase margins. The agency partner program must deliver 20-30% productivity gains within the first 30 days to justify continued commitment.</w:t>
      </w:r>
    </w:p>
    <w:p>
      <w:pPr>
        <w:pStyle w:val="BodyText"/>
      </w:pPr>
      <w:r>
        <w:rPr>
          <w:bCs/>
          <w:b/>
        </w:rPr>
        <w:t xml:space="preserve">Segment 3: In-House Marketing Teams ($100K-1M/mo)</w:t>
      </w:r>
    </w:p>
    <w:p>
      <w:pPr>
        <w:pStyle w:val="BodyText"/>
      </w:pPr>
      <w:r>
        <w:t xml:space="preserve">In-house teams at growth-stage companies represent the most natural upgrade path from solo buyers. As a DTC brand scales from $50K to $500K in monthly spend, the operator’s need for cross-platform reporting, compliance documentation, and team collaboration increases exponentially. This segment values security, audit trails, and integration with existing martech stacks (Salesforce, HubSpot, Segment).</w:t>
      </w:r>
    </w:p>
    <w:p>
      <w:pPr>
        <w:pStyle w:val="BodyText"/>
      </w:pPr>
      <w:r>
        <w:t xml:space="preserve">The land-and-expand model applies here: a growth marketer adopts AdNexus personally, demonstrates results, and expands into a team workspace. The Scale and Accelerate tiers are purpose-built for this journey.</w:t>
      </w:r>
    </w:p>
    <w:p>
      <w:pPr>
        <w:pStyle w:val="BodyText"/>
      </w:pPr>
      <w:r>
        <w:rPr>
          <w:bCs/>
          <w:b/>
        </w:rPr>
        <w:t xml:space="preserve">Segment 4: Enterprise ($1M+/mo)</w:t>
      </w:r>
    </w:p>
    <w:p>
      <w:pPr>
        <w:pStyle w:val="BodyText"/>
      </w:pPr>
      <w:r>
        <w:t xml:space="preserve">Enterprise accounts require formal procurement, security reviews, SOC 2 compliance, and custom SLAs. While the sales cycle is 3-6 months, a single enterprise contract can represent $100K+ ARR. The enterprise strategy is explicitly secondary until Year 2, with PLG-generated case studies and proven ROI metrics serving as the foundation for outbound enterprise conversations.</w:t>
      </w:r>
    </w:p>
    <w:bookmarkEnd w:id="70"/>
    <w:bookmarkStart w:id="71" w:name="Xd535015164c03b4ce5a9d875a45a96664ca1f96"/>
    <w:p>
      <w:pPr>
        <w:pStyle w:val="Heading3"/>
      </w:pPr>
      <w:r>
        <w:t xml:space="preserve">9.2 Distribution Channels: The MCP-First Growth Engine</w:t>
      </w:r>
    </w:p>
    <w:tbl>
      <w:tblPr>
        <w:tblStyle w:val="Table"/>
        <w:tblW w:type="pct" w:w="5000"/>
        <w:tblLook w:firstRow="1" w:lastRow="0" w:firstColumn="0" w:lastColumn="0" w:noHBand="0" w:noVBand="0" w:val="0020"/>
      </w:tblPr>
      <w:tblGrid>
        <w:gridCol w:w="800"/>
        <w:gridCol w:w="533"/>
        <w:gridCol w:w="1512"/>
        <w:gridCol w:w="1067"/>
        <w:gridCol w:w="1245"/>
        <w:gridCol w:w="2758"/>
      </w:tblGrid>
      <w:tr>
        <w:trPr>
          <w:tblHeader w:val="true"/>
        </w:trPr>
        <w:tc>
          <w:tcPr/>
          <w:p>
            <w:pPr>
              <w:pStyle w:val="Compact"/>
              <w:jc w:val="left"/>
            </w:pPr>
            <w:r>
              <w:t xml:space="preserve">Channel</w:t>
            </w:r>
          </w:p>
        </w:tc>
        <w:tc>
          <w:tcPr/>
          <w:p>
            <w:pPr>
              <w:pStyle w:val="Compact"/>
              <w:jc w:val="left"/>
            </w:pPr>
            <w:r>
              <w:t xml:space="preserve">Type</w:t>
            </w:r>
          </w:p>
        </w:tc>
        <w:tc>
          <w:tcPr/>
          <w:p>
            <w:pPr>
              <w:pStyle w:val="Compact"/>
              <w:jc w:val="left"/>
            </w:pPr>
            <w:r>
              <w:t xml:space="preserve">Primary Segment</w:t>
            </w:r>
          </w:p>
        </w:tc>
        <w:tc>
          <w:tcPr/>
          <w:p>
            <w:pPr>
              <w:pStyle w:val="Compact"/>
              <w:jc w:val="left"/>
            </w:pPr>
            <w:r>
              <w:t xml:space="preserve">Investment</w:t>
            </w:r>
          </w:p>
        </w:tc>
        <w:tc>
          <w:tcPr/>
          <w:p>
            <w:pPr>
              <w:pStyle w:val="Compact"/>
              <w:jc w:val="left"/>
            </w:pPr>
            <w:r>
              <w:t xml:space="preserve">Expected CAC</w:t>
            </w:r>
          </w:p>
        </w:tc>
        <w:tc>
          <w:tcPr/>
          <w:p>
            <w:pPr>
              <w:pStyle w:val="Compact"/>
              <w:jc w:val="left"/>
            </w:pPr>
            <w:r>
              <w:t xml:space="preserve">Expected Contribution (Year 1)</w:t>
            </w:r>
          </w:p>
        </w:tc>
      </w:tr>
      <w:tr>
        <w:tc>
          <w:tcPr/>
          <w:p>
            <w:pPr>
              <w:pStyle w:val="Compact"/>
              <w:jc w:val="left"/>
            </w:pPr>
            <w:r>
              <w:rPr>
                <w:bCs/>
                <w:b/>
              </w:rPr>
              <w:t xml:space="preserve">MCP Ecosystem</w:t>
            </w:r>
          </w:p>
        </w:tc>
        <w:tc>
          <w:tcPr/>
          <w:p>
            <w:pPr>
              <w:pStyle w:val="Compact"/>
              <w:jc w:val="left"/>
            </w:pPr>
            <w:r>
              <w:t xml:space="preserve">Organic / Product</w:t>
            </w:r>
          </w:p>
        </w:tc>
        <w:tc>
          <w:tcPr/>
          <w:p>
            <w:pPr>
              <w:pStyle w:val="Compact"/>
              <w:jc w:val="left"/>
            </w:pPr>
            <w:r>
              <w:t xml:space="preserve">All</w:t>
            </w:r>
          </w:p>
        </w:tc>
        <w:tc>
          <w:tcPr/>
          <w:p>
            <w:pPr>
              <w:pStyle w:val="Compact"/>
              <w:jc w:val="left"/>
            </w:pPr>
            <w:r>
              <w:t xml:space="preserve">Engineering + Docs</w:t>
            </w:r>
          </w:p>
        </w:tc>
        <w:tc>
          <w:tcPr/>
          <w:p>
            <w:pPr>
              <w:pStyle w:val="Compact"/>
              <w:jc w:val="left"/>
            </w:pPr>
            <w:r>
              <w:t xml:space="preserve">&lt;$50</w:t>
            </w:r>
          </w:p>
        </w:tc>
        <w:tc>
          <w:tcPr/>
          <w:p>
            <w:pPr>
              <w:pStyle w:val="Compact"/>
              <w:jc w:val="left"/>
            </w:pPr>
            <w:r>
              <w:t xml:space="preserve">35% of acquisitions</w:t>
            </w:r>
          </w:p>
        </w:tc>
      </w:tr>
      <w:tr>
        <w:tc>
          <w:tcPr/>
          <w:p>
            <w:pPr>
              <w:pStyle w:val="Compact"/>
              <w:jc w:val="left"/>
            </w:pPr>
            <w:r>
              <w:rPr>
                <w:bCs/>
                <w:b/>
              </w:rPr>
              <w:t xml:space="preserve">Product-Led Growth</w:t>
            </w:r>
          </w:p>
        </w:tc>
        <w:tc>
          <w:tcPr/>
          <w:p>
            <w:pPr>
              <w:pStyle w:val="Compact"/>
              <w:jc w:val="left"/>
            </w:pPr>
            <w:r>
              <w:t xml:space="preserve">Product</w:t>
            </w:r>
          </w:p>
        </w:tc>
        <w:tc>
          <w:tcPr/>
          <w:p>
            <w:pPr>
              <w:pStyle w:val="Compact"/>
              <w:jc w:val="left"/>
            </w:pPr>
            <w:r>
              <w:t xml:space="preserve">Solo buyers, agencies</w:t>
            </w:r>
          </w:p>
        </w:tc>
        <w:tc>
          <w:tcPr/>
          <w:p>
            <w:pPr>
              <w:pStyle w:val="Compact"/>
              <w:jc w:val="left"/>
            </w:pPr>
            <w:r>
              <w:t xml:space="preserve">Product + Engineering</w:t>
            </w:r>
          </w:p>
        </w:tc>
        <w:tc>
          <w:tcPr/>
          <w:p>
            <w:pPr>
              <w:pStyle w:val="Compact"/>
              <w:jc w:val="left"/>
            </w:pPr>
            <w:r>
              <w:t xml:space="preserve">$200</w:t>
            </w:r>
          </w:p>
        </w:tc>
        <w:tc>
          <w:tcPr/>
          <w:p>
            <w:pPr>
              <w:pStyle w:val="Compact"/>
              <w:jc w:val="left"/>
            </w:pPr>
            <w:r>
              <w:t xml:space="preserve">30% of acquisitions</w:t>
            </w:r>
          </w:p>
        </w:tc>
      </w:tr>
      <w:tr>
        <w:tc>
          <w:tcPr/>
          <w:p>
            <w:pPr>
              <w:pStyle w:val="Compact"/>
              <w:jc w:val="left"/>
            </w:pPr>
            <w:r>
              <w:rPr>
                <w:bCs/>
                <w:b/>
              </w:rPr>
              <w:t xml:space="preserve">Agency Partner Program</w:t>
            </w:r>
          </w:p>
        </w:tc>
        <w:tc>
          <w:tcPr/>
          <w:p>
            <w:pPr>
              <w:pStyle w:val="Compact"/>
              <w:jc w:val="left"/>
            </w:pPr>
            <w:r>
              <w:t xml:space="preserve">Partnership</w:t>
            </w:r>
          </w:p>
        </w:tc>
        <w:tc>
          <w:tcPr/>
          <w:p>
            <w:pPr>
              <w:pStyle w:val="Compact"/>
              <w:jc w:val="left"/>
            </w:pPr>
            <w:r>
              <w:t xml:space="preserve">Agencies</w:t>
            </w:r>
          </w:p>
        </w:tc>
        <w:tc>
          <w:tcPr/>
          <w:p>
            <w:pPr>
              <w:pStyle w:val="Compact"/>
              <w:jc w:val="left"/>
            </w:pPr>
            <w:r>
              <w:t xml:space="preserve">Business Development</w:t>
            </w:r>
          </w:p>
        </w:tc>
        <w:tc>
          <w:tcPr/>
          <w:p>
            <w:pPr>
              <w:pStyle w:val="Compact"/>
              <w:jc w:val="left"/>
            </w:pPr>
            <w:r>
              <w:t xml:space="preserve">$400</w:t>
            </w:r>
          </w:p>
        </w:tc>
        <w:tc>
          <w:tcPr/>
          <w:p>
            <w:pPr>
              <w:pStyle w:val="Compact"/>
              <w:jc w:val="left"/>
            </w:pPr>
            <w:r>
              <w:t xml:space="preserve">20% of acquisitions</w:t>
            </w:r>
          </w:p>
        </w:tc>
      </w:tr>
      <w:tr>
        <w:tc>
          <w:tcPr/>
          <w:p>
            <w:pPr>
              <w:pStyle w:val="Compact"/>
              <w:jc w:val="left"/>
            </w:pPr>
            <w:r>
              <w:rPr>
                <w:bCs/>
                <w:b/>
              </w:rPr>
              <w:t xml:space="preserve">Content SEO</w:t>
            </w:r>
          </w:p>
        </w:tc>
        <w:tc>
          <w:tcPr/>
          <w:p>
            <w:pPr>
              <w:pStyle w:val="Compact"/>
              <w:jc w:val="left"/>
            </w:pPr>
            <w:r>
              <w:t xml:space="preserve">Organic</w:t>
            </w:r>
          </w:p>
        </w:tc>
        <w:tc>
          <w:tcPr/>
          <w:p>
            <w:pPr>
              <w:pStyle w:val="Compact"/>
              <w:jc w:val="left"/>
            </w:pPr>
            <w:r>
              <w:t xml:space="preserve">All</w:t>
            </w:r>
          </w:p>
        </w:tc>
        <w:tc>
          <w:tcPr/>
          <w:p>
            <w:pPr>
              <w:pStyle w:val="Compact"/>
              <w:jc w:val="left"/>
            </w:pPr>
            <w:r>
              <w:t xml:space="preserve">Content team</w:t>
            </w:r>
          </w:p>
        </w:tc>
        <w:tc>
          <w:tcPr/>
          <w:p>
            <w:pPr>
              <w:pStyle w:val="Compact"/>
              <w:jc w:val="left"/>
            </w:pPr>
            <w:r>
              <w:t xml:space="preserve">$150</w:t>
            </w:r>
          </w:p>
        </w:tc>
        <w:tc>
          <w:tcPr/>
          <w:p>
            <w:pPr>
              <w:pStyle w:val="Compact"/>
              <w:jc w:val="left"/>
            </w:pPr>
            <w:r>
              <w:t xml:space="preserve">12% of acquisitions</w:t>
            </w:r>
          </w:p>
        </w:tc>
      </w:tr>
      <w:tr>
        <w:tc>
          <w:tcPr/>
          <w:p>
            <w:pPr>
              <w:pStyle w:val="Compact"/>
              <w:jc w:val="left"/>
            </w:pPr>
            <w:r>
              <w:rPr>
                <w:bCs/>
                <w:b/>
              </w:rPr>
              <w:t xml:space="preserve">Developer Community</w:t>
            </w:r>
          </w:p>
        </w:tc>
        <w:tc>
          <w:tcPr/>
          <w:p>
            <w:pPr>
              <w:pStyle w:val="Compact"/>
              <w:jc w:val="left"/>
            </w:pPr>
            <w:r>
              <w:t xml:space="preserve">Community</w:t>
            </w:r>
          </w:p>
        </w:tc>
        <w:tc>
          <w:tcPr/>
          <w:p>
            <w:pPr>
              <w:pStyle w:val="Compact"/>
              <w:jc w:val="left"/>
            </w:pPr>
            <w:r>
              <w:t xml:space="preserve">Developers, engineers</w:t>
            </w:r>
          </w:p>
        </w:tc>
        <w:tc>
          <w:tcPr/>
          <w:p>
            <w:pPr>
              <w:pStyle w:val="Compact"/>
              <w:jc w:val="left"/>
            </w:pPr>
            <w:r>
              <w:t xml:space="preserve">DevRel + Events</w:t>
            </w:r>
          </w:p>
        </w:tc>
        <w:tc>
          <w:tcPr/>
          <w:p>
            <w:pPr>
              <w:pStyle w:val="Compact"/>
              <w:jc w:val="left"/>
            </w:pPr>
            <w:r>
              <w:t xml:space="preserve">$100</w:t>
            </w:r>
          </w:p>
        </w:tc>
        <w:tc>
          <w:tcPr/>
          <w:p>
            <w:pPr>
              <w:pStyle w:val="Compact"/>
              <w:jc w:val="left"/>
            </w:pPr>
            <w:r>
              <w:t xml:space="preserve">3% of acquisitions</w:t>
            </w:r>
          </w:p>
        </w:tc>
      </w:tr>
    </w:tbl>
    <w:p>
      <w:pPr>
        <w:pStyle w:val="BodyText"/>
      </w:pPr>
      <w:r>
        <w:rPr>
          <w:bCs/>
          <w:b/>
        </w:rPr>
        <w:t xml:space="preserve">Channel 1: MCP Ecosystem (Primary)</w:t>
      </w:r>
    </w:p>
    <w:p>
      <w:pPr>
        <w:pStyle w:val="BodyText"/>
      </w:pPr>
      <w:r>
        <w:t xml:space="preserve">The Model Context Protocol represents the most significant distribution arbitrage opportunity in the current AI landscape. With 17,000+ GitHub repositories implementing MCP and 78% enterprise adoption among AI-forward teams, the protocol has achieved critical mass as the de facto standard for AI-tool integration. AdNexus will publish and maintain the canonical open-source MCP server for advertising platform management.</w:t>
      </w:r>
    </w:p>
    <w:p>
      <w:pPr>
        <w:pStyle w:val="BodyText"/>
      </w:pPr>
      <w:r>
        <w:t xml:space="preserve">The MCP server strategy operates at two levels:</w:t>
      </w:r>
    </w:p>
    <w:p>
      <w:pPr>
        <w:numPr>
          <w:ilvl w:val="0"/>
          <w:numId w:val="1011"/>
        </w:numPr>
        <w:pStyle w:val="Compact"/>
      </w:pPr>
      <w:r>
        <w:rPr>
          <w:bCs/>
          <w:b/>
        </w:rPr>
        <w:t xml:space="preserve">Read Layer (Month 3-4)</w:t>
      </w:r>
      <w:r>
        <w:t xml:space="preserve">: A free, open-source MCP server enabling any AI assistant to read campaign data, generate reports, and answer questions across Meta, Google, TikTok, and LinkedIn. This drives discovery, installs, and brand association with</w:t>
      </w:r>
      <w:r>
        <w:t xml:space="preserve"> </w:t>
      </w:r>
      <w:r>
        <w:t xml:space="preserve">“</w:t>
      </w:r>
      <w:r>
        <w:t xml:space="preserve">AI-native advertising.</w:t>
      </w:r>
      <w:r>
        <w:t xml:space="preserve">”</w:t>
      </w:r>
    </w:p>
    <w:p>
      <w:pPr>
        <w:numPr>
          <w:ilvl w:val="0"/>
          <w:numId w:val="1011"/>
        </w:numPr>
        <w:pStyle w:val="Compact"/>
      </w:pPr>
      <w:r>
        <w:rPr>
          <w:bCs/>
          <w:b/>
        </w:rPr>
        <w:t xml:space="preserve">Write Layer (Month 6-8)</w:t>
      </w:r>
      <w:r>
        <w:t xml:space="preserve">: Premium MCP tools requiring an AdNexus account for campaign creation, draft management, and approval workflows. This converts free users into paid subscribers.</w:t>
      </w:r>
    </w:p>
    <w:p>
      <w:pPr>
        <w:pStyle w:val="FirstParagraph"/>
      </w:pPr>
      <w:r>
        <w:t xml:space="preserve">Discovery occurs naturally: a media buyer asks Claude,</w:t>
      </w:r>
      <w:r>
        <w:t xml:space="preserve"> </w:t>
      </w:r>
      <w:r>
        <w:t xml:space="preserve">“</w:t>
      </w:r>
      <w:r>
        <w:t xml:space="preserve">How do I check my Facebook campaign performance?</w:t>
      </w:r>
      <w:r>
        <w:t xml:space="preserve">”</w:t>
      </w:r>
      <w:r>
        <w:t xml:space="preserve"> </w:t>
      </w:r>
      <w:r>
        <w:t xml:space="preserve">Claude, equipped with the AdNexus MCP server, responds by querying live data and presenting a summary. Every response includes a subtle path to the full AdNexus platform. This is not advertising; it is infrastructure-level distribution.</w:t>
      </w:r>
    </w:p>
    <w:p>
      <w:pPr>
        <w:pStyle w:val="BodyText"/>
      </w:pPr>
      <w:r>
        <w:rPr>
          <w:bCs/>
          <w:b/>
        </w:rPr>
        <w:t xml:space="preserve">Channel 2: Product-Led Growth</w:t>
      </w:r>
    </w:p>
    <w:p>
      <w:pPr>
        <w:pStyle w:val="BodyText"/>
      </w:pPr>
      <w:r>
        <w:t xml:space="preserve">The PLG motion centers on immediate, demonstrable value with zero friction:</w:t>
      </w:r>
    </w:p>
    <w:p>
      <w:pPr>
        <w:numPr>
          <w:ilvl w:val="0"/>
          <w:numId w:val="1012"/>
        </w:numPr>
        <w:pStyle w:val="Compact"/>
      </w:pPr>
      <w:r>
        <w:rPr>
          <w:bCs/>
          <w:b/>
        </w:rPr>
        <w:t xml:space="preserve">14-day free trial</w:t>
      </w:r>
      <w:r>
        <w:t xml:space="preserve">, no credit card required. Full access to Growth tier features.</w:t>
      </w:r>
    </w:p>
    <w:p>
      <w:pPr>
        <w:numPr>
          <w:ilvl w:val="0"/>
          <w:numId w:val="1012"/>
        </w:numPr>
        <w:pStyle w:val="Compact"/>
      </w:pPr>
      <w:r>
        <w:rPr>
          <w:bCs/>
          <w:b/>
        </w:rPr>
        <w:t xml:space="preserve">Morning Brief as free email digest</w:t>
      </w:r>
      <w:r>
        <w:t xml:space="preserve">: Even trial users receive the Morning Brief, creating daily touchpoint and habit formation. Every brief includes an</w:t>
      </w:r>
      <w:r>
        <w:t xml:space="preserve"> </w:t>
      </w:r>
      <w:r>
        <w:t xml:space="preserve">“</w:t>
      </w:r>
      <w:r>
        <w:t xml:space="preserve">Approve in AdNexus</w:t>
      </w:r>
      <w:r>
        <w:t xml:space="preserve">”</w:t>
      </w:r>
      <w:r>
        <w:t xml:space="preserve"> </w:t>
      </w:r>
      <w:r>
        <w:t xml:space="preserve">CTA for recommended actions.</w:t>
      </w:r>
    </w:p>
    <w:p>
      <w:pPr>
        <w:numPr>
          <w:ilvl w:val="0"/>
          <w:numId w:val="1012"/>
        </w:numPr>
        <w:pStyle w:val="Compact"/>
      </w:pPr>
      <w:r>
        <w:rPr>
          <w:bCs/>
          <w:b/>
        </w:rPr>
        <w:t xml:space="preserve">In-product virality</w:t>
      </w:r>
      <w:r>
        <w:t xml:space="preserve">:</w:t>
      </w:r>
      <w:r>
        <w:t xml:space="preserve"> </w:t>
      </w:r>
      <w:r>
        <w:t xml:space="preserve">“</w:t>
      </w:r>
      <w:r>
        <w:t xml:space="preserve">Share with your team</w:t>
      </w:r>
      <w:r>
        <w:t xml:space="preserve">”</w:t>
      </w:r>
      <w:r>
        <w:t xml:space="preserve"> </w:t>
      </w:r>
      <w:r>
        <w:t xml:space="preserve">prompts, client report sharing, and public read-only dashboards that expose the AdNexus brand to non-users.</w:t>
      </w:r>
    </w:p>
    <w:p>
      <w:pPr>
        <w:numPr>
          <w:ilvl w:val="0"/>
          <w:numId w:val="1012"/>
        </w:numPr>
        <w:pStyle w:val="Compact"/>
      </w:pPr>
      <w:r>
        <w:rPr>
          <w:bCs/>
          <w:b/>
        </w:rPr>
        <w:t xml:space="preserve">Self-serve onboarding</w:t>
      </w:r>
      <w:r>
        <w:t xml:space="preserve">: 5-minute setup, pre-built connectors, default AI rules that generate value within the first hour.</w:t>
      </w:r>
    </w:p>
    <w:p>
      <w:pPr>
        <w:pStyle w:val="FirstParagraph"/>
      </w:pPr>
      <w:r>
        <w:rPr>
          <w:bCs/>
          <w:b/>
        </w:rPr>
        <w:t xml:space="preserve">Channel 3: Agency Partner Program</w:t>
      </w:r>
    </w:p>
    <w:p>
      <w:pPr>
        <w:pStyle w:val="BodyText"/>
      </w:pPr>
      <w:r>
        <w:t xml:space="preserve">The agency program is structured as a revenue-share partnership:</w:t>
      </w:r>
    </w:p>
    <w:tbl>
      <w:tblPr>
        <w:tblStyle w:val="Table"/>
        <w:tblW w:type="pct" w:w="5000"/>
        <w:tblLook w:firstRow="1" w:lastRow="0" w:firstColumn="0" w:lastColumn="0" w:noHBand="0" w:noVBand="0" w:val="0020"/>
      </w:tblPr>
      <w:tblGrid>
        <w:gridCol w:w="1386"/>
        <w:gridCol w:w="1287"/>
        <w:gridCol w:w="1188"/>
        <w:gridCol w:w="1782"/>
        <w:gridCol w:w="1386"/>
        <w:gridCol w:w="891"/>
      </w:tblGrid>
      <w:tr>
        <w:trPr>
          <w:tblHeader w:val="true"/>
        </w:trPr>
        <w:tc>
          <w:tcPr/>
          <w:p>
            <w:pPr>
              <w:pStyle w:val="Compact"/>
              <w:jc w:val="left"/>
            </w:pPr>
            <w:r>
              <w:t xml:space="preserve">Program Tier</w:t>
            </w:r>
          </w:p>
        </w:tc>
        <w:tc>
          <w:tcPr/>
          <w:p>
            <w:pPr>
              <w:pStyle w:val="Compact"/>
              <w:jc w:val="left"/>
            </w:pPr>
            <w:r>
              <w:t xml:space="preserve">Agency Size</w:t>
            </w:r>
          </w:p>
        </w:tc>
        <w:tc>
          <w:tcPr/>
          <w:p>
            <w:pPr>
              <w:pStyle w:val="Compact"/>
              <w:jc w:val="left"/>
            </w:pPr>
            <w:r>
              <w:t xml:space="preserve">Commitment</w:t>
            </w:r>
          </w:p>
        </w:tc>
        <w:tc>
          <w:tcPr/>
          <w:p>
            <w:pPr>
              <w:pStyle w:val="Compact"/>
              <w:jc w:val="left"/>
            </w:pPr>
            <w:r>
              <w:t xml:space="preserve">Partner Discount</w:t>
            </w:r>
          </w:p>
        </w:tc>
        <w:tc>
          <w:tcPr/>
          <w:p>
            <w:pPr>
              <w:pStyle w:val="Compact"/>
              <w:jc w:val="left"/>
            </w:pPr>
            <w:r>
              <w:t xml:space="preserve">Co-Marketing</w:t>
            </w:r>
          </w:p>
        </w:tc>
        <w:tc>
          <w:tcPr/>
          <w:p>
            <w:pPr>
              <w:pStyle w:val="Compact"/>
              <w:jc w:val="left"/>
            </w:pPr>
            <w:r>
              <w:t xml:space="preserve">Support</w:t>
            </w:r>
          </w:p>
        </w:tc>
      </w:tr>
      <w:tr>
        <w:tc>
          <w:tcPr/>
          <w:p>
            <w:pPr>
              <w:pStyle w:val="Compact"/>
              <w:jc w:val="left"/>
            </w:pPr>
            <w:r>
              <w:rPr>
                <w:bCs/>
                <w:b/>
              </w:rPr>
              <w:t xml:space="preserve">Premier</w:t>
            </w:r>
          </w:p>
        </w:tc>
        <w:tc>
          <w:tcPr/>
          <w:p>
            <w:pPr>
              <w:pStyle w:val="Compact"/>
              <w:jc w:val="left"/>
            </w:pPr>
            <w:r>
              <w:t xml:space="preserve">50+ managed accounts</w:t>
            </w:r>
          </w:p>
        </w:tc>
        <w:tc>
          <w:tcPr/>
          <w:p>
            <w:pPr>
              <w:pStyle w:val="Compact"/>
              <w:jc w:val="left"/>
            </w:pPr>
            <w:r>
              <w:t xml:space="preserve">Annual contract</w:t>
            </w:r>
          </w:p>
        </w:tc>
        <w:tc>
          <w:tcPr/>
          <w:p>
            <w:pPr>
              <w:pStyle w:val="Compact"/>
              <w:jc w:val="left"/>
            </w:pPr>
            <w:r>
              <w:t xml:space="preserve">25% off all workspaces</w:t>
            </w:r>
          </w:p>
        </w:tc>
        <w:tc>
          <w:tcPr/>
          <w:p>
            <w:pPr>
              <w:pStyle w:val="Compact"/>
              <w:jc w:val="left"/>
            </w:pPr>
            <w:r>
              <w:t xml:space="preserve">Case studies, joint webinars</w:t>
            </w:r>
          </w:p>
        </w:tc>
        <w:tc>
          <w:tcPr/>
          <w:p>
            <w:pPr>
              <w:pStyle w:val="Compact"/>
              <w:jc w:val="left"/>
            </w:pPr>
            <w:r>
              <w:t xml:space="preserve">Dedicated CSM</w:t>
            </w:r>
          </w:p>
        </w:tc>
      </w:tr>
      <w:tr>
        <w:tc>
          <w:tcPr/>
          <w:p>
            <w:pPr>
              <w:pStyle w:val="Compact"/>
              <w:jc w:val="left"/>
            </w:pPr>
            <w:r>
              <w:rPr>
                <w:bCs/>
                <w:b/>
              </w:rPr>
              <w:t xml:space="preserve">Certified</w:t>
            </w:r>
          </w:p>
        </w:tc>
        <w:tc>
          <w:tcPr/>
          <w:p>
            <w:pPr>
              <w:pStyle w:val="Compact"/>
              <w:jc w:val="left"/>
            </w:pPr>
            <w:r>
              <w:t xml:space="preserve">10-50 managed accounts</w:t>
            </w:r>
          </w:p>
        </w:tc>
        <w:tc>
          <w:tcPr/>
          <w:p>
            <w:pPr>
              <w:pStyle w:val="Compact"/>
              <w:jc w:val="left"/>
            </w:pPr>
            <w:r>
              <w:t xml:space="preserve">Quarterly</w:t>
            </w:r>
          </w:p>
        </w:tc>
        <w:tc>
          <w:tcPr/>
          <w:p>
            <w:pPr>
              <w:pStyle w:val="Compact"/>
              <w:jc w:val="left"/>
            </w:pPr>
            <w:r>
              <w:t xml:space="preserve">15% off all workspaces</w:t>
            </w:r>
          </w:p>
        </w:tc>
        <w:tc>
          <w:tcPr/>
          <w:p>
            <w:pPr>
              <w:pStyle w:val="Compact"/>
              <w:jc w:val="left"/>
            </w:pPr>
            <w:r>
              <w:t xml:space="preserve">Blog features, directory listing</w:t>
            </w:r>
          </w:p>
        </w:tc>
        <w:tc>
          <w:tcPr/>
          <w:p>
            <w:pPr>
              <w:pStyle w:val="Compact"/>
              <w:jc w:val="left"/>
            </w:pPr>
            <w:r>
              <w:t xml:space="preserve">Priority chat</w:t>
            </w:r>
          </w:p>
        </w:tc>
      </w:tr>
      <w:tr>
        <w:tc>
          <w:tcPr/>
          <w:p>
            <w:pPr>
              <w:pStyle w:val="Compact"/>
              <w:jc w:val="left"/>
            </w:pPr>
            <w:r>
              <w:rPr>
                <w:bCs/>
                <w:b/>
              </w:rPr>
              <w:t xml:space="preserve">Affiliate</w:t>
            </w:r>
          </w:p>
        </w:tc>
        <w:tc>
          <w:tcPr/>
          <w:p>
            <w:pPr>
              <w:pStyle w:val="Compact"/>
              <w:jc w:val="left"/>
            </w:pPr>
            <w:r>
              <w:t xml:space="preserve">&lt;10 managed accounts</w:t>
            </w:r>
          </w:p>
        </w:tc>
        <w:tc>
          <w:tcPr/>
          <w:p>
            <w:pPr>
              <w:pStyle w:val="Compact"/>
              <w:jc w:val="left"/>
            </w:pPr>
            <w:r>
              <w:t xml:space="preserve">Monthly</w:t>
            </w:r>
          </w:p>
        </w:tc>
        <w:tc>
          <w:tcPr/>
          <w:p>
            <w:pPr>
              <w:pStyle w:val="Compact"/>
              <w:jc w:val="left"/>
            </w:pPr>
            <w:r>
              <w:t xml:space="preserve">10% off</w:t>
            </w:r>
          </w:p>
        </w:tc>
        <w:tc>
          <w:tcPr/>
          <w:p>
            <w:pPr>
              <w:pStyle w:val="Compact"/>
              <w:jc w:val="left"/>
            </w:pPr>
            <w:r>
              <w:t xml:space="preserve">None</w:t>
            </w:r>
          </w:p>
        </w:tc>
        <w:tc>
          <w:tcPr/>
          <w:p>
            <w:pPr>
              <w:pStyle w:val="Compact"/>
              <w:jc w:val="left"/>
            </w:pPr>
            <w:r>
              <w:t xml:space="preserve">Standard</w:t>
            </w:r>
          </w:p>
        </w:tc>
      </w:tr>
    </w:tbl>
    <w:p>
      <w:pPr>
        <w:pStyle w:val="BodyText"/>
      </w:pPr>
      <w:r>
        <w:t xml:space="preserve">Financial model: 50 Certified-tier agencies × 10 average clients × $299/month average = $1.79M ARR at 85% gross margin, with CAC approaching zero due to partner-driven acquisition.</w:t>
      </w:r>
    </w:p>
    <w:p>
      <w:pPr>
        <w:pStyle w:val="BodyText"/>
      </w:pPr>
      <w:r>
        <w:rPr>
          <w:bCs/>
          <w:b/>
        </w:rPr>
        <w:t xml:space="preserve">Channel 4: Content SEO</w:t>
      </w:r>
    </w:p>
    <w:p>
      <w:pPr>
        <w:pStyle w:val="BodyText"/>
      </w:pPr>
      <w:r>
        <w:t xml:space="preserve">The content strategy targets bottom-of-funnel, high-intent keywords with 784% documented ROI on SaaS SEO investments. Target themes:</w:t>
      </w:r>
    </w:p>
    <w:p>
      <w:pPr>
        <w:numPr>
          <w:ilvl w:val="0"/>
          <w:numId w:val="1013"/>
        </w:numPr>
        <w:pStyle w:val="Compact"/>
      </w:pPr>
      <w:r>
        <w:t xml:space="preserve">“</w:t>
      </w:r>
      <w:r>
        <w:t xml:space="preserve">MCP for advertising</w:t>
      </w:r>
      <w:r>
        <w:t xml:space="preserve">”</w:t>
      </w:r>
      <w:r>
        <w:t xml:space="preserve"> </w:t>
      </w:r>
      <w:r>
        <w:t xml:space="preserve">(category creation)</w:t>
      </w:r>
    </w:p>
    <w:p>
      <w:pPr>
        <w:numPr>
          <w:ilvl w:val="0"/>
          <w:numId w:val="1013"/>
        </w:numPr>
        <w:pStyle w:val="Compact"/>
      </w:pPr>
      <w:r>
        <w:t xml:space="preserve">“</w:t>
      </w:r>
      <w:r>
        <w:t xml:space="preserve">Creative fatigue detection</w:t>
      </w:r>
      <w:r>
        <w:t xml:space="preserve">”</w:t>
      </w:r>
      <w:r>
        <w:t xml:space="preserve"> </w:t>
      </w:r>
      <w:r>
        <w:t xml:space="preserve">(problem-solution)</w:t>
      </w:r>
    </w:p>
    <w:p>
      <w:pPr>
        <w:numPr>
          <w:ilvl w:val="0"/>
          <w:numId w:val="1013"/>
        </w:numPr>
        <w:pStyle w:val="Compact"/>
      </w:pPr>
      <w:r>
        <w:t xml:space="preserve">“</w:t>
      </w:r>
      <w:r>
        <w:t xml:space="preserve">Draft-first approval workflow</w:t>
      </w:r>
      <w:r>
        <w:t xml:space="preserve">”</w:t>
      </w:r>
      <w:r>
        <w:t xml:space="preserve"> </w:t>
      </w:r>
      <w:r>
        <w:t xml:space="preserve">(differentiation)</w:t>
      </w:r>
    </w:p>
    <w:p>
      <w:pPr>
        <w:numPr>
          <w:ilvl w:val="0"/>
          <w:numId w:val="1013"/>
        </w:numPr>
        <w:pStyle w:val="Compact"/>
      </w:pPr>
      <w:r>
        <w:t xml:space="preserve">“</w:t>
      </w:r>
      <w:r>
        <w:t xml:space="preserve">AI campaign optimization vs. rules-based</w:t>
      </w:r>
      <w:r>
        <w:t xml:space="preserve">”</w:t>
      </w:r>
    </w:p>
    <w:p>
      <w:pPr>
        <w:numPr>
          <w:ilvl w:val="0"/>
          <w:numId w:val="1013"/>
        </w:numPr>
        <w:pStyle w:val="Compact"/>
      </w:pPr>
      <w:r>
        <w:t xml:space="preserve">“</w:t>
      </w:r>
      <w:r>
        <w:t xml:space="preserve">Cross-platform ad reporting without spreadsheets</w:t>
      </w:r>
      <w:r>
        <w:t xml:space="preserve">”</w:t>
      </w:r>
    </w:p>
    <w:p>
      <w:pPr>
        <w:numPr>
          <w:ilvl w:val="0"/>
          <w:numId w:val="1013"/>
        </w:numPr>
        <w:pStyle w:val="Compact"/>
      </w:pPr>
      <w:r>
        <w:t xml:space="preserve">“</w:t>
      </w:r>
      <w:r>
        <w:t xml:space="preserve">Stop overspending on Facebook CPM</w:t>
      </w:r>
      <w:r>
        <w:t xml:space="preserve">”</w:t>
      </w:r>
    </w:p>
    <w:p>
      <w:pPr>
        <w:pStyle w:val="FirstParagraph"/>
      </w:pPr>
      <w:r>
        <w:t xml:space="preserve">Content mix: 40% educational/guides, 30% product comparisons, 20% case studies, 10% thought leadership. Target: 50,000 monthly organic visits by Month 12, converting at 2% to free trial and 15% trial-to-paid.</w:t>
      </w:r>
    </w:p>
    <w:p>
      <w:pPr>
        <w:pStyle w:val="BodyText"/>
      </w:pPr>
      <w:r>
        <w:rPr>
          <w:bCs/>
          <w:b/>
        </w:rPr>
        <w:t xml:space="preserve">Channel 5: Developer Community</w:t>
      </w:r>
    </w:p>
    <w:p>
      <w:pPr>
        <w:pStyle w:val="BodyText"/>
      </w:pPr>
      <w:r>
        <w:t xml:space="preserve">Developer relations investment includes:</w:t>
      </w:r>
      <w:r>
        <w:t xml:space="preserve"> </w:t>
      </w:r>
      <w:r>
        <w:t xml:space="preserve">- Open-source MCP tools with permissive licensing (MIT/Apache)</w:t>
      </w:r>
      <w:r>
        <w:t xml:space="preserve"> </w:t>
      </w:r>
      <w:r>
        <w:t xml:space="preserve">- Technical blog posts on architecture, AI prompt engineering, API abstraction</w:t>
      </w:r>
      <w:r>
        <w:t xml:space="preserve"> </w:t>
      </w:r>
      <w:r>
        <w:t xml:space="preserve">- Conference presence: AI Engineer Summit, QCon, Strange Loop, SaaStr</w:t>
      </w:r>
      <w:r>
        <w:t xml:space="preserve"> </w:t>
      </w:r>
      <w:r>
        <w:t xml:space="preserve">- GitHub sponsorship program for contributors</w:t>
      </w:r>
      <w:r>
        <w:t xml:space="preserve"> </w:t>
      </w:r>
      <w:r>
        <w:t xml:space="preserve">- Discord community for MCP builders</w:t>
      </w:r>
    </w:p>
    <w:bookmarkEnd w:id="71"/>
    <w:bookmarkStart w:id="72" w:name="launch-sequence-12-month-timeline"/>
    <w:p>
      <w:pPr>
        <w:pStyle w:val="Heading3"/>
      </w:pPr>
      <w:r>
        <w:t xml:space="preserve">9.3 Launch Sequence: 12-Month Timeline</w:t>
      </w:r>
    </w:p>
    <w:tbl>
      <w:tblPr>
        <w:tblStyle w:val="Table"/>
        <w:tblW w:type="pct" w:w="5000"/>
        <w:tblLook w:firstRow="1" w:lastRow="0" w:firstColumn="0" w:lastColumn="0" w:noHBand="0" w:noVBand="0" w:val="0020"/>
      </w:tblPr>
      <w:tblGrid>
        <w:gridCol w:w="1421"/>
        <w:gridCol w:w="1624"/>
        <w:gridCol w:w="2436"/>
        <w:gridCol w:w="2436"/>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Activities</w:t>
            </w:r>
          </w:p>
        </w:tc>
        <w:tc>
          <w:tcPr/>
          <w:p>
            <w:pPr>
              <w:pStyle w:val="Compact"/>
              <w:jc w:val="left"/>
            </w:pPr>
            <w:r>
              <w:t xml:space="preserve">Milestones</w:t>
            </w:r>
          </w:p>
        </w:tc>
      </w:tr>
      <w:tr>
        <w:tc>
          <w:tcPr/>
          <w:p>
            <w:pPr>
              <w:pStyle w:val="Compact"/>
              <w:jc w:val="left"/>
            </w:pPr>
            <w:r>
              <w:rPr>
                <w:bCs/>
                <w:b/>
              </w:rPr>
              <w:t xml:space="preserve">Stealth Beta</w:t>
            </w:r>
          </w:p>
        </w:tc>
        <w:tc>
          <w:tcPr/>
          <w:p>
            <w:pPr>
              <w:pStyle w:val="Compact"/>
              <w:jc w:val="left"/>
            </w:pPr>
            <w:r>
              <w:t xml:space="preserve">1-2</w:t>
            </w:r>
          </w:p>
        </w:tc>
        <w:tc>
          <w:tcPr/>
          <w:p>
            <w:pPr>
              <w:pStyle w:val="Compact"/>
              <w:jc w:val="left"/>
            </w:pPr>
            <w:r>
              <w:t xml:space="preserve">Recruit 20 design partners (10 agencies, 10 solo buyers), weekly feedback sessions, iterate on core workflows</w:t>
            </w:r>
          </w:p>
        </w:tc>
        <w:tc>
          <w:tcPr/>
          <w:p>
            <w:pPr>
              <w:pStyle w:val="Compact"/>
              <w:jc w:val="left"/>
            </w:pPr>
            <w:r>
              <w:t xml:space="preserve">20 active beta users, 100+ drafts created, NPS &gt;40</w:t>
            </w:r>
          </w:p>
        </w:tc>
      </w:tr>
      <w:tr>
        <w:tc>
          <w:tcPr/>
          <w:p>
            <w:pPr>
              <w:pStyle w:val="Compact"/>
              <w:jc w:val="left"/>
            </w:pPr>
            <w:r>
              <w:rPr>
                <w:bCs/>
                <w:b/>
              </w:rPr>
              <w:t xml:space="preserve">Public Launch</w:t>
            </w:r>
          </w:p>
        </w:tc>
        <w:tc>
          <w:tcPr/>
          <w:p>
            <w:pPr>
              <w:pStyle w:val="Compact"/>
              <w:jc w:val="left"/>
            </w:pPr>
            <w:r>
              <w:t xml:space="preserve">3</w:t>
            </w:r>
          </w:p>
        </w:tc>
        <w:tc>
          <w:tcPr/>
          <w:p>
            <w:pPr>
              <w:pStyle w:val="Compact"/>
              <w:jc w:val="left"/>
            </w:pPr>
            <w:r>
              <w:t xml:space="preserve">Product Hunt launch, Hacker News Show HN, press outreach, social amplification</w:t>
            </w:r>
          </w:p>
        </w:tc>
        <w:tc>
          <w:tcPr/>
          <w:p>
            <w:pPr>
              <w:pStyle w:val="Compact"/>
              <w:jc w:val="left"/>
            </w:pPr>
            <w:r>
              <w:t xml:space="preserve">500+ PH upvotes, 100+ Day 1 signups, 5K website visitors</w:t>
            </w:r>
          </w:p>
        </w:tc>
      </w:tr>
      <w:tr>
        <w:tc>
          <w:tcPr/>
          <w:p>
            <w:pPr>
              <w:pStyle w:val="Compact"/>
              <w:jc w:val="left"/>
            </w:pPr>
            <w:r>
              <w:rPr>
                <w:bCs/>
                <w:b/>
              </w:rPr>
              <w:t xml:space="preserve">MCP Release</w:t>
            </w:r>
          </w:p>
        </w:tc>
        <w:tc>
          <w:tcPr/>
          <w:p>
            <w:pPr>
              <w:pStyle w:val="Compact"/>
              <w:jc w:val="left"/>
            </w:pPr>
            <w:r>
              <w:t xml:space="preserve">4-6</w:t>
            </w:r>
          </w:p>
        </w:tc>
        <w:tc>
          <w:tcPr/>
          <w:p>
            <w:pPr>
              <w:pStyle w:val="Compact"/>
              <w:jc w:val="left"/>
            </w:pPr>
            <w:r>
              <w:t xml:space="preserve">Open-source MCP server (read-only) to GitHub, developer documentation, technical blog series, first integrations</w:t>
            </w:r>
          </w:p>
        </w:tc>
        <w:tc>
          <w:tcPr/>
          <w:p>
            <w:pPr>
              <w:pStyle w:val="Compact"/>
              <w:jc w:val="left"/>
            </w:pPr>
            <w:r>
              <w:t xml:space="preserve">500+ GitHub installs, 10K MCP actions/month, 3 community tutorials</w:t>
            </w:r>
          </w:p>
        </w:tc>
      </w:tr>
      <w:tr>
        <w:tc>
          <w:tcPr/>
          <w:p>
            <w:pPr>
              <w:pStyle w:val="Compact"/>
              <w:jc w:val="left"/>
            </w:pPr>
            <w:r>
              <w:rPr>
                <w:bCs/>
                <w:b/>
              </w:rPr>
              <w:t xml:space="preserve">Agency Scale</w:t>
            </w:r>
          </w:p>
        </w:tc>
        <w:tc>
          <w:tcPr/>
          <w:p>
            <w:pPr>
              <w:pStyle w:val="Compact"/>
              <w:jc w:val="left"/>
            </w:pPr>
            <w:r>
              <w:t xml:space="preserve">7-9</w:t>
            </w:r>
          </w:p>
        </w:tc>
        <w:tc>
          <w:tcPr/>
          <w:p>
            <w:pPr>
              <w:pStyle w:val="Compact"/>
              <w:jc w:val="left"/>
            </w:pPr>
            <w:r>
              <w:t xml:space="preserve">Agency partner program launch, co-marketing with 5 anchor agencies, white-label feature GA, case study production</w:t>
            </w:r>
          </w:p>
        </w:tc>
        <w:tc>
          <w:tcPr/>
          <w:p>
            <w:pPr>
              <w:pStyle w:val="Compact"/>
              <w:jc w:val="left"/>
            </w:pPr>
            <w:r>
              <w:t xml:space="preserve">20 agency partners, $50K MRR, 3 published case studies</w:t>
            </w:r>
          </w:p>
        </w:tc>
      </w:tr>
      <w:tr>
        <w:tc>
          <w:tcPr/>
          <w:p>
            <w:pPr>
              <w:pStyle w:val="Compact"/>
              <w:jc w:val="left"/>
            </w:pPr>
            <w:r>
              <w:rPr>
                <w:bCs/>
                <w:b/>
              </w:rPr>
              <w:t xml:space="preserve">Enterprise Foundation</w:t>
            </w:r>
          </w:p>
        </w:tc>
        <w:tc>
          <w:tcPr/>
          <w:p>
            <w:pPr>
              <w:pStyle w:val="Compact"/>
              <w:jc w:val="left"/>
            </w:pPr>
            <w:r>
              <w:t xml:space="preserve">10-12</w:t>
            </w:r>
          </w:p>
        </w:tc>
        <w:tc>
          <w:tcPr/>
          <w:p>
            <w:pPr>
              <w:pStyle w:val="Compact"/>
              <w:jc w:val="left"/>
            </w:pPr>
            <w:r>
              <w:t xml:space="preserve">SSO, audit trails, approval chains, SOC 2 Type I initiation, enterprise sales deck, 3 enterprise pilots</w:t>
            </w:r>
          </w:p>
        </w:tc>
        <w:tc>
          <w:tcPr/>
          <w:p>
            <w:pPr>
              <w:pStyle w:val="Compact"/>
              <w:jc w:val="left"/>
            </w:pPr>
            <w:r>
              <w:t xml:space="preserve">2 enterprise LOIs, SOC 2 audit started, $100K+ pipeline</w:t>
            </w:r>
          </w:p>
        </w:tc>
      </w:tr>
    </w:tbl>
    <w:p>
      <w:r>
        <w:pict>
          <v:rect style="width:0;height:1.5pt" o:hralign="center" o:hrstd="t" o:hr="t"/>
        </w:pict>
      </w:r>
    </w:p>
    <w:bookmarkEnd w:id="72"/>
    <w:bookmarkEnd w:id="73"/>
    <w:bookmarkStart w:id="80" w:name="business-model-pricing"/>
    <w:p>
      <w:pPr>
        <w:pStyle w:val="Heading2"/>
      </w:pPr>
      <w:r>
        <w:t xml:space="preserve">10. Business Model &amp; Pricing</w:t>
      </w:r>
    </w:p>
    <w:bookmarkStart w:id="74" w:name="three-tier-subscription-architecture"/>
    <w:p>
      <w:pPr>
        <w:pStyle w:val="Heading3"/>
      </w:pPr>
      <w:r>
        <w:t xml:space="preserve">10.1 Three-Tier Subscription Architecture</w:t>
      </w:r>
    </w:p>
    <w:p>
      <w:pPr>
        <w:pStyle w:val="FirstParagraph"/>
      </w:pPr>
      <w:r>
        <w:t xml:space="preserve">AdNexus employs a value-based pricing model tied to advertising spend volume, aligning cost with customer scale and ensuring AdNexus remains a trivial line item relative to media budgets.</w:t>
      </w:r>
    </w:p>
    <w:tbl>
      <w:tblPr>
        <w:tblStyle w:val="Table"/>
        <w:tblW w:type="pct" w:w="5000"/>
        <w:tblLook w:firstRow="1" w:lastRow="0" w:firstColumn="0" w:lastColumn="0" w:noHBand="0" w:noVBand="0" w:val="0020"/>
      </w:tblPr>
      <w:tblGrid>
        <w:gridCol w:w="552"/>
        <w:gridCol w:w="1289"/>
        <w:gridCol w:w="1473"/>
        <w:gridCol w:w="1933"/>
        <w:gridCol w:w="1381"/>
        <w:gridCol w:w="1289"/>
      </w:tblGrid>
      <w:tr>
        <w:trPr>
          <w:tblHeader w:val="true"/>
        </w:trPr>
        <w:tc>
          <w:tcPr/>
          <w:p>
            <w:pPr>
              <w:pStyle w:val="Compact"/>
              <w:jc w:val="left"/>
            </w:pPr>
            <w:r>
              <w:t xml:space="preserve">Tier</w:t>
            </w:r>
          </w:p>
        </w:tc>
        <w:tc>
          <w:tcPr/>
          <w:p>
            <w:pPr>
              <w:pStyle w:val="Compact"/>
              <w:jc w:val="left"/>
            </w:pPr>
            <w:r>
              <w:t xml:space="preserve">Monthly Price</w:t>
            </w:r>
          </w:p>
        </w:tc>
        <w:tc>
          <w:tcPr/>
          <w:p>
            <w:pPr>
              <w:pStyle w:val="Compact"/>
              <w:jc w:val="left"/>
            </w:pPr>
            <w:r>
              <w:t xml:space="preserve">Ad Spend Limit</w:t>
            </w:r>
          </w:p>
        </w:tc>
        <w:tc>
          <w:tcPr/>
          <w:p>
            <w:pPr>
              <w:pStyle w:val="Compact"/>
              <w:jc w:val="left"/>
            </w:pPr>
            <w:r>
              <w:t xml:space="preserve">Connected Platforms</w:t>
            </w:r>
          </w:p>
        </w:tc>
        <w:tc>
          <w:tcPr/>
          <w:p>
            <w:pPr>
              <w:pStyle w:val="Compact"/>
              <w:jc w:val="left"/>
            </w:pPr>
            <w:r>
              <w:t xml:space="preserve">Core Features</w:t>
            </w:r>
          </w:p>
        </w:tc>
        <w:tc>
          <w:tcPr/>
          <w:p>
            <w:pPr>
              <w:pStyle w:val="Compact"/>
              <w:jc w:val="left"/>
            </w:pPr>
            <w:r>
              <w:t xml:space="preserve">Target Segment</w:t>
            </w:r>
          </w:p>
        </w:tc>
      </w:tr>
      <w:tr>
        <w:tc>
          <w:tcPr/>
          <w:p>
            <w:pPr>
              <w:pStyle w:val="Compact"/>
              <w:jc w:val="left"/>
            </w:pPr>
            <w:r>
              <w:rPr>
                <w:bCs/>
                <w:b/>
              </w:rPr>
              <w:t xml:space="preserve">Growth</w:t>
            </w:r>
          </w:p>
        </w:tc>
        <w:tc>
          <w:tcPr/>
          <w:p>
            <w:pPr>
              <w:pStyle w:val="Compact"/>
              <w:jc w:val="left"/>
            </w:pPr>
            <w:r>
              <w:t xml:space="preserve">$79/mo</w:t>
            </w:r>
          </w:p>
        </w:tc>
        <w:tc>
          <w:tcPr/>
          <w:p>
            <w:pPr>
              <w:pStyle w:val="Compact"/>
              <w:jc w:val="left"/>
            </w:pPr>
            <w:r>
              <w:t xml:space="preserve">Up to $50K/mo</w:t>
            </w:r>
          </w:p>
        </w:tc>
        <w:tc>
          <w:tcPr/>
          <w:p>
            <w:pPr>
              <w:pStyle w:val="Compact"/>
              <w:jc w:val="left"/>
            </w:pPr>
            <w:r>
              <w:t xml:space="preserve">2 platforms</w:t>
            </w:r>
          </w:p>
        </w:tc>
        <w:tc>
          <w:tcPr/>
          <w:p>
            <w:pPr>
              <w:pStyle w:val="Compact"/>
              <w:jc w:val="left"/>
            </w:pPr>
            <w:r>
              <w:t xml:space="preserve">Core platform, basic AI rules, email reports, 7-day data history, 1 user</w:t>
            </w:r>
          </w:p>
        </w:tc>
        <w:tc>
          <w:tcPr/>
          <w:p>
            <w:pPr>
              <w:pStyle w:val="Compact"/>
              <w:jc w:val="left"/>
            </w:pPr>
            <w:r>
              <w:t xml:space="preserve">Solo buyers, freelancers</w:t>
            </w:r>
          </w:p>
        </w:tc>
      </w:tr>
      <w:tr>
        <w:tc>
          <w:tcPr/>
          <w:p>
            <w:pPr>
              <w:pStyle w:val="Compact"/>
              <w:jc w:val="left"/>
            </w:pPr>
            <w:r>
              <w:rPr>
                <w:bCs/>
                <w:b/>
              </w:rPr>
              <w:t xml:space="preserve">Scale</w:t>
            </w:r>
          </w:p>
        </w:tc>
        <w:tc>
          <w:tcPr/>
          <w:p>
            <w:pPr>
              <w:pStyle w:val="Compact"/>
              <w:jc w:val="left"/>
            </w:pPr>
            <w:r>
              <w:t xml:space="preserve">$199/mo</w:t>
            </w:r>
          </w:p>
        </w:tc>
        <w:tc>
          <w:tcPr/>
          <w:p>
            <w:pPr>
              <w:pStyle w:val="Compact"/>
              <w:jc w:val="left"/>
            </w:pPr>
            <w:r>
              <w:t xml:space="preserve">Up to $200K/mo</w:t>
            </w:r>
          </w:p>
        </w:tc>
        <w:tc>
          <w:tcPr/>
          <w:p>
            <w:pPr>
              <w:pStyle w:val="Compact"/>
              <w:jc w:val="left"/>
            </w:pPr>
            <w:r>
              <w:t xml:space="preserve">All 4 platforms</w:t>
            </w:r>
          </w:p>
        </w:tc>
        <w:tc>
          <w:tcPr/>
          <w:p>
            <w:pPr>
              <w:pStyle w:val="Compact"/>
              <w:jc w:val="left"/>
            </w:pPr>
            <w:r>
              <w:t xml:space="preserve">AI agent, Morning Brief, Slack integration, creative insights, 90-day history, 5 users, approval workflows</w:t>
            </w:r>
          </w:p>
        </w:tc>
        <w:tc>
          <w:tcPr/>
          <w:p>
            <w:pPr>
              <w:pStyle w:val="Compact"/>
              <w:jc w:val="left"/>
            </w:pPr>
            <w:r>
              <w:t xml:space="preserve">Small agencies, growth teams</w:t>
            </w:r>
          </w:p>
        </w:tc>
      </w:tr>
      <w:tr>
        <w:tc>
          <w:tcPr/>
          <w:p>
            <w:pPr>
              <w:pStyle w:val="Compact"/>
              <w:jc w:val="left"/>
            </w:pPr>
            <w:r>
              <w:rPr>
                <w:bCs/>
                <w:b/>
              </w:rPr>
              <w:t xml:space="preserve">Accelerate</w:t>
            </w:r>
          </w:p>
        </w:tc>
        <w:tc>
          <w:tcPr/>
          <w:p>
            <w:pPr>
              <w:pStyle w:val="Compact"/>
              <w:jc w:val="left"/>
            </w:pPr>
            <w:r>
              <w:t xml:space="preserve">$499/mo</w:t>
            </w:r>
          </w:p>
        </w:tc>
        <w:tc>
          <w:tcPr/>
          <w:p>
            <w:pPr>
              <w:pStyle w:val="Compact"/>
              <w:jc w:val="left"/>
            </w:pPr>
            <w:r>
              <w:t xml:space="preserve">Up to $500K/mo</w:t>
            </w:r>
          </w:p>
        </w:tc>
        <w:tc>
          <w:tcPr/>
          <w:p>
            <w:pPr>
              <w:pStyle w:val="Compact"/>
              <w:jc w:val="left"/>
            </w:pPr>
            <w:r>
              <w:t xml:space="preserve">All 4 platforms + API</w:t>
            </w:r>
          </w:p>
        </w:tc>
        <w:tc>
          <w:tcPr/>
          <w:p>
            <w:pPr>
              <w:pStyle w:val="Compact"/>
              <w:jc w:val="left"/>
            </w:pPr>
            <w:r>
              <w:t xml:space="preserve">Everything in Scale + white-label, API access, custom AI model training, custom rules engine, 365-day history, SSO, unlimited users</w:t>
            </w:r>
          </w:p>
        </w:tc>
        <w:tc>
          <w:tcPr/>
          <w:p>
            <w:pPr>
              <w:pStyle w:val="Compact"/>
              <w:jc w:val="left"/>
            </w:pPr>
            <w:r>
              <w:t xml:space="preserve">Mid-market agencies, in-house teams</w:t>
            </w:r>
          </w:p>
        </w:tc>
      </w:tr>
    </w:tbl>
    <w:p>
      <w:pPr>
        <w:pStyle w:val="BodyText"/>
      </w:pPr>
      <w:r>
        <w:rPr>
          <w:bCs/>
          <w:b/>
        </w:rPr>
        <w:t xml:space="preserve">Pricing Psychology and Positioning</w:t>
      </w:r>
    </w:p>
    <w:p>
      <w:pPr>
        <w:pStyle w:val="BodyText"/>
      </w:pPr>
      <w:r>
        <w:t xml:space="preserve">The Growth tier at $79/month is positioned against the value of one hour of a media buyer’s time. At an effective hourly rate of $50-100, AdNexus pays for itself if it saves a single hour monthly. In practice, beta data suggests 8-12 hours saved weekly—an ROI of 4,000% or higher.</w:t>
      </w:r>
    </w:p>
    <w:p>
      <w:pPr>
        <w:pStyle w:val="BodyText"/>
      </w:pPr>
      <w:r>
        <w:t xml:space="preserve">The jump from Growth to Scale ($79 → $199) unlocks the AI agent and Morning Brief—the two features most correlated with activation and retention. The pricing gap is designed to capture users who have demonstrated platform commitment and are ready for automation.</w:t>
      </w:r>
    </w:p>
    <w:p>
      <w:pPr>
        <w:pStyle w:val="BodyText"/>
      </w:pPr>
      <w:r>
        <w:t xml:space="preserve">The Accelerate tier at $499/month is still only 0.1% of a $500K monthly ad spend. This tier introduces API access and white-label, creating the technical stickiness that drives 34-month retention in the unit economics model.</w:t>
      </w:r>
    </w:p>
    <w:bookmarkEnd w:id="74"/>
    <w:bookmarkStart w:id="75" w:name="add-on-ecosystem"/>
    <w:p>
      <w:pPr>
        <w:pStyle w:val="Heading3"/>
      </w:pPr>
      <w:r>
        <w:t xml:space="preserve">10.2 Add-On Ecosystem</w:t>
      </w:r>
    </w:p>
    <w:tbl>
      <w:tblPr>
        <w:tblStyle w:val="Table"/>
        <w:tblW w:type="pct" w:w="5000"/>
        <w:tblLook w:firstRow="1" w:lastRow="0" w:firstColumn="0" w:lastColumn="0" w:noHBand="0" w:noVBand="0" w:val="0020"/>
      </w:tblPr>
      <w:tblGrid>
        <w:gridCol w:w="1348"/>
        <w:gridCol w:w="1179"/>
        <w:gridCol w:w="2190"/>
        <w:gridCol w:w="3201"/>
      </w:tblGrid>
      <w:tr>
        <w:trPr>
          <w:tblHeader w:val="true"/>
        </w:trPr>
        <w:tc>
          <w:tcPr/>
          <w:p>
            <w:pPr>
              <w:pStyle w:val="Compact"/>
              <w:jc w:val="left"/>
            </w:pPr>
            <w:r>
              <w:t xml:space="preserve">Add-On</w:t>
            </w:r>
          </w:p>
        </w:tc>
        <w:tc>
          <w:tcPr/>
          <w:p>
            <w:pPr>
              <w:pStyle w:val="Compact"/>
              <w:jc w:val="left"/>
            </w:pPr>
            <w:r>
              <w:t xml:space="preserve">Price</w:t>
            </w:r>
          </w:p>
        </w:tc>
        <w:tc>
          <w:tcPr/>
          <w:p>
            <w:pPr>
              <w:pStyle w:val="Compact"/>
              <w:jc w:val="left"/>
            </w:pPr>
            <w:r>
              <w:t xml:space="preserve">Description</w:t>
            </w:r>
          </w:p>
        </w:tc>
        <w:tc>
          <w:tcPr/>
          <w:p>
            <w:pPr>
              <w:pStyle w:val="Compact"/>
              <w:jc w:val="left"/>
            </w:pPr>
            <w:r>
              <w:t xml:space="preserve">Attach Rate Target</w:t>
            </w:r>
          </w:p>
        </w:tc>
      </w:tr>
      <w:tr>
        <w:tc>
          <w:tcPr/>
          <w:p>
            <w:pPr>
              <w:pStyle w:val="Compact"/>
              <w:jc w:val="left"/>
            </w:pPr>
            <w:r>
              <w:rPr>
                <w:bCs/>
                <w:b/>
              </w:rPr>
              <w:t xml:space="preserve">Agency White-Label</w:t>
            </w:r>
          </w:p>
        </w:tc>
        <w:tc>
          <w:tcPr/>
          <w:p>
            <w:pPr>
              <w:pStyle w:val="Compact"/>
              <w:jc w:val="left"/>
            </w:pPr>
            <w:r>
              <w:t xml:space="preserve">$149/mo per client workspace</w:t>
            </w:r>
          </w:p>
        </w:tc>
        <w:tc>
          <w:tcPr/>
          <w:p>
            <w:pPr>
              <w:pStyle w:val="Compact"/>
              <w:jc w:val="left"/>
            </w:pPr>
            <w:r>
              <w:t xml:space="preserve">Custom branding, domain, client-isolated reporting</w:t>
            </w:r>
          </w:p>
        </w:tc>
        <w:tc>
          <w:tcPr/>
          <w:p>
            <w:pPr>
              <w:pStyle w:val="Compact"/>
              <w:jc w:val="left"/>
            </w:pPr>
            <w:r>
              <w:t xml:space="preserve">60% of agency accounts</w:t>
            </w:r>
          </w:p>
        </w:tc>
      </w:tr>
      <w:tr>
        <w:tc>
          <w:tcPr/>
          <w:p>
            <w:pPr>
              <w:pStyle w:val="Compact"/>
              <w:jc w:val="left"/>
            </w:pPr>
            <w:r>
              <w:rPr>
                <w:bCs/>
                <w:b/>
              </w:rPr>
              <w:t xml:space="preserve">Additional Connected Accounts</w:t>
            </w:r>
          </w:p>
        </w:tc>
        <w:tc>
          <w:tcPr/>
          <w:p>
            <w:pPr>
              <w:pStyle w:val="Compact"/>
              <w:jc w:val="left"/>
            </w:pPr>
            <w:r>
              <w:t xml:space="preserve">$29/mo each</w:t>
            </w:r>
          </w:p>
        </w:tc>
        <w:tc>
          <w:tcPr/>
          <w:p>
            <w:pPr>
              <w:pStyle w:val="Compact"/>
              <w:jc w:val="left"/>
            </w:pPr>
            <w:r>
              <w:t xml:space="preserve">Per-platform account beyond tier limits</w:t>
            </w:r>
          </w:p>
        </w:tc>
        <w:tc>
          <w:tcPr/>
          <w:p>
            <w:pPr>
              <w:pStyle w:val="Compact"/>
              <w:jc w:val="left"/>
            </w:pPr>
            <w:r>
              <w:t xml:space="preserve">40% of Scale/Accelerate users</w:t>
            </w:r>
          </w:p>
        </w:tc>
      </w:tr>
      <w:tr>
        <w:tc>
          <w:tcPr/>
          <w:p>
            <w:pPr>
              <w:pStyle w:val="Compact"/>
              <w:jc w:val="left"/>
            </w:pPr>
            <w:r>
              <w:rPr>
                <w:bCs/>
                <w:b/>
              </w:rPr>
              <w:t xml:space="preserve">Custom AI Model Training</w:t>
            </w:r>
          </w:p>
        </w:tc>
        <w:tc>
          <w:tcPr/>
          <w:p>
            <w:pPr>
              <w:pStyle w:val="Compact"/>
              <w:jc w:val="left"/>
            </w:pPr>
            <w:r>
              <w:t xml:space="preserve">$999 setup + $199/mo</w:t>
            </w:r>
          </w:p>
        </w:tc>
        <w:tc>
          <w:tcPr/>
          <w:p>
            <w:pPr>
              <w:pStyle w:val="Compact"/>
              <w:jc w:val="left"/>
            </w:pPr>
            <w:r>
              <w:t xml:space="preserve">Fine-tuned models on client historical data, vertical-specific optimization</w:t>
            </w:r>
          </w:p>
        </w:tc>
        <w:tc>
          <w:tcPr/>
          <w:p>
            <w:pPr>
              <w:pStyle w:val="Compact"/>
              <w:jc w:val="left"/>
            </w:pPr>
            <w:r>
              <w:t xml:space="preserve">10% of Accelerate users</w:t>
            </w:r>
          </w:p>
        </w:tc>
      </w:tr>
      <w:tr>
        <w:tc>
          <w:tcPr/>
          <w:p>
            <w:pPr>
              <w:pStyle w:val="Compact"/>
              <w:jc w:val="left"/>
            </w:pPr>
            <w:r>
              <w:rPr>
                <w:bCs/>
                <w:b/>
              </w:rPr>
              <w:t xml:space="preserve">Priority Support</w:t>
            </w:r>
          </w:p>
        </w:tc>
        <w:tc>
          <w:tcPr/>
          <w:p>
            <w:pPr>
              <w:pStyle w:val="Compact"/>
              <w:jc w:val="left"/>
            </w:pPr>
            <w:r>
              <w:t xml:space="preserve">$99/mo</w:t>
            </w:r>
          </w:p>
        </w:tc>
        <w:tc>
          <w:tcPr/>
          <w:p>
            <w:pPr>
              <w:pStyle w:val="Compact"/>
              <w:jc w:val="left"/>
            </w:pPr>
            <w:r>
              <w:t xml:space="preserve">&lt;2 hour response, Slack support channel, dedicated agent</w:t>
            </w:r>
          </w:p>
        </w:tc>
        <w:tc>
          <w:tcPr/>
          <w:p>
            <w:pPr>
              <w:pStyle w:val="Compact"/>
              <w:jc w:val="left"/>
            </w:pPr>
            <w:r>
              <w:t xml:space="preserve">15% of Scale/Accelerate users</w:t>
            </w:r>
          </w:p>
        </w:tc>
      </w:tr>
      <w:tr>
        <w:tc>
          <w:tcPr/>
          <w:p>
            <w:pPr>
              <w:pStyle w:val="Compact"/>
              <w:jc w:val="left"/>
            </w:pPr>
            <w:r>
              <w:rPr>
                <w:bCs/>
                <w:b/>
              </w:rPr>
              <w:t xml:space="preserve">Enterprise Over-Spend</w:t>
            </w:r>
          </w:p>
        </w:tc>
        <w:tc>
          <w:tcPr/>
          <w:p>
            <w:pPr>
              <w:pStyle w:val="Compact"/>
              <w:jc w:val="left"/>
            </w:pPr>
            <w:r>
              <w:t xml:space="preserve">Custom</w:t>
            </w:r>
          </w:p>
        </w:tc>
        <w:tc>
          <w:tcPr/>
          <w:p>
            <w:pPr>
              <w:pStyle w:val="Compact"/>
              <w:jc w:val="left"/>
            </w:pPr>
            <w:r>
              <w:t xml:space="preserve">Ad spend above tier limits at $0.001 per dollar of media</w:t>
            </w:r>
          </w:p>
        </w:tc>
        <w:tc>
          <w:tcPr/>
          <w:p>
            <w:pPr>
              <w:pStyle w:val="Compact"/>
              <w:jc w:val="left"/>
            </w:pPr>
            <w:r>
              <w:t xml:space="preserve">100% of exceedance</w:t>
            </w:r>
          </w:p>
        </w:tc>
      </w:tr>
    </w:tbl>
    <w:bookmarkEnd w:id="75"/>
    <w:bookmarkStart w:id="76" w:name="revenue-model-composition"/>
    <w:p>
      <w:pPr>
        <w:pStyle w:val="Heading3"/>
      </w:pPr>
      <w:r>
        <w:t xml:space="preserve">10.3 Revenue Model Composition</w:t>
      </w:r>
    </w:p>
    <w:tbl>
      <w:tblPr>
        <w:tblStyle w:val="Table"/>
        <w:tblW w:type="pct" w:w="5000"/>
        <w:tblLook w:firstRow="1" w:lastRow="0" w:firstColumn="0" w:lastColumn="0" w:noHBand="0" w:noVBand="0" w:val="0020"/>
      </w:tblPr>
      <w:tblGrid>
        <w:gridCol w:w="2640"/>
        <w:gridCol w:w="1815"/>
        <w:gridCol w:w="2145"/>
        <w:gridCol w:w="1320"/>
      </w:tblGrid>
      <w:tr>
        <w:trPr>
          <w:tblHeader w:val="true"/>
        </w:trPr>
        <w:tc>
          <w:tcPr/>
          <w:p>
            <w:pPr>
              <w:pStyle w:val="Compact"/>
              <w:jc w:val="left"/>
            </w:pPr>
            <w:r>
              <w:t xml:space="preserve">Revenue Stream</w:t>
            </w:r>
          </w:p>
        </w:tc>
        <w:tc>
          <w:tcPr/>
          <w:p>
            <w:pPr>
              <w:pStyle w:val="Compact"/>
              <w:jc w:val="left"/>
            </w:pPr>
            <w:r>
              <w:t xml:space="preserve">Percentage</w:t>
            </w:r>
          </w:p>
        </w:tc>
        <w:tc>
          <w:tcPr/>
          <w:p>
            <w:pPr>
              <w:pStyle w:val="Compact"/>
              <w:jc w:val="left"/>
            </w:pPr>
            <w:r>
              <w:t xml:space="preserve">Description</w:t>
            </w:r>
          </w:p>
        </w:tc>
        <w:tc>
          <w:tcPr/>
          <w:p>
            <w:pPr>
              <w:pStyle w:val="Compact"/>
              <w:jc w:val="left"/>
            </w:pPr>
            <w:r>
              <w:t xml:space="preserve">Margin</w:t>
            </w:r>
          </w:p>
        </w:tc>
      </w:tr>
      <w:tr>
        <w:tc>
          <w:tcPr/>
          <w:p>
            <w:pPr>
              <w:pStyle w:val="Compact"/>
              <w:jc w:val="left"/>
            </w:pPr>
            <w:r>
              <w:rPr>
                <w:bCs/>
                <w:b/>
              </w:rPr>
              <w:t xml:space="preserve">Subscription Base</w:t>
            </w:r>
          </w:p>
        </w:tc>
        <w:tc>
          <w:tcPr/>
          <w:p>
            <w:pPr>
              <w:pStyle w:val="Compact"/>
              <w:jc w:val="left"/>
            </w:pPr>
            <w:r>
              <w:t xml:space="preserve">70%</w:t>
            </w:r>
          </w:p>
        </w:tc>
        <w:tc>
          <w:tcPr/>
          <w:p>
            <w:pPr>
              <w:pStyle w:val="Compact"/>
              <w:jc w:val="left"/>
            </w:pPr>
            <w:r>
              <w:t xml:space="preserve">Monthly recurring subscription fees across tiers</w:t>
            </w:r>
          </w:p>
        </w:tc>
        <w:tc>
          <w:tcPr/>
          <w:p>
            <w:pPr>
              <w:pStyle w:val="Compact"/>
              <w:jc w:val="left"/>
            </w:pPr>
            <w:r>
              <w:t xml:space="preserve">85-90%</w:t>
            </w:r>
          </w:p>
        </w:tc>
      </w:tr>
      <w:tr>
        <w:tc>
          <w:tcPr/>
          <w:p>
            <w:pPr>
              <w:pStyle w:val="Compact"/>
              <w:jc w:val="left"/>
            </w:pPr>
            <w:r>
              <w:rPr>
                <w:bCs/>
                <w:b/>
              </w:rPr>
              <w:t xml:space="preserve">Usage-Based Expansion</w:t>
            </w:r>
          </w:p>
        </w:tc>
        <w:tc>
          <w:tcPr/>
          <w:p>
            <w:pPr>
              <w:pStyle w:val="Compact"/>
              <w:jc w:val="left"/>
            </w:pPr>
            <w:r>
              <w:t xml:space="preserve">20%</w:t>
            </w:r>
          </w:p>
        </w:tc>
        <w:tc>
          <w:tcPr/>
          <w:p>
            <w:pPr>
              <w:pStyle w:val="Compact"/>
              <w:jc w:val="left"/>
            </w:pPr>
            <w:r>
              <w:t xml:space="preserve">Add-ons, additional accounts, over-spend fees</w:t>
            </w:r>
          </w:p>
        </w:tc>
        <w:tc>
          <w:tcPr/>
          <w:p>
            <w:pPr>
              <w:pStyle w:val="Compact"/>
              <w:jc w:val="left"/>
            </w:pPr>
            <w:r>
              <w:t xml:space="preserve">75-80%</w:t>
            </w:r>
          </w:p>
        </w:tc>
      </w:tr>
      <w:tr>
        <w:tc>
          <w:tcPr/>
          <w:p>
            <w:pPr>
              <w:pStyle w:val="Compact"/>
              <w:jc w:val="left"/>
            </w:pPr>
            <w:r>
              <w:rPr>
                <w:bCs/>
                <w:b/>
              </w:rPr>
              <w:t xml:space="preserve">Outcome-Based</w:t>
            </w:r>
          </w:p>
        </w:tc>
        <w:tc>
          <w:tcPr/>
          <w:p>
            <w:pPr>
              <w:pStyle w:val="Compact"/>
              <w:jc w:val="left"/>
            </w:pPr>
            <w:r>
              <w:t xml:space="preserve">10%</w:t>
            </w:r>
          </w:p>
        </w:tc>
        <w:tc>
          <w:tcPr/>
          <w:p>
            <w:pPr>
              <w:pStyle w:val="Compact"/>
              <w:jc w:val="left"/>
            </w:pPr>
            <w:r>
              <w:t xml:space="preserve">2-3% of demonstrated media savings from AI optimization</w:t>
            </w:r>
          </w:p>
        </w:tc>
        <w:tc>
          <w:tcPr/>
          <w:p>
            <w:pPr>
              <w:pStyle w:val="Compact"/>
              <w:jc w:val="left"/>
            </w:pPr>
            <w:r>
              <w:t xml:space="preserve">95%</w:t>
            </w:r>
          </w:p>
        </w:tc>
      </w:tr>
    </w:tbl>
    <w:p>
      <w:pPr>
        <w:pStyle w:val="BodyText"/>
      </w:pPr>
      <w:r>
        <w:t xml:space="preserve">The outcome-based component is the strategic differentiator. AdNexus charges 2-3% of verified media savings generated by AI optimization—paused underperformers, budget reallocation, bid adjustments. This creates perfect alignment: AdNexus only earns more when the customer saves more. This model is opt-in on the Scale and Accelerate tiers, and requires transparent reporting with third-party auditability.</w:t>
      </w:r>
    </w:p>
    <w:bookmarkEnd w:id="76"/>
    <w:bookmarkStart w:id="77" w:name="unit-economics"/>
    <w:p>
      <w:pPr>
        <w:pStyle w:val="Heading3"/>
      </w:pPr>
      <w:r>
        <w:t xml:space="preserve">10.4 Unit Economics</w:t>
      </w:r>
    </w:p>
    <w:tbl>
      <w:tblPr>
        <w:tblStyle w:val="Table"/>
        <w:tblW w:type="pct" w:w="5000"/>
        <w:tblLook w:firstRow="1" w:lastRow="0" w:firstColumn="0" w:lastColumn="0" w:noHBand="0" w:noVBand="0" w:val="0020"/>
      </w:tblPr>
      <w:tblGrid>
        <w:gridCol w:w="1667"/>
        <w:gridCol w:w="1458"/>
        <w:gridCol w:w="2292"/>
        <w:gridCol w:w="2501"/>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Benchmark</w:t>
            </w:r>
          </w:p>
        </w:tc>
        <w:tc>
          <w:tcPr/>
          <w:p>
            <w:pPr>
              <w:pStyle w:val="Compact"/>
              <w:jc w:val="left"/>
            </w:pPr>
            <w:r>
              <w:t xml:space="preserve">Assessment</w:t>
            </w:r>
          </w:p>
        </w:tc>
      </w:tr>
      <w:tr>
        <w:tc>
          <w:tcPr/>
          <w:p>
            <w:pPr>
              <w:pStyle w:val="Compact"/>
              <w:jc w:val="left"/>
            </w:pPr>
            <w:r>
              <w:rPr>
                <w:bCs/>
                <w:b/>
              </w:rPr>
              <w:t xml:space="preserve">Customer Acquisition Cost (CAC)</w:t>
            </w:r>
          </w:p>
        </w:tc>
        <w:tc>
          <w:tcPr/>
          <w:p>
            <w:pPr>
              <w:pStyle w:val="Compact"/>
              <w:jc w:val="left"/>
            </w:pPr>
            <w:r>
              <w:t xml:space="preserve">$1,250</w:t>
            </w:r>
          </w:p>
        </w:tc>
        <w:tc>
          <w:tcPr/>
          <w:p>
            <w:pPr>
              <w:pStyle w:val="Compact"/>
              <w:jc w:val="left"/>
            </w:pPr>
            <w:r>
              <w:t xml:space="preserve">$1,500 (B2B SaaS median)</w:t>
            </w:r>
          </w:p>
        </w:tc>
        <w:tc>
          <w:tcPr/>
          <w:p>
            <w:pPr>
              <w:pStyle w:val="Compact"/>
              <w:jc w:val="left"/>
            </w:pPr>
            <w:r>
              <w:t xml:space="preserve">17% below market via PLG + MCP</w:t>
            </w:r>
          </w:p>
        </w:tc>
      </w:tr>
      <w:tr>
        <w:tc>
          <w:tcPr/>
          <w:p>
            <w:pPr>
              <w:pStyle w:val="Compact"/>
              <w:jc w:val="left"/>
            </w:pPr>
            <w:r>
              <w:rPr>
                <w:bCs/>
                <w:b/>
              </w:rPr>
              <w:t xml:space="preserve">Lifetime Value (LTV)</w:t>
            </w:r>
          </w:p>
        </w:tc>
        <w:tc>
          <w:tcPr/>
          <w:p>
            <w:pPr>
              <w:pStyle w:val="Compact"/>
              <w:jc w:val="left"/>
            </w:pPr>
            <w:r>
              <w:t xml:space="preserve">$6,800</w:t>
            </w:r>
          </w:p>
        </w:tc>
        <w:tc>
          <w:tcPr/>
          <w:p>
            <w:pPr>
              <w:pStyle w:val="Compact"/>
              <w:jc w:val="left"/>
            </w:pPr>
            <w:r>
              <w:t xml:space="preserve">$4,200 (B2B SaaS median)</w:t>
            </w:r>
          </w:p>
        </w:tc>
        <w:tc>
          <w:tcPr/>
          <w:p>
            <w:pPr>
              <w:pStyle w:val="Compact"/>
              <w:jc w:val="left"/>
            </w:pPr>
            <w:r>
              <w:t xml:space="preserve">62% above market via strong retention</w:t>
            </w:r>
          </w:p>
        </w:tc>
      </w:tr>
      <w:tr>
        <w:tc>
          <w:tcPr/>
          <w:p>
            <w:pPr>
              <w:pStyle w:val="Compact"/>
              <w:jc w:val="left"/>
            </w:pPr>
            <w:r>
              <w:rPr>
                <w:bCs/>
                <w:b/>
              </w:rPr>
              <w:t xml:space="preserve">LTV:CAC Ratio</w:t>
            </w:r>
          </w:p>
        </w:tc>
        <w:tc>
          <w:tcPr/>
          <w:p>
            <w:pPr>
              <w:pStyle w:val="Compact"/>
              <w:jc w:val="left"/>
            </w:pPr>
            <w:r>
              <w:t xml:space="preserve">5.4:1</w:t>
            </w:r>
          </w:p>
        </w:tc>
        <w:tc>
          <w:tcPr/>
          <w:p>
            <w:pPr>
              <w:pStyle w:val="Compact"/>
              <w:jc w:val="left"/>
            </w:pPr>
            <w:r>
              <w:t xml:space="preserve">3:1 (minimum viable)</w:t>
            </w:r>
          </w:p>
        </w:tc>
        <w:tc>
          <w:tcPr/>
          <w:p>
            <w:pPr>
              <w:pStyle w:val="Compact"/>
              <w:jc w:val="left"/>
            </w:pPr>
            <w:r>
              <w:t xml:space="preserve">Excellent unit economics</w:t>
            </w:r>
          </w:p>
        </w:tc>
      </w:tr>
      <w:tr>
        <w:tc>
          <w:tcPr/>
          <w:p>
            <w:pPr>
              <w:pStyle w:val="Compact"/>
              <w:jc w:val="left"/>
            </w:pPr>
            <w:r>
              <w:rPr>
                <w:bCs/>
                <w:b/>
              </w:rPr>
              <w:t xml:space="preserve">Payback Period</w:t>
            </w:r>
          </w:p>
        </w:tc>
        <w:tc>
          <w:tcPr/>
          <w:p>
            <w:pPr>
              <w:pStyle w:val="Compact"/>
              <w:jc w:val="left"/>
            </w:pPr>
            <w:r>
              <w:t xml:space="preserve">6-8 months</w:t>
            </w:r>
          </w:p>
        </w:tc>
        <w:tc>
          <w:tcPr/>
          <w:p>
            <w:pPr>
              <w:pStyle w:val="Compact"/>
              <w:jc w:val="left"/>
            </w:pPr>
            <w:r>
              <w:t xml:space="preserve">12-18 months (B2B SaaS)</w:t>
            </w:r>
          </w:p>
        </w:tc>
        <w:tc>
          <w:tcPr/>
          <w:p>
            <w:pPr>
              <w:pStyle w:val="Compact"/>
              <w:jc w:val="left"/>
            </w:pPr>
            <w:r>
              <w:t xml:space="preserve">33-50% faster than benchmark</w:t>
            </w:r>
          </w:p>
        </w:tc>
      </w:tr>
      <w:tr>
        <w:tc>
          <w:tcPr/>
          <w:p>
            <w:pPr>
              <w:pStyle w:val="Compact"/>
              <w:jc w:val="left"/>
            </w:pPr>
            <w:r>
              <w:rPr>
                <w:bCs/>
                <w:b/>
              </w:rPr>
              <w:t xml:space="preserve">Net Dollar Retention (NDR)</w:t>
            </w:r>
          </w:p>
        </w:tc>
        <w:tc>
          <w:tcPr/>
          <w:p>
            <w:pPr>
              <w:pStyle w:val="Compact"/>
              <w:jc w:val="left"/>
            </w:pPr>
            <w:r>
              <w:t xml:space="preserve">120-140%</w:t>
            </w:r>
          </w:p>
        </w:tc>
        <w:tc>
          <w:tcPr/>
          <w:p>
            <w:pPr>
              <w:pStyle w:val="Compact"/>
              <w:jc w:val="left"/>
            </w:pPr>
            <w:r>
              <w:t xml:space="preserve">110% (good), 120% (excellent)</w:t>
            </w:r>
          </w:p>
        </w:tc>
        <w:tc>
          <w:tcPr/>
          <w:p>
            <w:pPr>
              <w:pStyle w:val="Compact"/>
              <w:jc w:val="left"/>
            </w:pPr>
            <w:r>
              <w:t xml:space="preserve">World-class expansion motion</w:t>
            </w:r>
          </w:p>
        </w:tc>
      </w:tr>
      <w:tr>
        <w:tc>
          <w:tcPr/>
          <w:p>
            <w:pPr>
              <w:pStyle w:val="Compact"/>
              <w:jc w:val="left"/>
            </w:pPr>
            <w:r>
              <w:rPr>
                <w:bCs/>
                <w:b/>
              </w:rPr>
              <w:t xml:space="preserve">Gross Margin</w:t>
            </w:r>
          </w:p>
        </w:tc>
        <w:tc>
          <w:tcPr/>
          <w:p>
            <w:pPr>
              <w:pStyle w:val="Compact"/>
              <w:jc w:val="left"/>
            </w:pPr>
            <w:r>
              <w:t xml:space="preserve">75-80%</w:t>
            </w:r>
          </w:p>
        </w:tc>
        <w:tc>
          <w:tcPr/>
          <w:p>
            <w:pPr>
              <w:pStyle w:val="Compact"/>
              <w:jc w:val="left"/>
            </w:pPr>
            <w:r>
              <w:t xml:space="preserve">70-75% (SaaS median)</w:t>
            </w:r>
          </w:p>
        </w:tc>
        <w:tc>
          <w:tcPr/>
          <w:p>
            <w:pPr>
              <w:pStyle w:val="Compact"/>
              <w:jc w:val="left"/>
            </w:pPr>
            <w:r>
              <w:t xml:space="preserve">Healthy, improving with scale</w:t>
            </w:r>
          </w:p>
        </w:tc>
      </w:tr>
    </w:tbl>
    <w:p>
      <w:pPr>
        <w:pStyle w:val="BodyText"/>
      </w:pPr>
      <w:r>
        <w:rPr>
          <w:bCs/>
          <w:b/>
        </w:rPr>
        <w:t xml:space="preserve">CAC Decomposition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Blended CAC</w:t>
            </w:r>
          </w:p>
        </w:tc>
        <w:tc>
          <w:tcPr/>
          <w:p>
            <w:pPr>
              <w:pStyle w:val="Compact"/>
              <w:jc w:val="left"/>
            </w:pPr>
            <w:r>
              <w:t xml:space="preserve">% of Total Acquisitions</w:t>
            </w:r>
          </w:p>
        </w:tc>
      </w:tr>
      <w:tr>
        <w:tc>
          <w:tcPr/>
          <w:p>
            <w:pPr>
              <w:pStyle w:val="Compact"/>
              <w:jc w:val="left"/>
            </w:pPr>
            <w:r>
              <w:t xml:space="preserve">MCP Organic</w:t>
            </w:r>
          </w:p>
        </w:tc>
        <w:tc>
          <w:tcPr/>
          <w:p>
            <w:pPr>
              <w:pStyle w:val="Compact"/>
              <w:jc w:val="left"/>
            </w:pPr>
            <w:r>
              <w:t xml:space="preserve">$50</w:t>
            </w:r>
          </w:p>
        </w:tc>
        <w:tc>
          <w:tcPr/>
          <w:p>
            <w:pPr>
              <w:pStyle w:val="Compact"/>
              <w:jc w:val="left"/>
            </w:pPr>
            <w:r>
              <w:t xml:space="preserve">20%</w:t>
            </w:r>
          </w:p>
        </w:tc>
      </w:tr>
      <w:tr>
        <w:tc>
          <w:tcPr/>
          <w:p>
            <w:pPr>
              <w:pStyle w:val="Compact"/>
              <w:jc w:val="left"/>
            </w:pPr>
            <w:r>
              <w:t xml:space="preserve">PLG/Trial</w:t>
            </w:r>
          </w:p>
        </w:tc>
        <w:tc>
          <w:tcPr/>
          <w:p>
            <w:pPr>
              <w:pStyle w:val="Compact"/>
              <w:jc w:val="left"/>
            </w:pPr>
            <w:r>
              <w:t xml:space="preserve">$300</w:t>
            </w:r>
          </w:p>
        </w:tc>
        <w:tc>
          <w:tcPr/>
          <w:p>
            <w:pPr>
              <w:pStyle w:val="Compact"/>
              <w:jc w:val="left"/>
            </w:pPr>
            <w:r>
              <w:t xml:space="preserve">30%</w:t>
            </w:r>
          </w:p>
        </w:tc>
      </w:tr>
      <w:tr>
        <w:tc>
          <w:tcPr/>
          <w:p>
            <w:pPr>
              <w:pStyle w:val="Compact"/>
              <w:jc w:val="left"/>
            </w:pPr>
            <w:r>
              <w:t xml:space="preserve">Content SEO</w:t>
            </w:r>
          </w:p>
        </w:tc>
        <w:tc>
          <w:tcPr/>
          <w:p>
            <w:pPr>
              <w:pStyle w:val="Compact"/>
              <w:jc w:val="left"/>
            </w:pPr>
            <w:r>
              <w:t xml:space="preserve">$400</w:t>
            </w:r>
          </w:p>
        </w:tc>
        <w:tc>
          <w:tcPr/>
          <w:p>
            <w:pPr>
              <w:pStyle w:val="Compact"/>
              <w:jc w:val="left"/>
            </w:pPr>
            <w:r>
              <w:t xml:space="preserve">20%</w:t>
            </w:r>
          </w:p>
        </w:tc>
      </w:tr>
      <w:tr>
        <w:tc>
          <w:tcPr/>
          <w:p>
            <w:pPr>
              <w:pStyle w:val="Compact"/>
              <w:jc w:val="left"/>
            </w:pPr>
            <w:r>
              <w:t xml:space="preserve">Agency Referral</w:t>
            </w:r>
          </w:p>
        </w:tc>
        <w:tc>
          <w:tcPr/>
          <w:p>
            <w:pPr>
              <w:pStyle w:val="Compact"/>
              <w:jc w:val="left"/>
            </w:pPr>
            <w:r>
              <w:t xml:space="preserve">$500</w:t>
            </w:r>
          </w:p>
        </w:tc>
        <w:tc>
          <w:tcPr/>
          <w:p>
            <w:pPr>
              <w:pStyle w:val="Compact"/>
              <w:jc w:val="left"/>
            </w:pPr>
            <w:r>
              <w:t xml:space="preserve">20%</w:t>
            </w:r>
          </w:p>
        </w:tc>
      </w:tr>
      <w:tr>
        <w:tc>
          <w:tcPr/>
          <w:p>
            <w:pPr>
              <w:pStyle w:val="Compact"/>
              <w:jc w:val="left"/>
            </w:pPr>
            <w:r>
              <w:t xml:space="preserve">Paid/Events</w:t>
            </w:r>
          </w:p>
        </w:tc>
        <w:tc>
          <w:tcPr/>
          <w:p>
            <w:pPr>
              <w:pStyle w:val="Compact"/>
              <w:jc w:val="left"/>
            </w:pPr>
            <w:r>
              <w:t xml:space="preserve">$3,500</w:t>
            </w:r>
          </w:p>
        </w:tc>
        <w:tc>
          <w:tcPr/>
          <w:p>
            <w:pPr>
              <w:pStyle w:val="Compact"/>
              <w:jc w:val="left"/>
            </w:pPr>
            <w:r>
              <w:t xml:space="preserve">10%</w:t>
            </w:r>
          </w:p>
        </w:tc>
      </w:tr>
      <w:tr>
        <w:tc>
          <w:tcPr/>
          <w:p>
            <w:pPr>
              <w:pStyle w:val="Compact"/>
              <w:jc w:val="left"/>
            </w:pPr>
            <w:r>
              <w:rPr>
                <w:bCs/>
                <w:b/>
              </w:rPr>
              <w:t xml:space="preserve">Blended</w:t>
            </w:r>
          </w:p>
        </w:tc>
        <w:tc>
          <w:tcPr/>
          <w:p>
            <w:pPr>
              <w:pStyle w:val="Compact"/>
              <w:jc w:val="left"/>
            </w:pPr>
            <w:r>
              <w:rPr>
                <w:bCs/>
                <w:b/>
              </w:rPr>
              <w:t xml:space="preserve">$1,250</w:t>
            </w:r>
          </w:p>
        </w:tc>
        <w:tc>
          <w:tcPr/>
          <w:p>
            <w:pPr>
              <w:pStyle w:val="Compact"/>
              <w:jc w:val="left"/>
            </w:pPr>
            <w:r>
              <w:rPr>
                <w:bCs/>
                <w:b/>
              </w:rPr>
              <w:t xml:space="preserve">100%</w:t>
            </w:r>
          </w:p>
        </w:tc>
      </w:tr>
    </w:tbl>
    <w:p>
      <w:pPr>
        <w:pStyle w:val="BodyText"/>
      </w:pPr>
      <w:r>
        <w:t xml:space="preserve">The MCP organic channel delivers users at essentially zero marginal cost. As MCP adoption scales, the blended CAC declines toward $900 in Year 2 and $700 in Year 3, even as enterprise acquisition (higher CAC) increases in proportion.</w:t>
      </w:r>
    </w:p>
    <w:p>
      <w:pPr>
        <w:pStyle w:val="BodyText"/>
      </w:pPr>
      <w:r>
        <w:rPr>
          <w:bCs/>
          <w:b/>
        </w:rPr>
        <w:t xml:space="preserve">LTV Decomposition (Scale Tier Customer)</w:t>
      </w:r>
    </w:p>
    <w:tbl>
      <w:tblPr>
        <w:tblStyle w:val="Table"/>
        <w:tblW w:type="pct" w:w="5000"/>
        <w:tblLook w:firstRow="1" w:lastRow="0" w:firstColumn="0" w:lastColumn="0" w:noHBand="0" w:noVBand="0" w:val="0020"/>
      </w:tblPr>
      <w:tblGrid>
        <w:gridCol w:w="3484"/>
        <w:gridCol w:w="2217"/>
        <w:gridCol w:w="2217"/>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Base subscription (34 months)</w:t>
            </w:r>
          </w:p>
        </w:tc>
        <w:tc>
          <w:tcPr/>
          <w:p>
            <w:pPr>
              <w:pStyle w:val="Compact"/>
              <w:jc w:val="left"/>
            </w:pPr>
            <w:r>
              <w:t xml:space="preserve">$6,766</w:t>
            </w:r>
          </w:p>
        </w:tc>
        <w:tc>
          <w:tcPr/>
          <w:p>
            <w:pPr>
              <w:pStyle w:val="Compact"/>
              <w:jc w:val="left"/>
            </w:pPr>
            <w:r>
              <w:t xml:space="preserve">$199 × 34 months</w:t>
            </w:r>
          </w:p>
        </w:tc>
      </w:tr>
      <w:tr>
        <w:tc>
          <w:tcPr/>
          <w:p>
            <w:pPr>
              <w:pStyle w:val="Compact"/>
              <w:jc w:val="left"/>
            </w:pPr>
            <w:r>
              <w:t xml:space="preserve">Add-ons (avg $45/mo)</w:t>
            </w:r>
          </w:p>
        </w:tc>
        <w:tc>
          <w:tcPr/>
          <w:p>
            <w:pPr>
              <w:pStyle w:val="Compact"/>
              <w:jc w:val="left"/>
            </w:pPr>
            <w:r>
              <w:t xml:space="preserve">$1,530</w:t>
            </w:r>
          </w:p>
        </w:tc>
        <w:tc>
          <w:tcPr/>
          <w:p>
            <w:pPr>
              <w:pStyle w:val="Compact"/>
              <w:jc w:val="left"/>
            </w:pPr>
            <w:r>
              <w:t xml:space="preserve">White-label, extra accounts, priority support</w:t>
            </w:r>
          </w:p>
        </w:tc>
      </w:tr>
      <w:tr>
        <w:tc>
          <w:tcPr/>
          <w:p>
            <w:pPr>
              <w:pStyle w:val="Compact"/>
              <w:jc w:val="left"/>
            </w:pPr>
            <w:r>
              <w:t xml:space="preserve">Outcome-based fees</w:t>
            </w:r>
          </w:p>
        </w:tc>
        <w:tc>
          <w:tcPr/>
          <w:p>
            <w:pPr>
              <w:pStyle w:val="Compact"/>
              <w:jc w:val="left"/>
            </w:pPr>
            <w:r>
              <w:t xml:space="preserve">$680</w:t>
            </w:r>
          </w:p>
        </w:tc>
        <w:tc>
          <w:tcPr/>
          <w:p>
            <w:pPr>
              <w:pStyle w:val="Compact"/>
              <w:jc w:val="left"/>
            </w:pPr>
            <w:r>
              <w:t xml:space="preserve">10% of LTV from performance savings</w:t>
            </w:r>
          </w:p>
        </w:tc>
      </w:tr>
      <w:tr>
        <w:tc>
          <w:tcPr/>
          <w:p>
            <w:pPr>
              <w:pStyle w:val="Compact"/>
              <w:jc w:val="left"/>
            </w:pPr>
            <w:r>
              <w:rPr>
                <w:bCs/>
                <w:b/>
              </w:rPr>
              <w:t xml:space="preserve">Total LTV</w:t>
            </w:r>
          </w:p>
        </w:tc>
        <w:tc>
          <w:tcPr/>
          <w:p>
            <w:pPr>
              <w:pStyle w:val="Compact"/>
              <w:jc w:val="left"/>
            </w:pPr>
            <w:r>
              <w:rPr>
                <w:bCs/>
                <w:b/>
              </w:rPr>
              <w:t xml:space="preserve">$6,800</w:t>
            </w:r>
          </w:p>
        </w:tc>
        <w:tc>
          <w:tcPr/>
          <w:p>
            <w:pPr>
              <w:pStyle w:val="Compact"/>
              <w:jc w:val="left"/>
            </w:pPr>
            <w:r>
              <w:t xml:space="preserve">Net of 5% annual churn</w:t>
            </w:r>
          </w:p>
        </w:tc>
      </w:tr>
    </w:tbl>
    <w:bookmarkEnd w:id="77"/>
    <w:bookmarkStart w:id="78" w:name="three-year-financial-projections"/>
    <w:p>
      <w:pPr>
        <w:pStyle w:val="Heading3"/>
      </w:pPr>
      <w:r>
        <w:t xml:space="preserve">10.5 Three-Year Financial Projections</w:t>
      </w:r>
    </w:p>
    <w:tbl>
      <w:tblPr>
        <w:tblStyle w:val="Table"/>
        <w:tblW w:type="pct" w:w="5000"/>
        <w:tblLook w:firstRow="1" w:lastRow="0" w:firstColumn="0" w:lastColumn="0" w:noHBand="0" w:noVBand="0" w:val="0020"/>
      </w:tblPr>
      <w:tblGrid>
        <w:gridCol w:w="1667"/>
        <w:gridCol w:w="1667"/>
        <w:gridCol w:w="1667"/>
        <w:gridCol w:w="1667"/>
        <w:gridCol w:w="1250"/>
      </w:tblGrid>
      <w:tr>
        <w:trPr>
          <w:tblHeader w:val="true"/>
        </w:trPr>
        <w:tc>
          <w:tcPr/>
          <w:p>
            <w:pPr>
              <w:pStyle w:val="Compact"/>
              <w:jc w:val="left"/>
            </w:pPr>
            <w:r>
              <w:t xml:space="preserve">Metric</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CAGR</w:t>
            </w:r>
          </w:p>
        </w:tc>
      </w:tr>
      <w:tr>
        <w:tc>
          <w:tcPr/>
          <w:p>
            <w:pPr>
              <w:pStyle w:val="Compact"/>
              <w:jc w:val="left"/>
            </w:pPr>
            <w:r>
              <w:rPr>
                <w:bCs/>
                <w:b/>
              </w:rPr>
              <w:t xml:space="preserve">Total Users</w:t>
            </w:r>
          </w:p>
        </w:tc>
        <w:tc>
          <w:tcPr/>
          <w:p>
            <w:pPr>
              <w:pStyle w:val="Compact"/>
              <w:jc w:val="left"/>
            </w:pPr>
            <w:r>
              <w:t xml:space="preserve">500</w:t>
            </w:r>
          </w:p>
        </w:tc>
        <w:tc>
          <w:tcPr/>
          <w:p>
            <w:pPr>
              <w:pStyle w:val="Compact"/>
              <w:jc w:val="left"/>
            </w:pPr>
            <w:r>
              <w:t xml:space="preserve">2,500</w:t>
            </w:r>
          </w:p>
        </w:tc>
        <w:tc>
          <w:tcPr/>
          <w:p>
            <w:pPr>
              <w:pStyle w:val="Compact"/>
              <w:jc w:val="left"/>
            </w:pPr>
            <w:r>
              <w:t xml:space="preserve">8,000</w:t>
            </w:r>
          </w:p>
        </w:tc>
        <w:tc>
          <w:tcPr/>
          <w:p>
            <w:pPr>
              <w:pStyle w:val="Compact"/>
              <w:jc w:val="left"/>
            </w:pPr>
            <w:r>
              <w:t xml:space="preserve">299%</w:t>
            </w:r>
          </w:p>
        </w:tc>
      </w:tr>
      <w:tr>
        <w:tc>
          <w:tcPr/>
          <w:p>
            <w:pPr>
              <w:pStyle w:val="Compact"/>
              <w:jc w:val="left"/>
            </w:pPr>
            <w:r>
              <w:rPr>
                <w:bCs/>
                <w:b/>
              </w:rPr>
              <w:t xml:space="preserve">Paying Customers</w:t>
            </w:r>
          </w:p>
        </w:tc>
        <w:tc>
          <w:tcPr/>
          <w:p>
            <w:pPr>
              <w:pStyle w:val="Compact"/>
              <w:jc w:val="left"/>
            </w:pPr>
            <w:r>
              <w:t xml:space="preserve">350</w:t>
            </w:r>
          </w:p>
        </w:tc>
        <w:tc>
          <w:tcPr/>
          <w:p>
            <w:pPr>
              <w:pStyle w:val="Compact"/>
              <w:jc w:val="left"/>
            </w:pPr>
            <w:r>
              <w:t xml:space="preserve">1,875</w:t>
            </w:r>
          </w:p>
        </w:tc>
        <w:tc>
          <w:tcPr/>
          <w:p>
            <w:pPr>
              <w:pStyle w:val="Compact"/>
              <w:jc w:val="left"/>
            </w:pPr>
            <w:r>
              <w:t xml:space="preserve">6,400</w:t>
            </w:r>
          </w:p>
        </w:tc>
        <w:tc>
          <w:tcPr/>
          <w:p>
            <w:pPr>
              <w:pStyle w:val="Compact"/>
              <w:jc w:val="left"/>
            </w:pPr>
            <w:r>
              <w:t xml:space="preserve">325%</w:t>
            </w:r>
          </w:p>
        </w:tc>
      </w:tr>
      <w:tr>
        <w:tc>
          <w:tcPr/>
          <w:p>
            <w:pPr>
              <w:pStyle w:val="Compact"/>
              <w:jc w:val="left"/>
            </w:pPr>
            <w:r>
              <w:rPr>
                <w:bCs/>
                <w:b/>
              </w:rPr>
              <w:t xml:space="preserve">ARR</w:t>
            </w:r>
          </w:p>
        </w:tc>
        <w:tc>
          <w:tcPr/>
          <w:p>
            <w:pPr>
              <w:pStyle w:val="Compact"/>
              <w:jc w:val="left"/>
            </w:pPr>
            <w:r>
              <w:t xml:space="preserve">$600,000</w:t>
            </w:r>
          </w:p>
        </w:tc>
        <w:tc>
          <w:tcPr/>
          <w:p>
            <w:pPr>
              <w:pStyle w:val="Compact"/>
              <w:jc w:val="left"/>
            </w:pPr>
            <w:r>
              <w:t xml:space="preserve">$3,600,000</w:t>
            </w:r>
          </w:p>
        </w:tc>
        <w:tc>
          <w:tcPr/>
          <w:p>
            <w:pPr>
              <w:pStyle w:val="Compact"/>
              <w:jc w:val="left"/>
            </w:pPr>
            <w:r>
              <w:t xml:space="preserve">$12,800,000</w:t>
            </w:r>
          </w:p>
        </w:tc>
        <w:tc>
          <w:tcPr/>
          <w:p>
            <w:pPr>
              <w:pStyle w:val="Compact"/>
              <w:jc w:val="left"/>
            </w:pPr>
            <w:r>
              <w:t xml:space="preserve">361%</w:t>
            </w:r>
          </w:p>
        </w:tc>
      </w:tr>
      <w:tr>
        <w:tc>
          <w:tcPr/>
          <w:p>
            <w:pPr>
              <w:pStyle w:val="Compact"/>
              <w:jc w:val="left"/>
            </w:pPr>
            <w:r>
              <w:rPr>
                <w:bCs/>
                <w:b/>
              </w:rPr>
              <w:t xml:space="preserve">MRR</w:t>
            </w:r>
          </w:p>
        </w:tc>
        <w:tc>
          <w:tcPr/>
          <w:p>
            <w:pPr>
              <w:pStyle w:val="Compact"/>
              <w:jc w:val="left"/>
            </w:pPr>
            <w:r>
              <w:t xml:space="preserve">$50,000</w:t>
            </w:r>
          </w:p>
        </w:tc>
        <w:tc>
          <w:tcPr/>
          <w:p>
            <w:pPr>
              <w:pStyle w:val="Compact"/>
              <w:jc w:val="left"/>
            </w:pPr>
            <w:r>
              <w:t xml:space="preserve">$300,000</w:t>
            </w:r>
          </w:p>
        </w:tc>
        <w:tc>
          <w:tcPr/>
          <w:p>
            <w:pPr>
              <w:pStyle w:val="Compact"/>
              <w:jc w:val="left"/>
            </w:pPr>
            <w:r>
              <w:t xml:space="preserve">$1,066,667</w:t>
            </w:r>
          </w:p>
        </w:tc>
        <w:tc>
          <w:tcPr/>
          <w:p>
            <w:pPr>
              <w:pStyle w:val="Compact"/>
              <w:jc w:val="left"/>
            </w:pPr>
            <w:r>
              <w:t xml:space="preserve">361%</w:t>
            </w:r>
          </w:p>
        </w:tc>
      </w:tr>
      <w:tr>
        <w:tc>
          <w:tcPr/>
          <w:p>
            <w:pPr>
              <w:pStyle w:val="Compact"/>
              <w:jc w:val="left"/>
            </w:pPr>
            <w:r>
              <w:rPr>
                <w:bCs/>
                <w:b/>
              </w:rPr>
              <w:t xml:space="preserve">Monthly New Customers</w:t>
            </w:r>
          </w:p>
        </w:tc>
        <w:tc>
          <w:tcPr/>
          <w:p>
            <w:pPr>
              <w:pStyle w:val="Compact"/>
              <w:jc w:val="left"/>
            </w:pPr>
            <w:r>
              <w:t xml:space="preserve">35</w:t>
            </w:r>
          </w:p>
        </w:tc>
        <w:tc>
          <w:tcPr/>
          <w:p>
            <w:pPr>
              <w:pStyle w:val="Compact"/>
              <w:jc w:val="left"/>
            </w:pPr>
            <w:r>
              <w:t xml:space="preserve">130</w:t>
            </w:r>
          </w:p>
        </w:tc>
        <w:tc>
          <w:tcPr/>
          <w:p>
            <w:pPr>
              <w:pStyle w:val="Compact"/>
              <w:jc w:val="left"/>
            </w:pPr>
            <w:r>
              <w:t xml:space="preserve">375</w:t>
            </w:r>
          </w:p>
        </w:tc>
        <w:tc>
          <w:tcPr/>
          <w:p>
            <w:pPr>
              <w:pStyle w:val="Compact"/>
              <w:jc w:val="left"/>
            </w:pPr>
            <w:r>
              <w:t xml:space="preserve">-</w:t>
            </w:r>
          </w:p>
        </w:tc>
      </w:tr>
      <w:tr>
        <w:tc>
          <w:tcPr/>
          <w:p>
            <w:pPr>
              <w:pStyle w:val="Compact"/>
              <w:jc w:val="left"/>
            </w:pPr>
            <w:r>
              <w:rPr>
                <w:bCs/>
                <w:b/>
              </w:rPr>
              <w:t xml:space="preserve">Average Revenue Per User (ARPU)</w:t>
            </w:r>
          </w:p>
        </w:tc>
        <w:tc>
          <w:tcPr/>
          <w:p>
            <w:pPr>
              <w:pStyle w:val="Compact"/>
              <w:jc w:val="left"/>
            </w:pPr>
            <w:r>
              <w:t xml:space="preserve">$143/mo</w:t>
            </w:r>
          </w:p>
        </w:tc>
        <w:tc>
          <w:tcPr/>
          <w:p>
            <w:pPr>
              <w:pStyle w:val="Compact"/>
              <w:jc w:val="left"/>
            </w:pPr>
            <w:r>
              <w:t xml:space="preserve">$160/mo</w:t>
            </w:r>
          </w:p>
        </w:tc>
        <w:tc>
          <w:tcPr/>
          <w:p>
            <w:pPr>
              <w:pStyle w:val="Compact"/>
              <w:jc w:val="left"/>
            </w:pPr>
            <w:r>
              <w:t xml:space="preserve">$167/mo</w:t>
            </w:r>
          </w:p>
        </w:tc>
        <w:tc>
          <w:tcPr/>
          <w:p>
            <w:pPr>
              <w:pStyle w:val="Compact"/>
              <w:jc w:val="left"/>
            </w:pPr>
            <w:r>
              <w:t xml:space="preserve">8%</w:t>
            </w:r>
          </w:p>
        </w:tc>
      </w:tr>
      <w:tr>
        <w:tc>
          <w:tcPr/>
          <w:p>
            <w:pPr>
              <w:pStyle w:val="Compact"/>
              <w:jc w:val="left"/>
            </w:pPr>
            <w:r>
              <w:rPr>
                <w:bCs/>
                <w:b/>
              </w:rPr>
              <w:t xml:space="preserve">Gross Revenue</w:t>
            </w:r>
          </w:p>
        </w:tc>
        <w:tc>
          <w:tcPr/>
          <w:p>
            <w:pPr>
              <w:pStyle w:val="Compact"/>
              <w:jc w:val="left"/>
            </w:pPr>
            <w:r>
              <w:t xml:space="preserve">$625,000</w:t>
            </w:r>
          </w:p>
        </w:tc>
        <w:tc>
          <w:tcPr/>
          <w:p>
            <w:pPr>
              <w:pStyle w:val="Compact"/>
              <w:jc w:val="left"/>
            </w:pPr>
            <w:r>
              <w:t xml:space="preserve">$4,000,000</w:t>
            </w:r>
          </w:p>
        </w:tc>
        <w:tc>
          <w:tcPr/>
          <w:p>
            <w:pPr>
              <w:pStyle w:val="Compact"/>
              <w:jc w:val="left"/>
            </w:pPr>
            <w:r>
              <w:t xml:space="preserve">$14,500,000</w:t>
            </w:r>
          </w:p>
        </w:tc>
        <w:tc>
          <w:tcPr/>
          <w:p>
            <w:pPr>
              <w:pStyle w:val="Compact"/>
              <w:jc w:val="left"/>
            </w:pPr>
            <w:r>
              <w:t xml:space="preserve">393%</w:t>
            </w:r>
          </w:p>
        </w:tc>
      </w:tr>
      <w:tr>
        <w:tc>
          <w:tcPr/>
          <w:p>
            <w:pPr>
              <w:pStyle w:val="Compact"/>
              <w:jc w:val="left"/>
            </w:pPr>
            <w:r>
              <w:rPr>
                <w:bCs/>
                <w:b/>
              </w:rPr>
              <w:t xml:space="preserve">Gross Margin</w:t>
            </w:r>
          </w:p>
        </w:tc>
        <w:tc>
          <w:tcPr/>
          <w:p>
            <w:pPr>
              <w:pStyle w:val="Compact"/>
              <w:jc w:val="left"/>
            </w:pPr>
            <w:r>
              <w:t xml:space="preserve">75%</w:t>
            </w:r>
          </w:p>
        </w:tc>
        <w:tc>
          <w:tcPr/>
          <w:p>
            <w:pPr>
              <w:pStyle w:val="Compact"/>
              <w:jc w:val="left"/>
            </w:pPr>
            <w:r>
              <w:t xml:space="preserve">78%</w:t>
            </w:r>
          </w:p>
        </w:tc>
        <w:tc>
          <w:tcPr/>
          <w:p>
            <w:pPr>
              <w:pStyle w:val="Compact"/>
              <w:jc w:val="left"/>
            </w:pPr>
            <w:r>
              <w:t xml:space="preserve">82%</w:t>
            </w:r>
          </w:p>
        </w:tc>
        <w:tc>
          <w:tcPr/>
          <w:p>
            <w:pPr>
              <w:pStyle w:val="Compact"/>
              <w:jc w:val="left"/>
            </w:pPr>
            <w:r>
              <w:t xml:space="preserve">-</w:t>
            </w:r>
          </w:p>
        </w:tc>
      </w:tr>
      <w:tr>
        <w:tc>
          <w:tcPr/>
          <w:p>
            <w:pPr>
              <w:pStyle w:val="Compact"/>
              <w:jc w:val="left"/>
            </w:pPr>
            <w:r>
              <w:rPr>
                <w:bCs/>
                <w:b/>
              </w:rPr>
              <w:t xml:space="preserve">Gross Profit</w:t>
            </w:r>
          </w:p>
        </w:tc>
        <w:tc>
          <w:tcPr/>
          <w:p>
            <w:pPr>
              <w:pStyle w:val="Compact"/>
              <w:jc w:val="left"/>
            </w:pPr>
            <w:r>
              <w:t xml:space="preserve">$468,750</w:t>
            </w:r>
          </w:p>
        </w:tc>
        <w:tc>
          <w:tcPr/>
          <w:p>
            <w:pPr>
              <w:pStyle w:val="Compact"/>
              <w:jc w:val="left"/>
            </w:pPr>
            <w:r>
              <w:t xml:space="preserve">$3,120,000</w:t>
            </w:r>
          </w:p>
        </w:tc>
        <w:tc>
          <w:tcPr/>
          <w:p>
            <w:pPr>
              <w:pStyle w:val="Compact"/>
              <w:jc w:val="left"/>
            </w:pPr>
            <w:r>
              <w:t xml:space="preserve">$11,890,000</w:t>
            </w:r>
          </w:p>
        </w:tc>
        <w:tc>
          <w:tcPr/>
          <w:p>
            <w:pPr>
              <w:pStyle w:val="Compact"/>
              <w:jc w:val="left"/>
            </w:pPr>
            <w:r>
              <w:t xml:space="preserve">402%</w:t>
            </w:r>
          </w:p>
        </w:tc>
      </w:tr>
      <w:tr>
        <w:tc>
          <w:tcPr/>
          <w:p>
            <w:pPr>
              <w:pStyle w:val="Compact"/>
              <w:jc w:val="left"/>
            </w:pPr>
            <w:r>
              <w:rPr>
                <w:bCs/>
                <w:b/>
              </w:rPr>
              <w:t xml:space="preserve">CAC</w:t>
            </w:r>
          </w:p>
        </w:tc>
        <w:tc>
          <w:tcPr/>
          <w:p>
            <w:pPr>
              <w:pStyle w:val="Compact"/>
              <w:jc w:val="left"/>
            </w:pPr>
            <w:r>
              <w:t xml:space="preserve">$1,250</w:t>
            </w:r>
          </w:p>
        </w:tc>
        <w:tc>
          <w:tcPr/>
          <w:p>
            <w:pPr>
              <w:pStyle w:val="Compact"/>
              <w:jc w:val="left"/>
            </w:pPr>
            <w:r>
              <w:t xml:space="preserve">$900</w:t>
            </w:r>
          </w:p>
        </w:tc>
        <w:tc>
          <w:tcPr/>
          <w:p>
            <w:pPr>
              <w:pStyle w:val="Compact"/>
              <w:jc w:val="left"/>
            </w:pPr>
            <w:r>
              <w:t xml:space="preserve">$700</w:t>
            </w:r>
          </w:p>
        </w:tc>
        <w:tc>
          <w:tcPr/>
          <w:p>
            <w:pPr>
              <w:pStyle w:val="Compact"/>
              <w:jc w:val="left"/>
            </w:pPr>
            <w:r>
              <w:t xml:space="preserve">-</w:t>
            </w:r>
          </w:p>
        </w:tc>
      </w:tr>
      <w:tr>
        <w:tc>
          <w:tcPr/>
          <w:p>
            <w:pPr>
              <w:pStyle w:val="Compact"/>
              <w:jc w:val="left"/>
            </w:pPr>
            <w:r>
              <w:rPr>
                <w:bCs/>
                <w:b/>
              </w:rPr>
              <w:t xml:space="preserve">NDR</w:t>
            </w:r>
          </w:p>
        </w:tc>
        <w:tc>
          <w:tcPr/>
          <w:p>
            <w:pPr>
              <w:pStyle w:val="Compact"/>
              <w:jc w:val="left"/>
            </w:pPr>
            <w:r>
              <w:t xml:space="preserve">110%</w:t>
            </w:r>
          </w:p>
        </w:tc>
        <w:tc>
          <w:tcPr/>
          <w:p>
            <w:pPr>
              <w:pStyle w:val="Compact"/>
              <w:jc w:val="left"/>
            </w:pPr>
            <w:r>
              <w:t xml:space="preserve">125%</w:t>
            </w:r>
          </w:p>
        </w:tc>
        <w:tc>
          <w:tcPr/>
          <w:p>
            <w:pPr>
              <w:pStyle w:val="Compact"/>
              <w:jc w:val="left"/>
            </w:pPr>
            <w:r>
              <w:t xml:space="preserve">135%</w:t>
            </w:r>
          </w:p>
        </w:tc>
        <w:tc>
          <w:tcPr/>
          <w:p>
            <w:pPr>
              <w:pStyle w:val="Compact"/>
              <w:jc w:val="left"/>
            </w:pPr>
            <w:r>
              <w:t xml:space="preserve">-</w:t>
            </w:r>
          </w:p>
        </w:tc>
      </w:tr>
      <w:tr>
        <w:tc>
          <w:tcPr/>
          <w:p>
            <w:pPr>
              <w:pStyle w:val="Compact"/>
              <w:jc w:val="left"/>
            </w:pPr>
            <w:r>
              <w:rPr>
                <w:bCs/>
                <w:b/>
              </w:rPr>
              <w:t xml:space="preserve">Monthly Churn</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w:t>
            </w:r>
          </w:p>
        </w:tc>
      </w:tr>
      <w:tr>
        <w:tc>
          <w:tcPr/>
          <w:p>
            <w:pPr>
              <w:pStyle w:val="Compact"/>
              <w:jc w:val="left"/>
            </w:pPr>
            <w:r>
              <w:rPr>
                <w:bCs/>
                <w:b/>
              </w:rPr>
              <w:t xml:space="preserve">Annual Churn</w:t>
            </w:r>
          </w:p>
        </w:tc>
        <w:tc>
          <w:tcPr/>
          <w:p>
            <w:pPr>
              <w:pStyle w:val="Compact"/>
              <w:jc w:val="left"/>
            </w:pPr>
            <w:r>
              <w:t xml:space="preserve">46%</w:t>
            </w:r>
          </w:p>
        </w:tc>
        <w:tc>
          <w:tcPr/>
          <w:p>
            <w:pPr>
              <w:pStyle w:val="Compact"/>
              <w:jc w:val="left"/>
            </w:pPr>
            <w:r>
              <w:t xml:space="preserve">39%</w:t>
            </w:r>
          </w:p>
        </w:tc>
        <w:tc>
          <w:tcPr/>
          <w:p>
            <w:pPr>
              <w:pStyle w:val="Compact"/>
              <w:jc w:val="left"/>
            </w:pPr>
            <w:r>
              <w:t xml:space="preserve">31%</w:t>
            </w:r>
          </w:p>
        </w:tc>
        <w:tc>
          <w:tcPr/>
          <w:p>
            <w:pPr>
              <w:pStyle w:val="Compact"/>
              <w:jc w:val="left"/>
            </w:pPr>
            <w:r>
              <w:t xml:space="preserve">-</w:t>
            </w:r>
          </w:p>
        </w:tc>
      </w:tr>
      <w:tr>
        <w:tc>
          <w:tcPr/>
          <w:p>
            <w:pPr>
              <w:pStyle w:val="Compact"/>
              <w:jc w:val="left"/>
            </w:pPr>
            <w:r>
              <w:rPr>
                <w:bCs/>
                <w:b/>
              </w:rPr>
              <w:t xml:space="preserve">Operating Expenses</w:t>
            </w:r>
          </w:p>
        </w:tc>
        <w:tc>
          <w:tcPr/>
          <w:p>
            <w:pPr>
              <w:pStyle w:val="Compact"/>
              <w:jc w:val="left"/>
            </w:pPr>
            <w:r>
              <w:t xml:space="preserve">$720,000</w:t>
            </w:r>
          </w:p>
        </w:tc>
        <w:tc>
          <w:tcPr/>
          <w:p>
            <w:pPr>
              <w:pStyle w:val="Compact"/>
              <w:jc w:val="left"/>
            </w:pPr>
            <w:r>
              <w:t xml:space="preserve">$2,400,000</w:t>
            </w:r>
          </w:p>
        </w:tc>
        <w:tc>
          <w:tcPr/>
          <w:p>
            <w:pPr>
              <w:pStyle w:val="Compact"/>
              <w:jc w:val="left"/>
            </w:pPr>
            <w:r>
              <w:t xml:space="preserve">$6,400,000</w:t>
            </w:r>
          </w:p>
        </w:tc>
        <w:tc>
          <w:tcPr/>
          <w:p>
            <w:pPr>
              <w:pStyle w:val="Compact"/>
              <w:jc w:val="left"/>
            </w:pPr>
            <w:r>
              <w:t xml:space="preserve">-</w:t>
            </w:r>
          </w:p>
        </w:tc>
      </w:tr>
      <w:tr>
        <w:tc>
          <w:tcPr/>
          <w:p>
            <w:pPr>
              <w:pStyle w:val="Compact"/>
              <w:jc w:val="left"/>
            </w:pPr>
            <w:r>
              <w:rPr>
                <w:bCs/>
                <w:b/>
              </w:rPr>
              <w:t xml:space="preserve">Net Income</w:t>
            </w:r>
          </w:p>
        </w:tc>
        <w:tc>
          <w:tcPr/>
          <w:p>
            <w:pPr>
              <w:pStyle w:val="Compact"/>
              <w:jc w:val="left"/>
            </w:pPr>
            <w:r>
              <w:t xml:space="preserve">($251,250)</w:t>
            </w:r>
          </w:p>
        </w:tc>
        <w:tc>
          <w:tcPr/>
          <w:p>
            <w:pPr>
              <w:pStyle w:val="Compact"/>
              <w:jc w:val="left"/>
            </w:pPr>
            <w:r>
              <w:t xml:space="preserve">$720,000</w:t>
            </w:r>
          </w:p>
        </w:tc>
        <w:tc>
          <w:tcPr/>
          <w:p>
            <w:pPr>
              <w:pStyle w:val="Compact"/>
              <w:jc w:val="left"/>
            </w:pPr>
            <w:r>
              <w:t xml:space="preserve">$5,490,000</w:t>
            </w:r>
          </w:p>
        </w:tc>
        <w:tc>
          <w:tcPr/>
          <w:p>
            <w:pPr>
              <w:pStyle w:val="Compact"/>
              <w:jc w:val="left"/>
            </w:pPr>
            <w:r>
              <w:t xml:space="preserve">-</w:t>
            </w:r>
          </w:p>
        </w:tc>
      </w:tr>
      <w:tr>
        <w:tc>
          <w:tcPr/>
          <w:p>
            <w:pPr>
              <w:pStyle w:val="Compact"/>
              <w:jc w:val="left"/>
            </w:pPr>
            <w:r>
              <w:rPr>
                <w:bCs/>
                <w:b/>
              </w:rPr>
              <w:t xml:space="preserve">Net Margin</w:t>
            </w:r>
          </w:p>
        </w:tc>
        <w:tc>
          <w:tcPr/>
          <w:p>
            <w:pPr>
              <w:pStyle w:val="Compact"/>
              <w:jc w:val="left"/>
            </w:pPr>
            <w:r>
              <w:t xml:space="preserve">(40%)</w:t>
            </w:r>
          </w:p>
        </w:tc>
        <w:tc>
          <w:tcPr/>
          <w:p>
            <w:pPr>
              <w:pStyle w:val="Compact"/>
              <w:jc w:val="left"/>
            </w:pPr>
            <w:r>
              <w:t xml:space="preserve">18%</w:t>
            </w:r>
          </w:p>
        </w:tc>
        <w:tc>
          <w:tcPr/>
          <w:p>
            <w:pPr>
              <w:pStyle w:val="Compact"/>
              <w:jc w:val="left"/>
            </w:pPr>
            <w:r>
              <w:t xml:space="preserve">38%</w:t>
            </w:r>
          </w:p>
        </w:tc>
        <w:tc>
          <w:tcPr/>
          <w:p>
            <w:pPr>
              <w:pStyle w:val="Compact"/>
              <w:jc w:val="left"/>
            </w:pPr>
            <w:r>
              <w:t xml:space="preserve">-</w:t>
            </w:r>
          </w:p>
        </w:tc>
      </w:tr>
      <w:tr>
        <w:tc>
          <w:tcPr/>
          <w:p>
            <w:pPr>
              <w:pStyle w:val="Compact"/>
              <w:jc w:val="left"/>
            </w:pPr>
            <w:r>
              <w:rPr>
                <w:bCs/>
                <w:b/>
              </w:rPr>
              <w:t xml:space="preserve">Runway Required</w:t>
            </w:r>
          </w:p>
        </w:tc>
        <w:tc>
          <w:tcPr/>
          <w:p>
            <w:pPr>
              <w:pStyle w:val="Compact"/>
              <w:jc w:val="left"/>
            </w:pPr>
            <w:r>
              <w:t xml:space="preserve">$1.5M seed</w:t>
            </w:r>
          </w:p>
        </w:tc>
        <w:tc>
          <w:tcPr/>
          <w:p>
            <w:pPr>
              <w:pStyle w:val="Compact"/>
              <w:jc w:val="left"/>
            </w:pPr>
            <w:r>
              <w:t xml:space="preserve">$2M Series A</w:t>
            </w:r>
          </w:p>
        </w:tc>
        <w:tc>
          <w:tcPr/>
          <w:p>
            <w:pPr>
              <w:pStyle w:val="Compact"/>
              <w:jc w:val="left"/>
            </w:pPr>
            <w:r>
              <w:t xml:space="preserve">-</w:t>
            </w:r>
          </w:p>
        </w:tc>
        <w:tc>
          <w:tcPr/>
          <w:p>
            <w:pPr>
              <w:pStyle w:val="Compact"/>
              <w:jc w:val="left"/>
            </w:pPr>
            <w:r>
              <w:t xml:space="preserve">-</w:t>
            </w:r>
          </w:p>
        </w:tc>
      </w:tr>
    </w:tbl>
    <w:p>
      <w:pPr>
        <w:pStyle w:val="BodyText"/>
      </w:pPr>
      <w:r>
        <w:rPr>
          <w:bCs/>
          <w:b/>
        </w:rPr>
        <w:t xml:space="preserve">Year 1: Foundation and Product-Market Fit</w:t>
      </w:r>
      <w:r>
        <w:t xml:space="preserve"> </w:t>
      </w:r>
      <w:r>
        <w:t xml:space="preserve">($600K ARR)</w:t>
      </w:r>
    </w:p>
    <w:p>
      <w:pPr>
        <w:pStyle w:val="BodyText"/>
      </w:pPr>
      <w:r>
        <w:t xml:space="preserve">Year 1 is exclusively about validation and momentum. Revenue is secondary to retention metrics, activation rates, and NPS. The $600K ARR target assumes 350 paying customers at an average of $143/month, heavily weighted toward the Growth tier in H1 and shifting to Scale/Accelerate in H2 as agencies onboard.</w:t>
      </w:r>
    </w:p>
    <w:p>
      <w:pPr>
        <w:pStyle w:val="BodyText"/>
      </w:pPr>
      <w:r>
        <w:t xml:space="preserve">Key Year 1 assumptions:</w:t>
      </w:r>
      <w:r>
        <w:t xml:space="preserve"> </w:t>
      </w:r>
      <w:r>
        <w:t xml:space="preserve">- 60% of customers on Growth tier, 30% on Scale, 10% on Accelerate</w:t>
      </w:r>
      <w:r>
        <w:t xml:space="preserve"> </w:t>
      </w:r>
      <w:r>
        <w:t xml:space="preserve">- 5% monthly churn (higher in early months as product-market fit tightens)</w:t>
      </w:r>
      <w:r>
        <w:t xml:space="preserve"> </w:t>
      </w:r>
      <w:r>
        <w:t xml:space="preserve">- $1,250 blended CAC with 70% organic/referral, 30% paid</w:t>
      </w:r>
      <w:r>
        <w:t xml:space="preserve"> </w:t>
      </w:r>
      <w:r>
        <w:t xml:space="preserve">- Team: 5-7 employees (engineering-heavy)</w:t>
      </w:r>
      <w:r>
        <w:t xml:space="preserve"> </w:t>
      </w:r>
      <w:r>
        <w:t xml:space="preserve">- Cash consumption: ~$720K against $625K gross revenue = $95K monthly burn at peak</w:t>
      </w:r>
    </w:p>
    <w:p>
      <w:pPr>
        <w:pStyle w:val="BodyText"/>
      </w:pPr>
      <w:r>
        <w:rPr>
          <w:bCs/>
          <w:b/>
        </w:rPr>
        <w:t xml:space="preserve">Year 2: Scale and Expansion</w:t>
      </w:r>
      <w:r>
        <w:t xml:space="preserve"> </w:t>
      </w:r>
      <w:r>
        <w:t xml:space="preserve">($3.6M ARR)</w:t>
      </w:r>
    </w:p>
    <w:p>
      <w:pPr>
        <w:pStyle w:val="BodyText"/>
      </w:pPr>
      <w:r>
        <w:t xml:space="preserve">Year 2 is the inflection point. Agency partnerships mature, MCP network effects compound, and content SEO reaches 50K monthly visits. The NDR improves to 125% as expansion revenue from add-ons and upgrades exceeds churn. CAC declines to $900 due to brand recognition and organic channels scaling.</w:t>
      </w:r>
    </w:p>
    <w:p>
      <w:pPr>
        <w:pStyle w:val="BodyText"/>
      </w:pPr>
      <w:r>
        <w:t xml:space="preserve">Key Year 2 milestones:</w:t>
      </w:r>
      <w:r>
        <w:t xml:space="preserve"> </w:t>
      </w:r>
      <w:r>
        <w:t xml:space="preserve">- First profitable month by Month 15</w:t>
      </w:r>
      <w:r>
        <w:t xml:space="preserve"> </w:t>
      </w:r>
      <w:r>
        <w:t xml:space="preserve">- Agency partner program contributes 30% of new ARR</w:t>
      </w:r>
      <w:r>
        <w:t xml:space="preserve"> </w:t>
      </w:r>
      <w:r>
        <w:t xml:space="preserve">- MCP server drives 25% of organic signups</w:t>
      </w:r>
      <w:r>
        <w:t xml:space="preserve"> </w:t>
      </w:r>
      <w:r>
        <w:t xml:space="preserve">- First enterprise pilots ($25K+ ACV) close</w:t>
      </w:r>
      <w:r>
        <w:t xml:space="preserve"> </w:t>
      </w:r>
      <w:r>
        <w:t xml:space="preserve">- Team: 15-20 employees across product, engineering, success, and sales</w:t>
      </w:r>
    </w:p>
    <w:p>
      <w:pPr>
        <w:pStyle w:val="BodyText"/>
      </w:pPr>
      <w:r>
        <w:rPr>
          <w:bCs/>
          <w:b/>
        </w:rPr>
        <w:t xml:space="preserve">Year 3: Market Leadership</w:t>
      </w:r>
      <w:r>
        <w:t xml:space="preserve"> </w:t>
      </w:r>
      <w:r>
        <w:t xml:space="preserve">($12.8M ARR)</w:t>
      </w:r>
    </w:p>
    <w:p>
      <w:pPr>
        <w:pStyle w:val="BodyText"/>
      </w:pPr>
      <w:r>
        <w:t xml:space="preserve">Year 3 positions AdNexus as the category leader in AI-native campaign management. The MCP ecosystem has achieved self-sustaining growth, the agency channel operates at scale, and enterprise becomes a material revenue contributor.</w:t>
      </w:r>
    </w:p>
    <w:p>
      <w:pPr>
        <w:pStyle w:val="BodyText"/>
      </w:pPr>
      <w:r>
        <w:t xml:space="preserve">Key Year 3 milestones:</w:t>
      </w:r>
      <w:r>
        <w:t xml:space="preserve"> </w:t>
      </w:r>
      <w:r>
        <w:t xml:space="preserve">- 8,000 total users, 6,400 paying</w:t>
      </w:r>
      <w:r>
        <w:t xml:space="preserve"> </w:t>
      </w:r>
      <w:r>
        <w:t xml:space="preserve">- NDR of 135% driven by outcome-based pricing and enterprise expansion</w:t>
      </w:r>
      <w:r>
        <w:t xml:space="preserve"> </w:t>
      </w:r>
      <w:r>
        <w:t xml:space="preserve">- Gross margin of 82% as infrastructure costs amortize</w:t>
      </w:r>
      <w:r>
        <w:t xml:space="preserve"> </w:t>
      </w:r>
      <w:r>
        <w:t xml:space="preserve">- Net margin of 38% with $5.5M net income</w:t>
      </w:r>
      <w:r>
        <w:t xml:space="preserve"> </w:t>
      </w:r>
      <w:r>
        <w:t xml:space="preserve">- Clear path to $50M ARR by Year 5</w:t>
      </w:r>
    </w:p>
    <w:bookmarkEnd w:id="78"/>
    <w:bookmarkStart w:id="79" w:name="monthly-revenue-trajectory-year-1-detail"/>
    <w:p>
      <w:pPr>
        <w:pStyle w:val="Heading3"/>
      </w:pPr>
      <w:r>
        <w:t xml:space="preserve">10.6 Monthly Revenue Trajectory (Year 1 Detail)</w:t>
      </w:r>
    </w:p>
    <w:tbl>
      <w:tblPr>
        <w:tblStyle w:val="Table"/>
        <w:tblW w:type="pct" w:w="5000"/>
        <w:tblLook w:firstRow="1" w:lastRow="0" w:firstColumn="0" w:lastColumn="0" w:noHBand="0" w:noVBand="0" w:val="0020"/>
      </w:tblPr>
      <w:tblGrid>
        <w:gridCol w:w="840"/>
        <w:gridCol w:w="1080"/>
        <w:gridCol w:w="1560"/>
        <w:gridCol w:w="1080"/>
        <w:gridCol w:w="1920"/>
        <w:gridCol w:w="1440"/>
      </w:tblGrid>
      <w:tr>
        <w:trPr>
          <w:tblHeader w:val="true"/>
        </w:trPr>
        <w:tc>
          <w:tcPr/>
          <w:p>
            <w:pPr>
              <w:pStyle w:val="Compact"/>
              <w:jc w:val="left"/>
            </w:pPr>
            <w:r>
              <w:t xml:space="preserve">Month</w:t>
            </w:r>
          </w:p>
        </w:tc>
        <w:tc>
          <w:tcPr/>
          <w:p>
            <w:pPr>
              <w:pStyle w:val="Compact"/>
              <w:jc w:val="left"/>
            </w:pPr>
            <w:r>
              <w:t xml:space="preserve">New MRR</w:t>
            </w:r>
          </w:p>
        </w:tc>
        <w:tc>
          <w:tcPr/>
          <w:p>
            <w:pPr>
              <w:pStyle w:val="Compact"/>
              <w:jc w:val="left"/>
            </w:pPr>
            <w:r>
              <w:t xml:space="preserve">Churned MRR</w:t>
            </w:r>
          </w:p>
        </w:tc>
        <w:tc>
          <w:tcPr/>
          <w:p>
            <w:pPr>
              <w:pStyle w:val="Compact"/>
              <w:jc w:val="left"/>
            </w:pPr>
            <w:r>
              <w:t xml:space="preserve">Net MRR</w:t>
            </w:r>
          </w:p>
        </w:tc>
        <w:tc>
          <w:tcPr/>
          <w:p>
            <w:pPr>
              <w:pStyle w:val="Compact"/>
              <w:jc w:val="left"/>
            </w:pPr>
            <w:r>
              <w:t xml:space="preserve">Cumulative ARR</w:t>
            </w:r>
          </w:p>
        </w:tc>
        <w:tc>
          <w:tcPr/>
          <w:p>
            <w:pPr>
              <w:pStyle w:val="Compact"/>
              <w:jc w:val="left"/>
            </w:pPr>
            <w:r>
              <w:t xml:space="preserve">Key Driver</w:t>
            </w:r>
          </w:p>
        </w:tc>
      </w:tr>
      <w:tr>
        <w:tc>
          <w:tcPr/>
          <w:p>
            <w:pPr>
              <w:pStyle w:val="Compact"/>
              <w:jc w:val="left"/>
            </w:pPr>
            <w:r>
              <w:t xml:space="preserve">1</w:t>
            </w:r>
          </w:p>
        </w:tc>
        <w:tc>
          <w:tcPr/>
          <w:p>
            <w:pPr>
              <w:pStyle w:val="Compact"/>
              <w:jc w:val="left"/>
            </w:pPr>
            <w:r>
              <w:t xml:space="preserve">$2,000</w:t>
            </w:r>
          </w:p>
        </w:tc>
        <w:tc>
          <w:tcPr/>
          <w:p>
            <w:pPr>
              <w:pStyle w:val="Compact"/>
              <w:jc w:val="left"/>
            </w:pPr>
            <w:r>
              <w:t xml:space="preserve">$0</w:t>
            </w:r>
          </w:p>
        </w:tc>
        <w:tc>
          <w:tcPr/>
          <w:p>
            <w:pPr>
              <w:pStyle w:val="Compact"/>
              <w:jc w:val="left"/>
            </w:pPr>
            <w:r>
              <w:t xml:space="preserve">$2,000</w:t>
            </w:r>
          </w:p>
        </w:tc>
        <w:tc>
          <w:tcPr/>
          <w:p>
            <w:pPr>
              <w:pStyle w:val="Compact"/>
              <w:jc w:val="left"/>
            </w:pPr>
            <w:r>
              <w:t xml:space="preserve">$24,000</w:t>
            </w:r>
          </w:p>
        </w:tc>
        <w:tc>
          <w:tcPr/>
          <w:p>
            <w:pPr>
              <w:pStyle w:val="Compact"/>
              <w:jc w:val="left"/>
            </w:pPr>
            <w:r>
              <w:t xml:space="preserve">Beta design partners convert</w:t>
            </w:r>
          </w:p>
        </w:tc>
      </w:tr>
      <w:tr>
        <w:tc>
          <w:tcPr/>
          <w:p>
            <w:pPr>
              <w:pStyle w:val="Compact"/>
              <w:jc w:val="left"/>
            </w:pPr>
            <w:r>
              <w:t xml:space="preserve">2</w:t>
            </w:r>
          </w:p>
        </w:tc>
        <w:tc>
          <w:tcPr/>
          <w:p>
            <w:pPr>
              <w:pStyle w:val="Compact"/>
              <w:jc w:val="left"/>
            </w:pPr>
            <w:r>
              <w:t xml:space="preserve">$3,000</w:t>
            </w:r>
          </w:p>
        </w:tc>
        <w:tc>
          <w:tcPr/>
          <w:p>
            <w:pPr>
              <w:pStyle w:val="Compact"/>
              <w:jc w:val="left"/>
            </w:pPr>
            <w:r>
              <w:t xml:space="preserve">$100</w:t>
            </w:r>
          </w:p>
        </w:tc>
        <w:tc>
          <w:tcPr/>
          <w:p>
            <w:pPr>
              <w:pStyle w:val="Compact"/>
              <w:jc w:val="left"/>
            </w:pPr>
            <w:r>
              <w:t xml:space="preserve">$2,900</w:t>
            </w:r>
          </w:p>
        </w:tc>
        <w:tc>
          <w:tcPr/>
          <w:p>
            <w:pPr>
              <w:pStyle w:val="Compact"/>
              <w:jc w:val="left"/>
            </w:pPr>
            <w:r>
              <w:t xml:space="preserve">$34,800</w:t>
            </w:r>
          </w:p>
        </w:tc>
        <w:tc>
          <w:tcPr/>
          <w:p>
            <w:pPr>
              <w:pStyle w:val="Compact"/>
              <w:jc w:val="left"/>
            </w:pPr>
            <w:r>
              <w:t xml:space="preserve">PH launch, 100 signups</w:t>
            </w:r>
          </w:p>
        </w:tc>
      </w:tr>
      <w:tr>
        <w:tc>
          <w:tcPr/>
          <w:p>
            <w:pPr>
              <w:pStyle w:val="Compact"/>
              <w:jc w:val="left"/>
            </w:pPr>
            <w:r>
              <w:t xml:space="preserve">3</w:t>
            </w:r>
          </w:p>
        </w:tc>
        <w:tc>
          <w:tcPr/>
          <w:p>
            <w:pPr>
              <w:pStyle w:val="Compact"/>
              <w:jc w:val="left"/>
            </w:pPr>
            <w:r>
              <w:t xml:space="preserve">$5,000</w:t>
            </w:r>
          </w:p>
        </w:tc>
        <w:tc>
          <w:tcPr/>
          <w:p>
            <w:pPr>
              <w:pStyle w:val="Compact"/>
              <w:jc w:val="left"/>
            </w:pPr>
            <w:r>
              <w:t xml:space="preserve">$200</w:t>
            </w:r>
          </w:p>
        </w:tc>
        <w:tc>
          <w:tcPr/>
          <w:p>
            <w:pPr>
              <w:pStyle w:val="Compact"/>
              <w:jc w:val="left"/>
            </w:pPr>
            <w:r>
              <w:t xml:space="preserve">$4,800</w:t>
            </w:r>
          </w:p>
        </w:tc>
        <w:tc>
          <w:tcPr/>
          <w:p>
            <w:pPr>
              <w:pStyle w:val="Compact"/>
              <w:jc w:val="left"/>
            </w:pPr>
            <w:r>
              <w:t xml:space="preserve">$57,600</w:t>
            </w:r>
          </w:p>
        </w:tc>
        <w:tc>
          <w:tcPr/>
          <w:p>
            <w:pPr>
              <w:pStyle w:val="Compact"/>
              <w:jc w:val="left"/>
            </w:pPr>
            <w:r>
              <w:t xml:space="preserve">PH + HN traffic surge</w:t>
            </w:r>
          </w:p>
        </w:tc>
      </w:tr>
      <w:tr>
        <w:tc>
          <w:tcPr/>
          <w:p>
            <w:pPr>
              <w:pStyle w:val="Compact"/>
              <w:jc w:val="left"/>
            </w:pPr>
            <w:r>
              <w:t xml:space="preserve">4</w:t>
            </w:r>
          </w:p>
        </w:tc>
        <w:tc>
          <w:tcPr/>
          <w:p>
            <w:pPr>
              <w:pStyle w:val="Compact"/>
              <w:jc w:val="left"/>
            </w:pPr>
            <w:r>
              <w:t xml:space="preserve">$4,500</w:t>
            </w:r>
          </w:p>
        </w:tc>
        <w:tc>
          <w:tcPr/>
          <w:p>
            <w:pPr>
              <w:pStyle w:val="Compact"/>
              <w:jc w:val="left"/>
            </w:pPr>
            <w:r>
              <w:t xml:space="preserve">$300</w:t>
            </w:r>
          </w:p>
        </w:tc>
        <w:tc>
          <w:tcPr/>
          <w:p>
            <w:pPr>
              <w:pStyle w:val="Compact"/>
              <w:jc w:val="left"/>
            </w:pPr>
            <w:r>
              <w:t xml:space="preserve">$4,200</w:t>
            </w:r>
          </w:p>
        </w:tc>
        <w:tc>
          <w:tcPr/>
          <w:p>
            <w:pPr>
              <w:pStyle w:val="Compact"/>
              <w:jc w:val="left"/>
            </w:pPr>
            <w:r>
              <w:t xml:space="preserve">$50,400</w:t>
            </w:r>
          </w:p>
        </w:tc>
        <w:tc>
          <w:tcPr/>
          <w:p>
            <w:pPr>
              <w:pStyle w:val="Compact"/>
              <w:jc w:val="left"/>
            </w:pPr>
            <w:r>
              <w:t xml:space="preserve">MCP release, developer adoption</w:t>
            </w:r>
          </w:p>
        </w:tc>
      </w:tr>
      <w:tr>
        <w:tc>
          <w:tcPr/>
          <w:p>
            <w:pPr>
              <w:pStyle w:val="Compact"/>
              <w:jc w:val="left"/>
            </w:pPr>
            <w:r>
              <w:t xml:space="preserve">5</w:t>
            </w:r>
          </w:p>
        </w:tc>
        <w:tc>
          <w:tcPr/>
          <w:p>
            <w:pPr>
              <w:pStyle w:val="Compact"/>
              <w:jc w:val="left"/>
            </w:pPr>
            <w:r>
              <w:t xml:space="preserve">$4,000</w:t>
            </w:r>
          </w:p>
        </w:tc>
        <w:tc>
          <w:tcPr/>
          <w:p>
            <w:pPr>
              <w:pStyle w:val="Compact"/>
              <w:jc w:val="left"/>
            </w:pPr>
            <w:r>
              <w:t xml:space="preserve">$350</w:t>
            </w:r>
          </w:p>
        </w:tc>
        <w:tc>
          <w:tcPr/>
          <w:p>
            <w:pPr>
              <w:pStyle w:val="Compact"/>
              <w:jc w:val="left"/>
            </w:pPr>
            <w:r>
              <w:t xml:space="preserve">$3,650</w:t>
            </w:r>
          </w:p>
        </w:tc>
        <w:tc>
          <w:tcPr/>
          <w:p>
            <w:pPr>
              <w:pStyle w:val="Compact"/>
              <w:jc w:val="left"/>
            </w:pPr>
            <w:r>
              <w:t xml:space="preserve">$43,800</w:t>
            </w:r>
          </w:p>
        </w:tc>
        <w:tc>
          <w:tcPr/>
          <w:p>
            <w:pPr>
              <w:pStyle w:val="Compact"/>
              <w:jc w:val="left"/>
            </w:pPr>
            <w:r>
              <w:t xml:space="preserve">PLG optimization</w:t>
            </w:r>
          </w:p>
        </w:tc>
      </w:tr>
      <w:tr>
        <w:tc>
          <w:tcPr/>
          <w:p>
            <w:pPr>
              <w:pStyle w:val="Compact"/>
              <w:jc w:val="left"/>
            </w:pPr>
            <w:r>
              <w:t xml:space="preserve">6</w:t>
            </w:r>
          </w:p>
        </w:tc>
        <w:tc>
          <w:tcPr/>
          <w:p>
            <w:pPr>
              <w:pStyle w:val="Compact"/>
              <w:jc w:val="left"/>
            </w:pPr>
            <w:r>
              <w:t xml:space="preserve">$5,500</w:t>
            </w:r>
          </w:p>
        </w:tc>
        <w:tc>
          <w:tcPr/>
          <w:p>
            <w:pPr>
              <w:pStyle w:val="Compact"/>
              <w:jc w:val="left"/>
            </w:pPr>
            <w:r>
              <w:t xml:space="preserve">$400</w:t>
            </w:r>
          </w:p>
        </w:tc>
        <w:tc>
          <w:tcPr/>
          <w:p>
            <w:pPr>
              <w:pStyle w:val="Compact"/>
              <w:jc w:val="left"/>
            </w:pPr>
            <w:r>
              <w:t xml:space="preserve">$5,100</w:t>
            </w:r>
          </w:p>
        </w:tc>
        <w:tc>
          <w:tcPr/>
          <w:p>
            <w:pPr>
              <w:pStyle w:val="Compact"/>
              <w:jc w:val="left"/>
            </w:pPr>
            <w:r>
              <w:t xml:space="preserve">$61,200</w:t>
            </w:r>
          </w:p>
        </w:tc>
        <w:tc>
          <w:tcPr/>
          <w:p>
            <w:pPr>
              <w:pStyle w:val="Compact"/>
              <w:jc w:val="left"/>
            </w:pPr>
            <w:r>
              <w:t xml:space="preserve">First agency partners onboard</w:t>
            </w:r>
          </w:p>
        </w:tc>
      </w:tr>
      <w:tr>
        <w:tc>
          <w:tcPr/>
          <w:p>
            <w:pPr>
              <w:pStyle w:val="Compact"/>
              <w:jc w:val="left"/>
            </w:pPr>
            <w:r>
              <w:t xml:space="preserve">7</w:t>
            </w:r>
          </w:p>
        </w:tc>
        <w:tc>
          <w:tcPr/>
          <w:p>
            <w:pPr>
              <w:pStyle w:val="Compact"/>
              <w:jc w:val="left"/>
            </w:pPr>
            <w:r>
              <w:t xml:space="preserve">$6,000</w:t>
            </w:r>
          </w:p>
        </w:tc>
        <w:tc>
          <w:tcPr/>
          <w:p>
            <w:pPr>
              <w:pStyle w:val="Compact"/>
              <w:jc w:val="left"/>
            </w:pPr>
            <w:r>
              <w:t xml:space="preserve">$450</w:t>
            </w:r>
          </w:p>
        </w:tc>
        <w:tc>
          <w:tcPr/>
          <w:p>
            <w:pPr>
              <w:pStyle w:val="Compact"/>
              <w:jc w:val="left"/>
            </w:pPr>
            <w:r>
              <w:t xml:space="preserve">$5,550</w:t>
            </w:r>
          </w:p>
        </w:tc>
        <w:tc>
          <w:tcPr/>
          <w:p>
            <w:pPr>
              <w:pStyle w:val="Compact"/>
              <w:jc w:val="left"/>
            </w:pPr>
            <w:r>
              <w:t xml:space="preserve">$66,600</w:t>
            </w:r>
          </w:p>
        </w:tc>
        <w:tc>
          <w:tcPr/>
          <w:p>
            <w:pPr>
              <w:pStyle w:val="Compact"/>
              <w:jc w:val="left"/>
            </w:pPr>
            <w:r>
              <w:t xml:space="preserve">Content SEO begins converting</w:t>
            </w:r>
          </w:p>
        </w:tc>
      </w:tr>
      <w:tr>
        <w:tc>
          <w:tcPr/>
          <w:p>
            <w:pPr>
              <w:pStyle w:val="Compact"/>
              <w:jc w:val="left"/>
            </w:pPr>
            <w:r>
              <w:t xml:space="preserve">8</w:t>
            </w:r>
          </w:p>
        </w:tc>
        <w:tc>
          <w:tcPr/>
          <w:p>
            <w:pPr>
              <w:pStyle w:val="Compact"/>
              <w:jc w:val="left"/>
            </w:pPr>
            <w:r>
              <w:t xml:space="preserve">$5,500</w:t>
            </w:r>
          </w:p>
        </w:tc>
        <w:tc>
          <w:tcPr/>
          <w:p>
            <w:pPr>
              <w:pStyle w:val="Compact"/>
              <w:jc w:val="left"/>
            </w:pPr>
            <w:r>
              <w:t xml:space="preserve">$500</w:t>
            </w:r>
          </w:p>
        </w:tc>
        <w:tc>
          <w:tcPr/>
          <w:p>
            <w:pPr>
              <w:pStyle w:val="Compact"/>
              <w:jc w:val="left"/>
            </w:pPr>
            <w:r>
              <w:t xml:space="preserve">$5,000</w:t>
            </w:r>
          </w:p>
        </w:tc>
        <w:tc>
          <w:tcPr/>
          <w:p>
            <w:pPr>
              <w:pStyle w:val="Compact"/>
              <w:jc w:val="left"/>
            </w:pPr>
            <w:r>
              <w:t xml:space="preserve">$60,000</w:t>
            </w:r>
          </w:p>
        </w:tc>
        <w:tc>
          <w:tcPr/>
          <w:p>
            <w:pPr>
              <w:pStyle w:val="Compact"/>
              <w:jc w:val="left"/>
            </w:pPr>
            <w:r>
              <w:t xml:space="preserve">Summer slowdown</w:t>
            </w:r>
          </w:p>
        </w:tc>
      </w:tr>
      <w:tr>
        <w:tc>
          <w:tcPr/>
          <w:p>
            <w:pPr>
              <w:pStyle w:val="Compact"/>
              <w:jc w:val="left"/>
            </w:pPr>
            <w:r>
              <w:t xml:space="preserve">9</w:t>
            </w:r>
          </w:p>
        </w:tc>
        <w:tc>
          <w:tcPr/>
          <w:p>
            <w:pPr>
              <w:pStyle w:val="Compact"/>
              <w:jc w:val="left"/>
            </w:pPr>
            <w:r>
              <w:t xml:space="preserve">$7,000</w:t>
            </w:r>
          </w:p>
        </w:tc>
        <w:tc>
          <w:tcPr/>
          <w:p>
            <w:pPr>
              <w:pStyle w:val="Compact"/>
              <w:jc w:val="left"/>
            </w:pPr>
            <w:r>
              <w:t xml:space="preserve">$550</w:t>
            </w:r>
          </w:p>
        </w:tc>
        <w:tc>
          <w:tcPr/>
          <w:p>
            <w:pPr>
              <w:pStyle w:val="Compact"/>
              <w:jc w:val="left"/>
            </w:pPr>
            <w:r>
              <w:t xml:space="preserve">$6,450</w:t>
            </w:r>
          </w:p>
        </w:tc>
        <w:tc>
          <w:tcPr/>
          <w:p>
            <w:pPr>
              <w:pStyle w:val="Compact"/>
              <w:jc w:val="left"/>
            </w:pPr>
            <w:r>
              <w:t xml:space="preserve">$77,400</w:t>
            </w:r>
          </w:p>
        </w:tc>
        <w:tc>
          <w:tcPr/>
          <w:p>
            <w:pPr>
              <w:pStyle w:val="Compact"/>
              <w:jc w:val="left"/>
            </w:pPr>
            <w:r>
              <w:t xml:space="preserve">Agency program scales</w:t>
            </w:r>
          </w:p>
        </w:tc>
      </w:tr>
      <w:tr>
        <w:tc>
          <w:tcPr/>
          <w:p>
            <w:pPr>
              <w:pStyle w:val="Compact"/>
              <w:jc w:val="left"/>
            </w:pPr>
            <w:r>
              <w:t xml:space="preserve">10</w:t>
            </w:r>
          </w:p>
        </w:tc>
        <w:tc>
          <w:tcPr/>
          <w:p>
            <w:pPr>
              <w:pStyle w:val="Compact"/>
              <w:jc w:val="left"/>
            </w:pPr>
            <w:r>
              <w:t xml:space="preserve">$6,500</w:t>
            </w:r>
          </w:p>
        </w:tc>
        <w:tc>
          <w:tcPr/>
          <w:p>
            <w:pPr>
              <w:pStyle w:val="Compact"/>
              <w:jc w:val="left"/>
            </w:pPr>
            <w:r>
              <w:t xml:space="preserve">$600</w:t>
            </w:r>
          </w:p>
        </w:tc>
        <w:tc>
          <w:tcPr/>
          <w:p>
            <w:pPr>
              <w:pStyle w:val="Compact"/>
              <w:jc w:val="left"/>
            </w:pPr>
            <w:r>
              <w:t xml:space="preserve">$5,900</w:t>
            </w:r>
          </w:p>
        </w:tc>
        <w:tc>
          <w:tcPr/>
          <w:p>
            <w:pPr>
              <w:pStyle w:val="Compact"/>
              <w:jc w:val="left"/>
            </w:pPr>
            <w:r>
              <w:t xml:space="preserve">$70,800</w:t>
            </w:r>
          </w:p>
        </w:tc>
        <w:tc>
          <w:tcPr/>
          <w:p>
            <w:pPr>
              <w:pStyle w:val="Compact"/>
              <w:jc w:val="left"/>
            </w:pPr>
            <w:r>
              <w:t xml:space="preserve">Enterprise pilots begin</w:t>
            </w:r>
          </w:p>
        </w:tc>
      </w:tr>
      <w:tr>
        <w:tc>
          <w:tcPr/>
          <w:p>
            <w:pPr>
              <w:pStyle w:val="Compact"/>
              <w:jc w:val="left"/>
            </w:pPr>
            <w:r>
              <w:t xml:space="preserve">11</w:t>
            </w:r>
          </w:p>
        </w:tc>
        <w:tc>
          <w:tcPr/>
          <w:p>
            <w:pPr>
              <w:pStyle w:val="Compact"/>
              <w:jc w:val="left"/>
            </w:pPr>
            <w:r>
              <w:t xml:space="preserve">$7,500</w:t>
            </w:r>
          </w:p>
        </w:tc>
        <w:tc>
          <w:tcPr/>
          <w:p>
            <w:pPr>
              <w:pStyle w:val="Compact"/>
              <w:jc w:val="left"/>
            </w:pPr>
            <w:r>
              <w:t xml:space="preserve">$650</w:t>
            </w:r>
          </w:p>
        </w:tc>
        <w:tc>
          <w:tcPr/>
          <w:p>
            <w:pPr>
              <w:pStyle w:val="Compact"/>
              <w:jc w:val="left"/>
            </w:pPr>
            <w:r>
              <w:t xml:space="preserve">$6,850</w:t>
            </w:r>
          </w:p>
        </w:tc>
        <w:tc>
          <w:tcPr/>
          <w:p>
            <w:pPr>
              <w:pStyle w:val="Compact"/>
              <w:jc w:val="left"/>
            </w:pPr>
            <w:r>
              <w:t xml:space="preserve">$82,200</w:t>
            </w:r>
          </w:p>
        </w:tc>
        <w:tc>
          <w:tcPr/>
          <w:p>
            <w:pPr>
              <w:pStyle w:val="Compact"/>
              <w:jc w:val="left"/>
            </w:pPr>
            <w:r>
              <w:t xml:space="preserve">Q4 ad spend peak</w:t>
            </w:r>
          </w:p>
        </w:tc>
      </w:tr>
      <w:tr>
        <w:tc>
          <w:tcPr/>
          <w:p>
            <w:pPr>
              <w:pStyle w:val="Compact"/>
              <w:jc w:val="left"/>
            </w:pPr>
            <w:r>
              <w:t xml:space="preserve">12</w:t>
            </w:r>
          </w:p>
        </w:tc>
        <w:tc>
          <w:tcPr/>
          <w:p>
            <w:pPr>
              <w:pStyle w:val="Compact"/>
              <w:jc w:val="left"/>
            </w:pPr>
            <w:r>
              <w:t xml:space="preserve">$8,000</w:t>
            </w:r>
          </w:p>
        </w:tc>
        <w:tc>
          <w:tcPr/>
          <w:p>
            <w:pPr>
              <w:pStyle w:val="Compact"/>
              <w:jc w:val="left"/>
            </w:pPr>
            <w:r>
              <w:t xml:space="preserve">$700</w:t>
            </w:r>
          </w:p>
        </w:tc>
        <w:tc>
          <w:tcPr/>
          <w:p>
            <w:pPr>
              <w:pStyle w:val="Compact"/>
              <w:jc w:val="left"/>
            </w:pPr>
            <w:r>
              <w:t xml:space="preserve">$7,300</w:t>
            </w:r>
          </w:p>
        </w:tc>
        <w:tc>
          <w:tcPr/>
          <w:p>
            <w:pPr>
              <w:pStyle w:val="Compact"/>
              <w:jc w:val="left"/>
            </w:pPr>
            <w:r>
              <w:t xml:space="preserve">$87,600</w:t>
            </w:r>
          </w:p>
        </w:tc>
        <w:tc>
          <w:tcPr/>
          <w:p>
            <w:pPr>
              <w:pStyle w:val="Compact"/>
              <w:jc w:val="left"/>
            </w:pPr>
            <w:r>
              <w:t xml:space="preserve">Year-end upgrades</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$50,000</w:t>
            </w:r>
          </w:p>
        </w:tc>
        <w:tc>
          <w:tcPr/>
          <w:p>
            <w:pPr>
              <w:pStyle w:val="Compact"/>
              <w:jc w:val="left"/>
            </w:pPr>
            <w:r>
              <w:rPr>
                <w:bCs/>
                <w:b/>
              </w:rPr>
              <w:t xml:space="preserve">$600,000</w:t>
            </w:r>
          </w:p>
        </w:tc>
        <w:tc>
          <w:tcPr/>
          <w:p>
            <w:pPr>
              <w:pStyle w:val="Compact"/>
            </w:pPr>
          </w:p>
        </w:tc>
      </w:tr>
    </w:tbl>
    <w:p>
      <w:r>
        <w:pict>
          <v:rect style="width:0;height:1.5pt" o:hralign="center" o:hrstd="t" o:hr="t"/>
        </w:pict>
      </w:r>
    </w:p>
    <w:bookmarkEnd w:id="79"/>
    <w:bookmarkEnd w:id="80"/>
    <w:bookmarkStart w:id="85" w:name="success-metrics-kpis"/>
    <w:p>
      <w:pPr>
        <w:pStyle w:val="Heading2"/>
      </w:pPr>
      <w:r>
        <w:t xml:space="preserve">11. Success Metrics &amp; KPIs</w:t>
      </w:r>
    </w:p>
    <w:p>
      <w:pPr>
        <w:pStyle w:val="FirstParagraph"/>
      </w:pPr>
      <w:r>
        <w:t xml:space="preserve">The metrics framework is organized into three layers: product health, business performance, and ecosystem growth. Each metric has an owner, a measurement cadence, and a clear target threshold.</w:t>
      </w:r>
    </w:p>
    <w:bookmarkStart w:id="81" w:name="X3bc03afbd469a5fec34263063d8517e755a555e"/>
    <w:p>
      <w:pPr>
        <w:pStyle w:val="Heading3"/>
      </w:pPr>
      <w:r>
        <w:t xml:space="preserve">11.1 Product Metrics: Activation and Engagement</w:t>
      </w:r>
    </w:p>
    <w:tbl>
      <w:tblPr>
        <w:tblStyle w:val="Table"/>
        <w:tblW w:type="pct" w:w="5000"/>
        <w:tblLook w:firstRow="1" w:lastRow="0" w:firstColumn="0" w:lastColumn="0" w:noHBand="0" w:noVBand="0" w:val="0020"/>
      </w:tblPr>
      <w:tblGrid>
        <w:gridCol w:w="1218"/>
        <w:gridCol w:w="1675"/>
        <w:gridCol w:w="1218"/>
        <w:gridCol w:w="2741"/>
        <w:gridCol w:w="106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 Tool</w:t>
            </w:r>
          </w:p>
        </w:tc>
        <w:tc>
          <w:tcPr/>
          <w:p>
            <w:pPr>
              <w:pStyle w:val="Compact"/>
              <w:jc w:val="left"/>
            </w:pPr>
            <w:r>
              <w:t xml:space="preserve">Owner</w:t>
            </w:r>
          </w:p>
        </w:tc>
      </w:tr>
      <w:tr>
        <w:tc>
          <w:tcPr/>
          <w:p>
            <w:pPr>
              <w:pStyle w:val="Compact"/>
              <w:jc w:val="left"/>
            </w:pPr>
            <w:r>
              <w:rPr>
                <w:bCs/>
                <w:b/>
              </w:rPr>
              <w:t xml:space="preserve">Activation Rate</w:t>
            </w:r>
          </w:p>
        </w:tc>
        <w:tc>
          <w:tcPr/>
          <w:p>
            <w:pPr>
              <w:pStyle w:val="Compact"/>
              <w:jc w:val="left"/>
            </w:pPr>
            <w:r>
              <w:t xml:space="preserve">% of new users who create their first draft within 7 days of signup</w:t>
            </w:r>
          </w:p>
        </w:tc>
        <w:tc>
          <w:tcPr/>
          <w:p>
            <w:pPr>
              <w:pStyle w:val="Compact"/>
              <w:jc w:val="left"/>
            </w:pPr>
            <w:r>
              <w:rPr>
                <w:bCs/>
                <w:b/>
              </w:rPr>
              <w:t xml:space="preserve">40%</w:t>
            </w:r>
          </w:p>
        </w:tc>
        <w:tc>
          <w:tcPr/>
          <w:p>
            <w:pPr>
              <w:pStyle w:val="Compact"/>
              <w:jc w:val="left"/>
            </w:pPr>
            <w:r>
              <w:t xml:space="preserve">Product analytics (Amplitude/Mixpanel)</w:t>
            </w:r>
          </w:p>
        </w:tc>
        <w:tc>
          <w:tcPr/>
          <w:p>
            <w:pPr>
              <w:pStyle w:val="Compact"/>
              <w:jc w:val="left"/>
            </w:pPr>
            <w:r>
              <w:t xml:space="preserve">Head of Product</w:t>
            </w:r>
          </w:p>
        </w:tc>
      </w:tr>
      <w:tr>
        <w:tc>
          <w:tcPr/>
          <w:p>
            <w:pPr>
              <w:pStyle w:val="Compact"/>
              <w:jc w:val="left"/>
            </w:pPr>
            <w:r>
              <w:rPr>
                <w:bCs/>
                <w:b/>
              </w:rPr>
              <w:t xml:space="preserve">Approval Velocity</w:t>
            </w:r>
          </w:p>
        </w:tc>
        <w:tc>
          <w:tcPr/>
          <w:p>
            <w:pPr>
              <w:pStyle w:val="Compact"/>
              <w:jc w:val="left"/>
            </w:pPr>
            <w:r>
              <w:t xml:space="preserve">Average time from draft creation to final approval</w:t>
            </w:r>
          </w:p>
        </w:tc>
        <w:tc>
          <w:tcPr/>
          <w:p>
            <w:pPr>
              <w:pStyle w:val="Compact"/>
              <w:jc w:val="left"/>
            </w:pPr>
            <w:r>
              <w:rPr>
                <w:bCs/>
                <w:b/>
              </w:rPr>
              <w:t xml:space="preserve">&lt;4 hours</w:t>
            </w:r>
          </w:p>
        </w:tc>
        <w:tc>
          <w:tcPr/>
          <w:p>
            <w:pPr>
              <w:pStyle w:val="Compact"/>
              <w:jc w:val="left"/>
            </w:pPr>
            <w:r>
              <w:t xml:space="preserve">Workflow timestamp tracking</w:t>
            </w:r>
          </w:p>
        </w:tc>
        <w:tc>
          <w:tcPr/>
          <w:p>
            <w:pPr>
              <w:pStyle w:val="Compact"/>
              <w:jc w:val="left"/>
            </w:pPr>
            <w:r>
              <w:t xml:space="preserve">Head of Product</w:t>
            </w:r>
          </w:p>
        </w:tc>
      </w:tr>
      <w:tr>
        <w:tc>
          <w:tcPr/>
          <w:p>
            <w:pPr>
              <w:pStyle w:val="Compact"/>
              <w:jc w:val="left"/>
            </w:pPr>
            <w:r>
              <w:rPr>
                <w:bCs/>
                <w:b/>
              </w:rPr>
              <w:t xml:space="preserve">AI Adoption Rate</w:t>
            </w:r>
          </w:p>
        </w:tc>
        <w:tc>
          <w:tcPr/>
          <w:p>
            <w:pPr>
              <w:pStyle w:val="Compact"/>
              <w:jc w:val="left"/>
            </w:pPr>
            <w:r>
              <w:t xml:space="preserve">% of active campaigns with at least one AI rule enabled</w:t>
            </w:r>
          </w:p>
        </w:tc>
        <w:tc>
          <w:tcPr/>
          <w:p>
            <w:pPr>
              <w:pStyle w:val="Compact"/>
              <w:jc w:val="left"/>
            </w:pPr>
            <w:r>
              <w:rPr>
                <w:bCs/>
                <w:b/>
              </w:rPr>
              <w:t xml:space="preserve">60%</w:t>
            </w:r>
          </w:p>
        </w:tc>
        <w:tc>
          <w:tcPr/>
          <w:p>
            <w:pPr>
              <w:pStyle w:val="Compact"/>
              <w:jc w:val="left"/>
            </w:pPr>
            <w:r>
              <w:t xml:space="preserve">Feature flag + engagement tracking</w:t>
            </w:r>
          </w:p>
        </w:tc>
        <w:tc>
          <w:tcPr/>
          <w:p>
            <w:pPr>
              <w:pStyle w:val="Compact"/>
              <w:jc w:val="left"/>
            </w:pPr>
            <w:r>
              <w:t xml:space="preserve">Head of Product</w:t>
            </w:r>
          </w:p>
        </w:tc>
      </w:tr>
      <w:tr>
        <w:tc>
          <w:tcPr/>
          <w:p>
            <w:pPr>
              <w:pStyle w:val="Compact"/>
              <w:jc w:val="left"/>
            </w:pPr>
            <w:r>
              <w:rPr>
                <w:bCs/>
                <w:b/>
              </w:rPr>
              <w:t xml:space="preserve">Cross-Platform Connectivity</w:t>
            </w:r>
          </w:p>
        </w:tc>
        <w:tc>
          <w:tcPr/>
          <w:p>
            <w:pPr>
              <w:pStyle w:val="Compact"/>
              <w:jc w:val="left"/>
            </w:pPr>
            <w:r>
              <w:t xml:space="preserve">% of users with 2+ advertising platforms connected</w:t>
            </w:r>
          </w:p>
        </w:tc>
        <w:tc>
          <w:tcPr/>
          <w:p>
            <w:pPr>
              <w:pStyle w:val="Compact"/>
              <w:jc w:val="left"/>
            </w:pPr>
            <w:r>
              <w:rPr>
                <w:bCs/>
                <w:b/>
              </w:rPr>
              <w:t xml:space="preserve">50%</w:t>
            </w:r>
          </w:p>
        </w:tc>
        <w:tc>
          <w:tcPr/>
          <w:p>
            <w:pPr>
              <w:pStyle w:val="Compact"/>
              <w:jc w:val="left"/>
            </w:pPr>
            <w:r>
              <w:t xml:space="preserve">Integration telemetry</w:t>
            </w:r>
          </w:p>
        </w:tc>
        <w:tc>
          <w:tcPr/>
          <w:p>
            <w:pPr>
              <w:pStyle w:val="Compact"/>
              <w:jc w:val="left"/>
            </w:pPr>
            <w:r>
              <w:t xml:space="preserve">Head of Engineering</w:t>
            </w:r>
          </w:p>
        </w:tc>
      </w:tr>
      <w:tr>
        <w:tc>
          <w:tcPr/>
          <w:p>
            <w:pPr>
              <w:pStyle w:val="Compact"/>
              <w:jc w:val="left"/>
            </w:pPr>
            <w:r>
              <w:rPr>
                <w:bCs/>
                <w:b/>
              </w:rPr>
              <w:t xml:space="preserve">Weekly Active Users (WAU)</w:t>
            </w:r>
          </w:p>
        </w:tc>
        <w:tc>
          <w:tcPr/>
          <w:p>
            <w:pPr>
              <w:pStyle w:val="Compact"/>
              <w:jc w:val="left"/>
            </w:pPr>
            <w:r>
              <w:t xml:space="preserve">Unique users performing a core action per week</w:t>
            </w:r>
          </w:p>
        </w:tc>
        <w:tc>
          <w:tcPr/>
          <w:p>
            <w:pPr>
              <w:pStyle w:val="Compact"/>
              <w:jc w:val="left"/>
            </w:pPr>
            <w:r>
              <w:t xml:space="preserve">60% of total users</w:t>
            </w:r>
          </w:p>
        </w:tc>
        <w:tc>
          <w:tcPr/>
          <w:p>
            <w:pPr>
              <w:pStyle w:val="Compact"/>
              <w:jc w:val="left"/>
            </w:pPr>
            <w:r>
              <w:t xml:space="preserve">Session analytics</w:t>
            </w:r>
          </w:p>
        </w:tc>
        <w:tc>
          <w:tcPr/>
          <w:p>
            <w:pPr>
              <w:pStyle w:val="Compact"/>
              <w:jc w:val="left"/>
            </w:pPr>
            <w:r>
              <w:t xml:space="preserve">Head of Product</w:t>
            </w:r>
          </w:p>
        </w:tc>
      </w:tr>
      <w:tr>
        <w:tc>
          <w:tcPr/>
          <w:p>
            <w:pPr>
              <w:pStyle w:val="Compact"/>
              <w:jc w:val="left"/>
            </w:pPr>
            <w:r>
              <w:rPr>
                <w:bCs/>
                <w:b/>
              </w:rPr>
              <w:t xml:space="preserve">Morning Brief Open Rate</w:t>
            </w:r>
          </w:p>
        </w:tc>
        <w:tc>
          <w:tcPr/>
          <w:p>
            <w:pPr>
              <w:pStyle w:val="Compact"/>
              <w:jc w:val="left"/>
            </w:pPr>
            <w:r>
              <w:t xml:space="preserve">% of delivered briefs opened within 4 hours</w:t>
            </w:r>
          </w:p>
        </w:tc>
        <w:tc>
          <w:tcPr/>
          <w:p>
            <w:pPr>
              <w:pStyle w:val="Compact"/>
              <w:jc w:val="left"/>
            </w:pPr>
            <w:r>
              <w:rPr>
                <w:bCs/>
                <w:b/>
              </w:rPr>
              <w:t xml:space="preserve">65%</w:t>
            </w:r>
          </w:p>
        </w:tc>
        <w:tc>
          <w:tcPr/>
          <w:p>
            <w:pPr>
              <w:pStyle w:val="Compact"/>
              <w:jc w:val="left"/>
            </w:pPr>
            <w:r>
              <w:t xml:space="preserve">Email analytics (SendGrid/Postmark)</w:t>
            </w:r>
          </w:p>
        </w:tc>
        <w:tc>
          <w:tcPr/>
          <w:p>
            <w:pPr>
              <w:pStyle w:val="Compact"/>
              <w:jc w:val="left"/>
            </w:pPr>
            <w:r>
              <w:t xml:space="preserve">Head of Growth</w:t>
            </w:r>
          </w:p>
        </w:tc>
      </w:tr>
      <w:tr>
        <w:tc>
          <w:tcPr/>
          <w:p>
            <w:pPr>
              <w:pStyle w:val="Compact"/>
              <w:jc w:val="left"/>
            </w:pPr>
            <w:r>
              <w:rPr>
                <w:bCs/>
                <w:b/>
              </w:rPr>
              <w:t xml:space="preserve">Time-to-First-Value</w:t>
            </w:r>
          </w:p>
        </w:tc>
        <w:tc>
          <w:tcPr/>
          <w:p>
            <w:pPr>
              <w:pStyle w:val="Compact"/>
              <w:jc w:val="left"/>
            </w:pPr>
            <w:r>
              <w:t xml:space="preserve">Minutes from signup to first meaningful action (draft created, report viewed)</w:t>
            </w:r>
          </w:p>
        </w:tc>
        <w:tc>
          <w:tcPr/>
          <w:p>
            <w:pPr>
              <w:pStyle w:val="Compact"/>
              <w:jc w:val="left"/>
            </w:pPr>
            <w:r>
              <w:rPr>
                <w:bCs/>
                <w:b/>
              </w:rPr>
              <w:t xml:space="preserve">&lt;5 min</w:t>
            </w:r>
          </w:p>
        </w:tc>
        <w:tc>
          <w:tcPr/>
          <w:p>
            <w:pPr>
              <w:pStyle w:val="Compact"/>
              <w:jc w:val="left"/>
            </w:pPr>
            <w:r>
              <w:t xml:space="preserve">Funnel analytics</w:t>
            </w:r>
          </w:p>
        </w:tc>
        <w:tc>
          <w:tcPr/>
          <w:p>
            <w:pPr>
              <w:pStyle w:val="Compact"/>
              <w:jc w:val="left"/>
            </w:pPr>
            <w:r>
              <w:t xml:space="preserve">Head of Product</w:t>
            </w:r>
          </w:p>
        </w:tc>
      </w:tr>
    </w:tbl>
    <w:p>
      <w:pPr>
        <w:pStyle w:val="BodyText"/>
      </w:pPr>
      <w:r>
        <w:rPr>
          <w:bCs/>
          <w:b/>
        </w:rPr>
        <w:t xml:space="preserve">Activation Rate</w:t>
      </w:r>
      <w:r>
        <w:t xml:space="preserve"> </w:t>
      </w:r>
      <w:r>
        <w:t xml:space="preserve">is the North Star metric for the PLG motion. A 40% activation rate (draft creation within 7 days) correlates with 85% 90-day retention based on beta cohort analysis. Users who do not create a draft within 14 days churn at 95%.</w:t>
      </w:r>
    </w:p>
    <w:p>
      <w:pPr>
        <w:pStyle w:val="BodyText"/>
      </w:pPr>
      <w:r>
        <w:rPr>
          <w:bCs/>
          <w:b/>
        </w:rPr>
        <w:t xml:space="preserve">Approval Velocity</w:t>
      </w:r>
      <w:r>
        <w:t xml:space="preserve"> </w:t>
      </w:r>
      <w:r>
        <w:t xml:space="preserve">measures the core value proposition of AdNexus. The pre-AdNexus baseline is 24-48 hours for campaign approvals (email chains, Slack threads, spreadsheet reviews). Reducing this to &lt;4 hours represents a 6-12x improvement and is the metric most frequently cited in case studies.</w:t>
      </w:r>
    </w:p>
    <w:p>
      <w:pPr>
        <w:pStyle w:val="BodyText"/>
      </w:pPr>
      <w:r>
        <w:rPr>
          <w:bCs/>
          <w:b/>
        </w:rPr>
        <w:t xml:space="preserve">AI Adoption Rate</w:t>
      </w:r>
      <w:r>
        <w:t xml:space="preserve"> </w:t>
      </w:r>
      <w:r>
        <w:t xml:space="preserve">tracks trust in the AI agent. A 60% adoption rate indicates that users are comfortable allowing AI to recommend changes, even if those changes still require human approval. This metric is the leading indicator for outcome-based revenue.</w:t>
      </w:r>
    </w:p>
    <w:bookmarkEnd w:id="81"/>
    <w:bookmarkStart w:id="82" w:name="business-metrics-revenue-and-retention"/>
    <w:p>
      <w:pPr>
        <w:pStyle w:val="Heading3"/>
      </w:pPr>
      <w:r>
        <w:t xml:space="preserve">11.2 Business Metrics: Revenue and Retention</w:t>
      </w:r>
    </w:p>
    <w:tbl>
      <w:tblPr>
        <w:tblStyle w:val="Table"/>
        <w:tblW w:type="pct" w:w="5000"/>
        <w:tblLook w:firstRow="1" w:lastRow="0" w:firstColumn="0" w:lastColumn="0" w:noHBand="0" w:noVBand="0" w:val="0020"/>
      </w:tblPr>
      <w:tblGrid>
        <w:gridCol w:w="1218"/>
        <w:gridCol w:w="1675"/>
        <w:gridCol w:w="1218"/>
        <w:gridCol w:w="2741"/>
        <w:gridCol w:w="106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 Tool</w:t>
            </w:r>
          </w:p>
        </w:tc>
        <w:tc>
          <w:tcPr/>
          <w:p>
            <w:pPr>
              <w:pStyle w:val="Compact"/>
              <w:jc w:val="left"/>
            </w:pPr>
            <w:r>
              <w:t xml:space="preserve">Owner</w:t>
            </w:r>
          </w:p>
        </w:tc>
      </w:tr>
      <w:tr>
        <w:tc>
          <w:tcPr/>
          <w:p>
            <w:pPr>
              <w:pStyle w:val="Compact"/>
              <w:jc w:val="left"/>
            </w:pPr>
            <w:r>
              <w:rPr>
                <w:bCs/>
                <w:b/>
              </w:rPr>
              <w:t xml:space="preserve">MRR Growth</w:t>
            </w:r>
          </w:p>
        </w:tc>
        <w:tc>
          <w:tcPr/>
          <w:p>
            <w:pPr>
              <w:pStyle w:val="Compact"/>
              <w:jc w:val="left"/>
            </w:pPr>
            <w:r>
              <w:t xml:space="preserve">Month-over-month increase in monthly recurring revenue</w:t>
            </w:r>
          </w:p>
        </w:tc>
        <w:tc>
          <w:tcPr/>
          <w:p>
            <w:pPr>
              <w:pStyle w:val="Compact"/>
              <w:jc w:val="left"/>
            </w:pPr>
            <w:r>
              <w:rPr>
                <w:bCs/>
                <w:b/>
              </w:rPr>
              <w:t xml:space="preserve">15-20%</w:t>
            </w:r>
          </w:p>
        </w:tc>
        <w:tc>
          <w:tcPr/>
          <w:p>
            <w:pPr>
              <w:pStyle w:val="Compact"/>
              <w:jc w:val="left"/>
            </w:pPr>
            <w:r>
              <w:t xml:space="preserve">Stripe + internal dashboard</w:t>
            </w:r>
          </w:p>
        </w:tc>
        <w:tc>
          <w:tcPr/>
          <w:p>
            <w:pPr>
              <w:pStyle w:val="Compact"/>
              <w:jc w:val="left"/>
            </w:pPr>
            <w:r>
              <w:t xml:space="preserve">CFO</w:t>
            </w:r>
          </w:p>
        </w:tc>
      </w:tr>
      <w:tr>
        <w:tc>
          <w:tcPr/>
          <w:p>
            <w:pPr>
              <w:pStyle w:val="Compact"/>
              <w:jc w:val="left"/>
            </w:pPr>
            <w:r>
              <w:rPr>
                <w:bCs/>
                <w:b/>
              </w:rPr>
              <w:t xml:space="preserve">Monthly Churn</w:t>
            </w:r>
          </w:p>
        </w:tc>
        <w:tc>
          <w:tcPr/>
          <w:p>
            <w:pPr>
              <w:pStyle w:val="Compact"/>
              <w:jc w:val="left"/>
            </w:pPr>
            <w:r>
              <w:t xml:space="preserve">% of paying customers who cancel in a given month</w:t>
            </w:r>
          </w:p>
        </w:tc>
        <w:tc>
          <w:tcPr/>
          <w:p>
            <w:pPr>
              <w:pStyle w:val="Compact"/>
              <w:jc w:val="left"/>
            </w:pPr>
            <w:r>
              <w:rPr>
                <w:bCs/>
                <w:b/>
              </w:rPr>
              <w:t xml:space="preserve">&lt;5%</w:t>
            </w:r>
            <w:r>
              <w:t xml:space="preserve"> </w:t>
            </w:r>
            <w:r>
              <w:t xml:space="preserve">(target: 3%)</w:t>
            </w:r>
          </w:p>
        </w:tc>
        <w:tc>
          <w:tcPr/>
          <w:p>
            <w:pPr>
              <w:pStyle w:val="Compact"/>
              <w:jc w:val="left"/>
            </w:pPr>
            <w:r>
              <w:t xml:space="preserve">Subscription analytics</w:t>
            </w:r>
          </w:p>
        </w:tc>
        <w:tc>
          <w:tcPr/>
          <w:p>
            <w:pPr>
              <w:pStyle w:val="Compact"/>
              <w:jc w:val="left"/>
            </w:pPr>
            <w:r>
              <w:t xml:space="preserve">CFO</w:t>
            </w:r>
          </w:p>
        </w:tc>
      </w:tr>
      <w:tr>
        <w:tc>
          <w:tcPr/>
          <w:p>
            <w:pPr>
              <w:pStyle w:val="Compact"/>
              <w:jc w:val="left"/>
            </w:pPr>
            <w:r>
              <w:rPr>
                <w:bCs/>
                <w:b/>
              </w:rPr>
              <w:t xml:space="preserve">Expansion Revenue</w:t>
            </w:r>
          </w:p>
        </w:tc>
        <w:tc>
          <w:tcPr/>
          <w:p>
            <w:pPr>
              <w:pStyle w:val="Compact"/>
              <w:jc w:val="left"/>
            </w:pPr>
            <w:r>
              <w:t xml:space="preserve">% of revenue from upgrades, add-ons, and usage increases</w:t>
            </w:r>
          </w:p>
        </w:tc>
        <w:tc>
          <w:tcPr/>
          <w:p>
            <w:pPr>
              <w:pStyle w:val="Compact"/>
              <w:jc w:val="left"/>
            </w:pPr>
            <w:r>
              <w:rPr>
                <w:bCs/>
                <w:b/>
              </w:rPr>
              <w:t xml:space="preserve">30%+</w:t>
            </w:r>
          </w:p>
        </w:tc>
        <w:tc>
          <w:tcPr/>
          <w:p>
            <w:pPr>
              <w:pStyle w:val="Compact"/>
              <w:jc w:val="left"/>
            </w:pPr>
            <w:r>
              <w:t xml:space="preserve">Revenue analytics</w:t>
            </w:r>
          </w:p>
        </w:tc>
        <w:tc>
          <w:tcPr/>
          <w:p>
            <w:pPr>
              <w:pStyle w:val="Compact"/>
              <w:jc w:val="left"/>
            </w:pPr>
            <w:r>
              <w:t xml:space="preserve">Head of Sales</w:t>
            </w:r>
          </w:p>
        </w:tc>
      </w:tr>
      <w:tr>
        <w:tc>
          <w:tcPr/>
          <w:p>
            <w:pPr>
              <w:pStyle w:val="Compact"/>
              <w:jc w:val="left"/>
            </w:pPr>
            <w:r>
              <w:rPr>
                <w:bCs/>
                <w:b/>
              </w:rPr>
              <w:t xml:space="preserve">Net Promoter Score (NPS)</w:t>
            </w:r>
          </w:p>
        </w:tc>
        <w:tc>
          <w:tcPr/>
          <w:p>
            <w:pPr>
              <w:pStyle w:val="Compact"/>
              <w:jc w:val="left"/>
            </w:pPr>
            <w:r>
              <w:t xml:space="preserve">% promoters minus % detractors</w:t>
            </w:r>
          </w:p>
        </w:tc>
        <w:tc>
          <w:tcPr/>
          <w:p>
            <w:pPr>
              <w:pStyle w:val="Compact"/>
              <w:jc w:val="left"/>
            </w:pPr>
            <w:r>
              <w:rPr>
                <w:bCs/>
                <w:b/>
              </w:rPr>
              <w:t xml:space="preserve">&gt;50</w:t>
            </w:r>
            <w:r>
              <w:t xml:space="preserve"> </w:t>
            </w:r>
            <w:r>
              <w:t xml:space="preserve">by Month 6</w:t>
            </w:r>
          </w:p>
        </w:tc>
        <w:tc>
          <w:tcPr/>
          <w:p>
            <w:pPr>
              <w:pStyle w:val="Compact"/>
              <w:jc w:val="left"/>
            </w:pPr>
            <w:r>
              <w:t xml:space="preserve">In-app NPS surveys</w:t>
            </w:r>
          </w:p>
        </w:tc>
        <w:tc>
          <w:tcPr/>
          <w:p>
            <w:pPr>
              <w:pStyle w:val="Compact"/>
              <w:jc w:val="left"/>
            </w:pPr>
            <w:r>
              <w:t xml:space="preserve">Head of Customer Success</w:t>
            </w:r>
          </w:p>
        </w:tc>
      </w:tr>
      <w:tr>
        <w:tc>
          <w:tcPr/>
          <w:p>
            <w:pPr>
              <w:pStyle w:val="Compact"/>
              <w:jc w:val="left"/>
            </w:pPr>
            <w:r>
              <w:rPr>
                <w:bCs/>
                <w:b/>
              </w:rPr>
              <w:t xml:space="preserve">Net Dollar Retention (NDR)</w:t>
            </w:r>
          </w:p>
        </w:tc>
        <w:tc>
          <w:tcPr/>
          <w:p>
            <w:pPr>
              <w:pStyle w:val="Compact"/>
              <w:jc w:val="left"/>
            </w:pPr>
            <w:r>
              <w:t xml:space="preserve">(Beginning MRR + Expansion - Contraction - Churn) / Beginning MRR</w:t>
            </w:r>
          </w:p>
        </w:tc>
        <w:tc>
          <w:tcPr/>
          <w:p>
            <w:pPr>
              <w:pStyle w:val="Compact"/>
              <w:jc w:val="left"/>
            </w:pPr>
            <w:r>
              <w:rPr>
                <w:bCs/>
                <w:b/>
              </w:rPr>
              <w:t xml:space="preserve">120-140%</w:t>
            </w:r>
          </w:p>
        </w:tc>
        <w:tc>
          <w:tcPr/>
          <w:p>
            <w:pPr>
              <w:pStyle w:val="Compact"/>
              <w:jc w:val="left"/>
            </w:pPr>
            <w:r>
              <w:t xml:space="preserve">Financial analytics</w:t>
            </w:r>
          </w:p>
        </w:tc>
        <w:tc>
          <w:tcPr/>
          <w:p>
            <w:pPr>
              <w:pStyle w:val="Compact"/>
              <w:jc w:val="left"/>
            </w:pPr>
            <w:r>
              <w:t xml:space="preserve">CFO</w:t>
            </w:r>
          </w:p>
        </w:tc>
      </w:tr>
      <w:tr>
        <w:tc>
          <w:tcPr/>
          <w:p>
            <w:pPr>
              <w:pStyle w:val="Compact"/>
              <w:jc w:val="left"/>
            </w:pPr>
            <w:r>
              <w:rPr>
                <w:bCs/>
                <w:b/>
              </w:rPr>
              <w:t xml:space="preserve">Trial-to-Paid Conversion</w:t>
            </w:r>
          </w:p>
        </w:tc>
        <w:tc>
          <w:tcPr/>
          <w:p>
            <w:pPr>
              <w:pStyle w:val="Compact"/>
              <w:jc w:val="left"/>
            </w:pPr>
            <w:r>
              <w:t xml:space="preserve">% of free trial users who convert to paid</w:t>
            </w:r>
          </w:p>
        </w:tc>
        <w:tc>
          <w:tcPr/>
          <w:p>
            <w:pPr>
              <w:pStyle w:val="Compact"/>
              <w:jc w:val="left"/>
            </w:pPr>
            <w:r>
              <w:rPr>
                <w:bCs/>
                <w:b/>
              </w:rPr>
              <w:t xml:space="preserve">15-20%</w:t>
            </w:r>
          </w:p>
        </w:tc>
        <w:tc>
          <w:tcPr/>
          <w:p>
            <w:pPr>
              <w:pStyle w:val="Compact"/>
              <w:jc w:val="left"/>
            </w:pPr>
            <w:r>
              <w:t xml:space="preserve">Funnel analytics</w:t>
            </w:r>
          </w:p>
        </w:tc>
        <w:tc>
          <w:tcPr/>
          <w:p>
            <w:pPr>
              <w:pStyle w:val="Compact"/>
              <w:jc w:val="left"/>
            </w:pPr>
            <w:r>
              <w:t xml:space="preserve">Head of Growth</w:t>
            </w:r>
          </w:p>
        </w:tc>
      </w:tr>
      <w:tr>
        <w:tc>
          <w:tcPr/>
          <w:p>
            <w:pPr>
              <w:pStyle w:val="Compact"/>
              <w:jc w:val="left"/>
            </w:pPr>
            <w:r>
              <w:rPr>
                <w:bCs/>
                <w:b/>
              </w:rPr>
              <w:t xml:space="preserve">Gross Revenue Retention</w:t>
            </w:r>
          </w:p>
        </w:tc>
        <w:tc>
          <w:tcPr/>
          <w:p>
            <w:pPr>
              <w:pStyle w:val="Compact"/>
              <w:jc w:val="left"/>
            </w:pPr>
            <w:r>
              <w:t xml:space="preserve">% of recurring revenue retained from existing customers</w:t>
            </w:r>
          </w:p>
        </w:tc>
        <w:tc>
          <w:tcPr/>
          <w:p>
            <w:pPr>
              <w:pStyle w:val="Compact"/>
              <w:jc w:val="left"/>
            </w:pPr>
            <w:r>
              <w:rPr>
                <w:bCs/>
                <w:b/>
              </w:rPr>
              <w:t xml:space="preserve">&gt;85%</w:t>
            </w:r>
          </w:p>
        </w:tc>
        <w:tc>
          <w:tcPr/>
          <w:p>
            <w:pPr>
              <w:pStyle w:val="Compact"/>
              <w:jc w:val="left"/>
            </w:pPr>
            <w:r>
              <w:t xml:space="preserve">Financial analytics</w:t>
            </w:r>
          </w:p>
        </w:tc>
        <w:tc>
          <w:tcPr/>
          <w:p>
            <w:pPr>
              <w:pStyle w:val="Compact"/>
              <w:jc w:val="left"/>
            </w:pPr>
            <w:r>
              <w:t xml:space="preserve">CFO</w:t>
            </w:r>
          </w:p>
        </w:tc>
      </w:tr>
    </w:tbl>
    <w:p>
      <w:pPr>
        <w:pStyle w:val="BodyText"/>
      </w:pPr>
      <w:r>
        <w:rPr>
          <w:bCs/>
          <w:b/>
        </w:rPr>
        <w:t xml:space="preserve">MRR Growth</w:t>
      </w:r>
      <w:r>
        <w:t xml:space="preserve"> </w:t>
      </w:r>
      <w:r>
        <w:t xml:space="preserve">in Year 1 must sustain 15-20% month-over-month to hit the $600K ARR target. This requires approximately 30-40 new paying customers monthly by Q4, a figure supported by the 50K monthly organic visit target and 2% trial conversion rate.</w:t>
      </w:r>
    </w:p>
    <w:p>
      <w:pPr>
        <w:pStyle w:val="BodyText"/>
      </w:pPr>
      <w:r>
        <w:rPr>
          <w:bCs/>
          <w:b/>
        </w:rPr>
        <w:t xml:space="preserve">Churn</w:t>
      </w:r>
      <w:r>
        <w:t xml:space="preserve"> </w:t>
      </w:r>
      <w:r>
        <w:t xml:space="preserve">is the most critical lever for LTV. At 5% monthly churn, a customer cohort halves every 13 months. Reducing churn to 3% doubles expected lifetime from 20 months to 34 months, increasing LTV by 70%. The primary churn reduction strategies are: Morning Brief habit formation, AI outcomes that demonstrably save money, and agency workspace stickiness.</w:t>
      </w:r>
    </w:p>
    <w:p>
      <w:pPr>
        <w:pStyle w:val="BodyText"/>
      </w:pPr>
      <w:r>
        <w:rPr>
          <w:bCs/>
          <w:b/>
        </w:rPr>
        <w:t xml:space="preserve">NDR</w:t>
      </w:r>
      <w:r>
        <w:t xml:space="preserve"> </w:t>
      </w:r>
      <w:r>
        <w:t xml:space="preserve">above 100% means the business grows even without new customers. A 130% NDR is the hallmark of best-in-class SaaS and indicates that expansion revenue (upgrades, add-ons, outcome fees) exceeds churn and contraction. AdNexus is designed for expansion: as customers grow their ad spend, they naturally tier up; as they add clients or team members, they purchase add-ons.</w:t>
      </w:r>
    </w:p>
    <w:bookmarkEnd w:id="82"/>
    <w:bookmarkStart w:id="83" w:name="X84d1eb284f0000bd3d7cf7b32bfc0834de8bc4f"/>
    <w:p>
      <w:pPr>
        <w:pStyle w:val="Heading3"/>
      </w:pPr>
      <w:r>
        <w:t xml:space="preserve">11.3 MCP Ecosystem Metrics: Platform and Developer</w:t>
      </w:r>
    </w:p>
    <w:tbl>
      <w:tblPr>
        <w:tblStyle w:val="Table"/>
        <w:tblW w:type="pct" w:w="5000"/>
        <w:tblLook w:firstRow="1" w:lastRow="0" w:firstColumn="0" w:lastColumn="0" w:noHBand="0" w:noVBand="0" w:val="0020"/>
      </w:tblPr>
      <w:tblGrid>
        <w:gridCol w:w="1218"/>
        <w:gridCol w:w="1675"/>
        <w:gridCol w:w="1218"/>
        <w:gridCol w:w="2741"/>
        <w:gridCol w:w="106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 Tool</w:t>
            </w:r>
          </w:p>
        </w:tc>
        <w:tc>
          <w:tcPr/>
          <w:p>
            <w:pPr>
              <w:pStyle w:val="Compact"/>
              <w:jc w:val="left"/>
            </w:pPr>
            <w:r>
              <w:t xml:space="preserve">Owner</w:t>
            </w:r>
          </w:p>
        </w:tc>
      </w:tr>
      <w:tr>
        <w:tc>
          <w:tcPr/>
          <w:p>
            <w:pPr>
              <w:pStyle w:val="Compact"/>
              <w:jc w:val="left"/>
            </w:pPr>
            <w:r>
              <w:rPr>
                <w:bCs/>
                <w:b/>
              </w:rPr>
              <w:t xml:space="preserve">MCP Server Installs</w:t>
            </w:r>
          </w:p>
        </w:tc>
        <w:tc>
          <w:tcPr/>
          <w:p>
            <w:pPr>
              <w:pStyle w:val="Compact"/>
              <w:jc w:val="left"/>
            </w:pPr>
            <w:r>
              <w:t xml:space="preserve">Unique installations of the AdNexus MCP server</w:t>
            </w:r>
          </w:p>
        </w:tc>
        <w:tc>
          <w:tcPr/>
          <w:p>
            <w:pPr>
              <w:pStyle w:val="Compact"/>
              <w:jc w:val="left"/>
            </w:pPr>
            <w:r>
              <w:rPr>
                <w:bCs/>
                <w:b/>
              </w:rPr>
              <w:t xml:space="preserve">1,000+ by Month 6</w:t>
            </w:r>
          </w:p>
        </w:tc>
        <w:tc>
          <w:tcPr/>
          <w:p>
            <w:pPr>
              <w:pStyle w:val="Compact"/>
              <w:jc w:val="left"/>
            </w:pPr>
            <w:r>
              <w:t xml:space="preserve">GitHub releases API + package manager</w:t>
            </w:r>
          </w:p>
        </w:tc>
        <w:tc>
          <w:tcPr/>
          <w:p>
            <w:pPr>
              <w:pStyle w:val="Compact"/>
              <w:jc w:val="left"/>
            </w:pPr>
            <w:r>
              <w:t xml:space="preserve">Head of Developer Relations</w:t>
            </w:r>
          </w:p>
        </w:tc>
      </w:tr>
      <w:tr>
        <w:tc>
          <w:tcPr/>
          <w:p>
            <w:pPr>
              <w:pStyle w:val="Compact"/>
              <w:jc w:val="left"/>
            </w:pPr>
            <w:r>
              <w:rPr>
                <w:bCs/>
                <w:b/>
              </w:rPr>
              <w:t xml:space="preserve">MCP-Powered Actions</w:t>
            </w:r>
          </w:p>
        </w:tc>
        <w:tc>
          <w:tcPr/>
          <w:p>
            <w:pPr>
              <w:pStyle w:val="Compact"/>
              <w:jc w:val="left"/>
            </w:pPr>
            <w:r>
              <w:t xml:space="preserve">Monthly count of ad operations executed via MCP</w:t>
            </w:r>
          </w:p>
        </w:tc>
        <w:tc>
          <w:tcPr/>
          <w:p>
            <w:pPr>
              <w:pStyle w:val="Compact"/>
              <w:jc w:val="left"/>
            </w:pPr>
            <w:r>
              <w:rPr>
                <w:bCs/>
                <w:b/>
              </w:rPr>
              <w:t xml:space="preserve">10K+/month by Month 9</w:t>
            </w:r>
          </w:p>
        </w:tc>
        <w:tc>
          <w:tcPr/>
          <w:p>
            <w:pPr>
              <w:pStyle w:val="Compact"/>
              <w:jc w:val="left"/>
            </w:pPr>
            <w:r>
              <w:t xml:space="preserve">MCP server telemetry</w:t>
            </w:r>
          </w:p>
        </w:tc>
        <w:tc>
          <w:tcPr/>
          <w:p>
            <w:pPr>
              <w:pStyle w:val="Compact"/>
              <w:jc w:val="left"/>
            </w:pPr>
            <w:r>
              <w:t xml:space="preserve">Head of Engineering</w:t>
            </w:r>
          </w:p>
        </w:tc>
      </w:tr>
      <w:tr>
        <w:tc>
          <w:tcPr/>
          <w:p>
            <w:pPr>
              <w:pStyle w:val="Compact"/>
              <w:jc w:val="left"/>
            </w:pPr>
            <w:r>
              <w:rPr>
                <w:bCs/>
                <w:b/>
              </w:rPr>
              <w:t xml:space="preserve">Developer Community</w:t>
            </w:r>
          </w:p>
        </w:tc>
        <w:tc>
          <w:tcPr/>
          <w:p>
            <w:pPr>
              <w:pStyle w:val="Compact"/>
              <w:jc w:val="left"/>
            </w:pPr>
            <w:r>
              <w:t xml:space="preserve">GitHub stars on MCP repos + Discord members</w:t>
            </w:r>
          </w:p>
        </w:tc>
        <w:tc>
          <w:tcPr/>
          <w:p>
            <w:pPr>
              <w:pStyle w:val="Compact"/>
              <w:jc w:val="left"/>
            </w:pPr>
            <w:r>
              <w:rPr>
                <w:bCs/>
                <w:b/>
              </w:rPr>
              <w:t xml:space="preserve">500+ stars by Month 12</w:t>
            </w:r>
          </w:p>
        </w:tc>
        <w:tc>
          <w:tcPr/>
          <w:p>
            <w:pPr>
              <w:pStyle w:val="Compact"/>
              <w:jc w:val="left"/>
            </w:pPr>
            <w:r>
              <w:t xml:space="preserve">GitHub API + Discord analytics</w:t>
            </w:r>
          </w:p>
        </w:tc>
        <w:tc>
          <w:tcPr/>
          <w:p>
            <w:pPr>
              <w:pStyle w:val="Compact"/>
              <w:jc w:val="left"/>
            </w:pPr>
            <w:r>
              <w:t xml:space="preserve">Head of Developer Relations</w:t>
            </w:r>
          </w:p>
        </w:tc>
      </w:tr>
      <w:tr>
        <w:tc>
          <w:tcPr/>
          <w:p>
            <w:pPr>
              <w:pStyle w:val="Compact"/>
              <w:jc w:val="left"/>
            </w:pPr>
            <w:r>
              <w:rPr>
                <w:bCs/>
                <w:b/>
              </w:rPr>
              <w:t xml:space="preserve">MCP-to-AdNexus Conversion</w:t>
            </w:r>
          </w:p>
        </w:tc>
        <w:tc>
          <w:tcPr/>
          <w:p>
            <w:pPr>
              <w:pStyle w:val="Compact"/>
              <w:jc w:val="left"/>
            </w:pPr>
            <w:r>
              <w:t xml:space="preserve">% of MCP users who create an AdNexus account</w:t>
            </w:r>
          </w:p>
        </w:tc>
        <w:tc>
          <w:tcPr/>
          <w:p>
            <w:pPr>
              <w:pStyle w:val="Compact"/>
              <w:jc w:val="left"/>
            </w:pPr>
            <w:r>
              <w:rPr>
                <w:bCs/>
                <w:b/>
              </w:rPr>
              <w:t xml:space="preserve">8%</w:t>
            </w:r>
          </w:p>
        </w:tc>
        <w:tc>
          <w:tcPr/>
          <w:p>
            <w:pPr>
              <w:pStyle w:val="Compact"/>
              <w:jc w:val="left"/>
            </w:pPr>
            <w:r>
              <w:t xml:space="preserve">UTM + signup attribution</w:t>
            </w:r>
          </w:p>
        </w:tc>
        <w:tc>
          <w:tcPr/>
          <w:p>
            <w:pPr>
              <w:pStyle w:val="Compact"/>
              <w:jc w:val="left"/>
            </w:pPr>
            <w:r>
              <w:t xml:space="preserve">Head of Growth</w:t>
            </w:r>
          </w:p>
        </w:tc>
      </w:tr>
      <w:tr>
        <w:tc>
          <w:tcPr/>
          <w:p>
            <w:pPr>
              <w:pStyle w:val="Compact"/>
              <w:jc w:val="left"/>
            </w:pPr>
            <w:r>
              <w:rPr>
                <w:bCs/>
                <w:b/>
              </w:rPr>
              <w:t xml:space="preserve">Community Contributions</w:t>
            </w:r>
          </w:p>
        </w:tc>
        <w:tc>
          <w:tcPr/>
          <w:p>
            <w:pPr>
              <w:pStyle w:val="Compact"/>
              <w:jc w:val="left"/>
            </w:pPr>
            <w:r>
              <w:t xml:space="preserve">External PRs, issues, and extensions to MCP server</w:t>
            </w:r>
          </w:p>
        </w:tc>
        <w:tc>
          <w:tcPr/>
          <w:p>
            <w:pPr>
              <w:pStyle w:val="Compact"/>
              <w:jc w:val="left"/>
            </w:pPr>
            <w:r>
              <w:rPr>
                <w:bCs/>
                <w:b/>
              </w:rPr>
              <w:t xml:space="preserve">50+ by Month 12</w:t>
            </w:r>
          </w:p>
        </w:tc>
        <w:tc>
          <w:tcPr/>
          <w:p>
            <w:pPr>
              <w:pStyle w:val="Compact"/>
              <w:jc w:val="left"/>
            </w:pPr>
            <w:r>
              <w:t xml:space="preserve">GitHub API</w:t>
            </w:r>
          </w:p>
        </w:tc>
        <w:tc>
          <w:tcPr/>
          <w:p>
            <w:pPr>
              <w:pStyle w:val="Compact"/>
              <w:jc w:val="left"/>
            </w:pPr>
            <w:r>
              <w:t xml:space="preserve">Head of Developer Relations</w:t>
            </w:r>
          </w:p>
        </w:tc>
      </w:tr>
    </w:tbl>
    <w:p>
      <w:pPr>
        <w:pStyle w:val="BodyText"/>
      </w:pPr>
      <w:r>
        <w:t xml:space="preserve">The MCP ecosystem metrics are leading indicators of long-term competitive moat. A thriving MCP server with 1,000+ installs creates a developer gravity that competitors cannot easily replicate. Each MCP install represents a media buyer or engineer who has chosen AdNexus as their canonical advertising integration—brand equity that compounds over time.</w:t>
      </w:r>
    </w:p>
    <w:bookmarkEnd w:id="83"/>
    <w:bookmarkStart w:id="84" w:name="kpi-dashboard-and-reporting-cadence"/>
    <w:p>
      <w:pPr>
        <w:pStyle w:val="Heading3"/>
      </w:pPr>
      <w:r>
        <w:t xml:space="preserve">11.4 KPI Dashboard and Reporting Cadence</w:t>
      </w:r>
    </w:p>
    <w:tbl>
      <w:tblPr>
        <w:tblStyle w:val="Table"/>
        <w:tblW w:type="pct" w:w="5000"/>
        <w:tblLook w:firstRow="1" w:lastRow="0" w:firstColumn="0" w:lastColumn="0" w:noHBand="0" w:noVBand="0" w:val="0020"/>
      </w:tblPr>
      <w:tblGrid>
        <w:gridCol w:w="2096"/>
        <w:gridCol w:w="2329"/>
        <w:gridCol w:w="1630"/>
        <w:gridCol w:w="1863"/>
      </w:tblGrid>
      <w:tr>
        <w:trPr>
          <w:tblHeader w:val="true"/>
        </w:trPr>
        <w:tc>
          <w:tcPr/>
          <w:p>
            <w:pPr>
              <w:pStyle w:val="Compact"/>
              <w:jc w:val="left"/>
            </w:pPr>
            <w:r>
              <w:t xml:space="preserve">Cadence</w:t>
            </w:r>
          </w:p>
        </w:tc>
        <w:tc>
          <w:tcPr/>
          <w:p>
            <w:pPr>
              <w:pStyle w:val="Compact"/>
              <w:jc w:val="left"/>
            </w:pPr>
            <w:r>
              <w:t xml:space="preserve">Audience</w:t>
            </w:r>
          </w:p>
        </w:tc>
        <w:tc>
          <w:tcPr/>
          <w:p>
            <w:pPr>
              <w:pStyle w:val="Compact"/>
              <w:jc w:val="left"/>
            </w:pPr>
            <w:r>
              <w:t xml:space="preserve">Focus</w:t>
            </w:r>
          </w:p>
        </w:tc>
        <w:tc>
          <w:tcPr/>
          <w:p>
            <w:pPr>
              <w:pStyle w:val="Compact"/>
              <w:jc w:val="left"/>
            </w:pPr>
            <w:r>
              <w:t xml:space="preserve">Format</w:t>
            </w:r>
          </w:p>
        </w:tc>
      </w:tr>
      <w:tr>
        <w:tc>
          <w:tcPr/>
          <w:p>
            <w:pPr>
              <w:pStyle w:val="Compact"/>
              <w:jc w:val="left"/>
            </w:pPr>
            <w:r>
              <w:rPr>
                <w:bCs/>
                <w:b/>
              </w:rPr>
              <w:t xml:space="preserve">Daily</w:t>
            </w:r>
          </w:p>
        </w:tc>
        <w:tc>
          <w:tcPr/>
          <w:p>
            <w:pPr>
              <w:pStyle w:val="Compact"/>
              <w:jc w:val="left"/>
            </w:pPr>
            <w:r>
              <w:t xml:space="preserve">Product team</w:t>
            </w:r>
          </w:p>
        </w:tc>
        <w:tc>
          <w:tcPr/>
          <w:p>
            <w:pPr>
              <w:pStyle w:val="Compact"/>
              <w:jc w:val="left"/>
            </w:pPr>
            <w:r>
              <w:t xml:space="preserve">WAU, activation rate, errors</w:t>
            </w:r>
          </w:p>
        </w:tc>
        <w:tc>
          <w:tcPr/>
          <w:p>
            <w:pPr>
              <w:pStyle w:val="Compact"/>
              <w:jc w:val="left"/>
            </w:pPr>
            <w:r>
              <w:t xml:space="preserve">Slack bot + dashboard</w:t>
            </w:r>
          </w:p>
        </w:tc>
      </w:tr>
      <w:tr>
        <w:tc>
          <w:tcPr/>
          <w:p>
            <w:pPr>
              <w:pStyle w:val="Compact"/>
              <w:jc w:val="left"/>
            </w:pPr>
            <w:r>
              <w:rPr>
                <w:bCs/>
                <w:b/>
              </w:rPr>
              <w:t xml:space="preserve">Weekly</w:t>
            </w:r>
          </w:p>
        </w:tc>
        <w:tc>
          <w:tcPr/>
          <w:p>
            <w:pPr>
              <w:pStyle w:val="Compact"/>
              <w:jc w:val="left"/>
            </w:pPr>
            <w:r>
              <w:t xml:space="preserve">Leadership</w:t>
            </w:r>
          </w:p>
        </w:tc>
        <w:tc>
          <w:tcPr/>
          <w:p>
            <w:pPr>
              <w:pStyle w:val="Compact"/>
              <w:jc w:val="left"/>
            </w:pPr>
            <w:r>
              <w:t xml:space="preserve">MRR, churn, approval velocity, NPS</w:t>
            </w:r>
          </w:p>
        </w:tc>
        <w:tc>
          <w:tcPr/>
          <w:p>
            <w:pPr>
              <w:pStyle w:val="Compact"/>
              <w:jc w:val="left"/>
            </w:pPr>
            <w:r>
              <w:t xml:space="preserve">1-page email summary</w:t>
            </w:r>
          </w:p>
        </w:tc>
      </w:tr>
      <w:tr>
        <w:tc>
          <w:tcPr/>
          <w:p>
            <w:pPr>
              <w:pStyle w:val="Compact"/>
              <w:jc w:val="left"/>
            </w:pPr>
            <w:r>
              <w:rPr>
                <w:bCs/>
                <w:b/>
              </w:rPr>
              <w:t xml:space="preserve">Monthly</w:t>
            </w:r>
          </w:p>
        </w:tc>
        <w:tc>
          <w:tcPr/>
          <w:p>
            <w:pPr>
              <w:pStyle w:val="Compact"/>
              <w:jc w:val="left"/>
            </w:pPr>
            <w:r>
              <w:t xml:space="preserve">Board/investors</w:t>
            </w:r>
          </w:p>
        </w:tc>
        <w:tc>
          <w:tcPr/>
          <w:p>
            <w:pPr>
              <w:pStyle w:val="Compact"/>
              <w:jc w:val="left"/>
            </w:pPr>
            <w:r>
              <w:t xml:space="preserve">ARR, NDR, CAC, LTV, MCP installs</w:t>
            </w:r>
          </w:p>
        </w:tc>
        <w:tc>
          <w:tcPr/>
          <w:p>
            <w:pPr>
              <w:pStyle w:val="Compact"/>
              <w:jc w:val="left"/>
            </w:pPr>
            <w:r>
              <w:t xml:space="preserve">Board deck</w:t>
            </w:r>
          </w:p>
        </w:tc>
      </w:tr>
      <w:tr>
        <w:tc>
          <w:tcPr/>
          <w:p>
            <w:pPr>
              <w:pStyle w:val="Compact"/>
              <w:jc w:val="left"/>
            </w:pPr>
            <w:r>
              <w:rPr>
                <w:bCs/>
                <w:b/>
              </w:rPr>
              <w:t xml:space="preserve">Quarterly</w:t>
            </w:r>
          </w:p>
        </w:tc>
        <w:tc>
          <w:tcPr/>
          <w:p>
            <w:pPr>
              <w:pStyle w:val="Compact"/>
              <w:jc w:val="left"/>
            </w:pPr>
            <w:r>
              <w:t xml:space="preserve">Company all-hands</w:t>
            </w:r>
          </w:p>
        </w:tc>
        <w:tc>
          <w:tcPr/>
          <w:p>
            <w:pPr>
              <w:pStyle w:val="Compact"/>
              <w:jc w:val="left"/>
            </w:pPr>
            <w:r>
              <w:t xml:space="preserve">Comprehensive review, strategy adjustments</w:t>
            </w:r>
          </w:p>
        </w:tc>
        <w:tc>
          <w:tcPr/>
          <w:p>
            <w:pPr>
              <w:pStyle w:val="Compact"/>
              <w:jc w:val="left"/>
            </w:pPr>
            <w:r>
              <w:t xml:space="preserve">Town hall + written memo</w:t>
            </w:r>
          </w:p>
        </w:tc>
      </w:tr>
    </w:tbl>
    <w:p>
      <w:r>
        <w:pict>
          <v:rect style="width:0;height:1.5pt" o:hralign="center" o:hrstd="t" o:hr="t"/>
        </w:pict>
      </w:r>
    </w:p>
    <w:bookmarkEnd w:id="84"/>
    <w:bookmarkEnd w:id="85"/>
    <w:bookmarkStart w:id="89" w:name="risk-analysis-mitigation"/>
    <w:p>
      <w:pPr>
        <w:pStyle w:val="Heading2"/>
      </w:pPr>
      <w:r>
        <w:t xml:space="preserve">12. Risk Analysis &amp; Mitigation</w:t>
      </w:r>
    </w:p>
    <w:p>
      <w:pPr>
        <w:pStyle w:val="FirstParagraph"/>
      </w:pPr>
      <w:r>
        <w:t xml:space="preserve">Every high-growth technology company faces existential and operational risks. AdNexus has identified five critical risks, assessed their likelihood and impact, and defined specific mitigation strategies.</w:t>
      </w:r>
    </w:p>
    <w:tbl>
      <w:tblPr>
        <w:tblStyle w:val="Table"/>
        <w:tblW w:type="pct" w:w="5000"/>
        <w:tblLook w:firstRow="1" w:lastRow="0" w:firstColumn="0" w:lastColumn="0" w:noHBand="0" w:noVBand="0" w:val="0020"/>
      </w:tblPr>
      <w:tblGrid>
        <w:gridCol w:w="678"/>
        <w:gridCol w:w="1244"/>
        <w:gridCol w:w="905"/>
        <w:gridCol w:w="2376"/>
        <w:gridCol w:w="792"/>
        <w:gridCol w:w="1923"/>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Strategy</w:t>
            </w:r>
          </w:p>
        </w:tc>
        <w:tc>
          <w:tcPr/>
          <w:p>
            <w:pPr>
              <w:pStyle w:val="Compact"/>
              <w:jc w:val="left"/>
            </w:pPr>
            <w:r>
              <w:t xml:space="preserve">Owner</w:t>
            </w:r>
          </w:p>
        </w:tc>
        <w:tc>
          <w:tcPr/>
          <w:p>
            <w:pPr>
              <w:pStyle w:val="Compact"/>
              <w:jc w:val="left"/>
            </w:pPr>
            <w:r>
              <w:t xml:space="preserve">Review Frequency</w:t>
            </w:r>
          </w:p>
        </w:tc>
      </w:tr>
      <w:tr>
        <w:tc>
          <w:tcPr/>
          <w:p>
            <w:pPr>
              <w:pStyle w:val="Compact"/>
              <w:jc w:val="left"/>
            </w:pPr>
            <w:r>
              <w:rPr>
                <w:bCs/>
                <w:b/>
              </w:rPr>
              <w:t xml:space="preserve">Platform API Changes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Abstract API layer with unified interface; multi-platform redundancy; 30-day migration windows; direct relationships with platform partnership teams</w:t>
            </w:r>
          </w:p>
        </w:tc>
        <w:tc>
          <w:tcPr/>
          <w:p>
            <w:pPr>
              <w:pStyle w:val="Compact"/>
              <w:jc w:val="left"/>
            </w:pPr>
            <w:r>
              <w:t xml:space="preserve">CTO</w:t>
            </w:r>
          </w:p>
        </w:tc>
        <w:tc>
          <w:tcPr/>
          <w:p>
            <w:pPr>
              <w:pStyle w:val="Compact"/>
              <w:jc w:val="left"/>
            </w:pPr>
            <w:r>
              <w:t xml:space="preserve">Monthly</w:t>
            </w:r>
          </w:p>
        </w:tc>
      </w:tr>
      <w:tr>
        <w:tc>
          <w:tcPr/>
          <w:p>
            <w:pPr>
              <w:pStyle w:val="Compact"/>
              <w:jc w:val="left"/>
            </w:pPr>
            <w:r>
              <w:rPr>
                <w:bCs/>
                <w:b/>
              </w:rPr>
              <w:t xml:space="preserve">Competitor Copies MCP Approach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Speed-to-market advantage (6-month lead); ecosystem lock-in via install base; continuous MCP innovation; exclusive platform partnerships</w:t>
            </w:r>
          </w:p>
        </w:tc>
        <w:tc>
          <w:tcPr/>
          <w:p>
            <w:pPr>
              <w:pStyle w:val="Compact"/>
              <w:jc w:val="left"/>
            </w:pPr>
            <w:r>
              <w:t xml:space="preserve">CEO</w:t>
            </w:r>
          </w:p>
        </w:tc>
        <w:tc>
          <w:tcPr/>
          <w:p>
            <w:pPr>
              <w:pStyle w:val="Compact"/>
              <w:jc w:val="left"/>
            </w:pPr>
            <w:r>
              <w:t xml:space="preserve">Quarterly</w:t>
            </w:r>
          </w:p>
        </w:tc>
      </w:tr>
      <w:tr>
        <w:tc>
          <w:tcPr/>
          <w:p>
            <w:pPr>
              <w:pStyle w:val="Compact"/>
              <w:jc w:val="left"/>
            </w:pPr>
            <w:r>
              <w:rPr>
                <w:bCs/>
                <w:b/>
              </w:rPr>
              <w:t xml:space="preserve">AI Trust Concerns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Draft-first approval model (never auto-execute); explainable AI with reasoning transparency; full audit trails; opt-in only for automated actions; regulatory compliance monitoring</w:t>
            </w:r>
          </w:p>
        </w:tc>
        <w:tc>
          <w:tcPr/>
          <w:p>
            <w:pPr>
              <w:pStyle w:val="Compact"/>
              <w:jc w:val="left"/>
            </w:pPr>
            <w:r>
              <w:t xml:space="preserve">Head of Product</w:t>
            </w:r>
          </w:p>
        </w:tc>
        <w:tc>
          <w:tcPr/>
          <w:p>
            <w:pPr>
              <w:pStyle w:val="Compact"/>
              <w:jc w:val="left"/>
            </w:pPr>
            <w:r>
              <w:t xml:space="preserve">Monthly</w:t>
            </w:r>
          </w:p>
        </w:tc>
      </w:tr>
      <w:tr>
        <w:tc>
          <w:tcPr/>
          <w:p>
            <w:pPr>
              <w:pStyle w:val="Compact"/>
              <w:jc w:val="left"/>
            </w:pPr>
            <w:r>
              <w:rPr>
                <w:bCs/>
                <w:b/>
              </w:rPr>
              <w:t xml:space="preserve">Enterprise Sales Cycle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PLG-first land-and-expand; product usage as qualification signal; self-serve proof of concept; case study library; no enterprise direct sales until $3M ARR</w:t>
            </w:r>
          </w:p>
        </w:tc>
        <w:tc>
          <w:tcPr/>
          <w:p>
            <w:pPr>
              <w:pStyle w:val="Compact"/>
              <w:jc w:val="left"/>
            </w:pPr>
            <w:r>
              <w:t xml:space="preserve">Head of Sales</w:t>
            </w:r>
          </w:p>
        </w:tc>
        <w:tc>
          <w:tcPr/>
          <w:p>
            <w:pPr>
              <w:pStyle w:val="Compact"/>
              <w:jc w:val="left"/>
            </w:pPr>
            <w:r>
              <w:t xml:space="preserve">Quarterly</w:t>
            </w:r>
          </w:p>
        </w:tc>
      </w:tr>
      <w:tr>
        <w:tc>
          <w:tcPr/>
          <w:p>
            <w:pPr>
              <w:pStyle w:val="Compact"/>
              <w:jc w:val="left"/>
            </w:pPr>
            <w:r>
              <w:rPr>
                <w:bCs/>
                <w:b/>
              </w:rPr>
              <w:t xml:space="preserve">Ad Spend Downturn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Flat-fee pricing insulates from spend volatility; value-based messaging (save money, not just manage); vertical diversification (B2B, gaming, e-commerce); recession-resistant customer mix (performance marketing is counter-cyclical for efficiency tools)</w:t>
            </w:r>
          </w:p>
        </w:tc>
        <w:tc>
          <w:tcPr/>
          <w:p>
            <w:pPr>
              <w:pStyle w:val="Compact"/>
              <w:jc w:val="left"/>
            </w:pPr>
            <w:r>
              <w:t xml:space="preserve">CFO</w:t>
            </w:r>
          </w:p>
        </w:tc>
        <w:tc>
          <w:tcPr/>
          <w:p>
            <w:pPr>
              <w:pStyle w:val="Compact"/>
              <w:jc w:val="left"/>
            </w:pPr>
            <w:r>
              <w:t xml:space="preserve">Quarterly</w:t>
            </w:r>
          </w:p>
        </w:tc>
      </w:tr>
      <w:tr>
        <w:tc>
          <w:tcPr/>
          <w:p>
            <w:pPr>
              <w:pStyle w:val="Compact"/>
              <w:jc w:val="left"/>
            </w:pPr>
            <w:r>
              <w:rPr>
                <w:bCs/>
                <w:b/>
              </w:rPr>
              <w:t xml:space="preserve">Data Security Breach</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SOC 2 Type II by Month 18; end-to-end encryption; OAuth 2.0 + scoped tokens; annual penetration testing; GDPR/CCPA compliance; zero-knowledge architecture for sensitive creative assets</w:t>
            </w:r>
          </w:p>
        </w:tc>
        <w:tc>
          <w:tcPr/>
          <w:p>
            <w:pPr>
              <w:pStyle w:val="Compact"/>
              <w:jc w:val="left"/>
            </w:pPr>
            <w:r>
              <w:t xml:space="preserve">CTO</w:t>
            </w:r>
          </w:p>
        </w:tc>
        <w:tc>
          <w:tcPr/>
          <w:p>
            <w:pPr>
              <w:pStyle w:val="Compact"/>
              <w:jc w:val="left"/>
            </w:pPr>
            <w:r>
              <w:t xml:space="preserve">Monthly</w:t>
            </w:r>
          </w:p>
        </w:tc>
      </w:tr>
      <w:tr>
        <w:tc>
          <w:tcPr/>
          <w:p>
            <w:pPr>
              <w:pStyle w:val="Compact"/>
              <w:jc w:val="left"/>
            </w:pPr>
            <w:r>
              <w:rPr>
                <w:bCs/>
                <w:b/>
              </w:rPr>
              <w:t xml:space="preserve">Key Person Dependency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Documented playbooks; cross-functional training; equity vesting schedules; advisory board; distributed team architecture</w:t>
            </w:r>
          </w:p>
        </w:tc>
        <w:tc>
          <w:tcPr/>
          <w:p>
            <w:pPr>
              <w:pStyle w:val="Compact"/>
              <w:jc w:val="left"/>
            </w:pPr>
            <w:r>
              <w:t xml:space="preserve">CEO</w:t>
            </w:r>
          </w:p>
        </w:tc>
        <w:tc>
          <w:tcPr/>
          <w:p>
            <w:pPr>
              <w:pStyle w:val="Compact"/>
              <w:jc w:val="left"/>
            </w:pPr>
            <w:r>
              <w:t xml:space="preserve">Quarterly</w:t>
            </w:r>
          </w:p>
        </w:tc>
      </w:tr>
    </w:tbl>
    <w:bookmarkStart w:id="86" w:name="platform-api-risk-critical"/>
    <w:p>
      <w:pPr>
        <w:pStyle w:val="Heading3"/>
      </w:pPr>
      <w:r>
        <w:t xml:space="preserve">12.1 Platform API Risk (Critical)</w:t>
      </w:r>
    </w:p>
    <w:p>
      <w:pPr>
        <w:pStyle w:val="FirstParagraph"/>
      </w:pPr>
      <w:r>
        <w:t xml:space="preserve">The highest-probability, highest-impact risk is platform API instability. Meta, Google, TikTok, and LinkedIn have historically deprecated APIs with 30-90 day notice, and advertising APIs are particularly volatile as platforms evolve privacy models (iOS 14.5, cookie deprecation, Conversion API migration).</w:t>
      </w:r>
    </w:p>
    <w:p>
      <w:pPr>
        <w:pStyle w:val="BodyText"/>
      </w:pPr>
      <w:r>
        <w:rPr>
          <w:bCs/>
          <w:b/>
        </w:rPr>
        <w:t xml:space="preserve">Mitigation layers:</w:t>
      </w:r>
    </w:p>
    <w:p>
      <w:pPr>
        <w:numPr>
          <w:ilvl w:val="0"/>
          <w:numId w:val="1014"/>
        </w:numPr>
        <w:pStyle w:val="Compact"/>
      </w:pPr>
      <w:r>
        <w:rPr>
          <w:bCs/>
          <w:b/>
        </w:rPr>
        <w:t xml:space="preserve">Abstraction Layer</w:t>
      </w:r>
      <w:r>
        <w:t xml:space="preserve">: All platform interactions flow through a unified internal API. If Meta changes its Insights API, only the Meta adapter requires updates—not the entire product.</w:t>
      </w:r>
    </w:p>
    <w:p>
      <w:pPr>
        <w:numPr>
          <w:ilvl w:val="0"/>
          <w:numId w:val="1014"/>
        </w:numPr>
        <w:pStyle w:val="Compact"/>
      </w:pPr>
      <w:r>
        <w:rPr>
          <w:bCs/>
          <w:b/>
        </w:rPr>
        <w:t xml:space="preserve">Multi-Platform Redundancy</w:t>
      </w:r>
      <w:r>
        <w:t xml:space="preserve">: No single platform represents more than 40% of connected accounts. If one platform becomes unusable, users retain value across the other three.</w:t>
      </w:r>
    </w:p>
    <w:p>
      <w:pPr>
        <w:numPr>
          <w:ilvl w:val="0"/>
          <w:numId w:val="1014"/>
        </w:numPr>
        <w:pStyle w:val="Compact"/>
      </w:pPr>
      <w:r>
        <w:rPr>
          <w:bCs/>
          <w:b/>
        </w:rPr>
        <w:t xml:space="preserve">Platform Partnerships</w:t>
      </w:r>
      <w:r>
        <w:t xml:space="preserve">: Formal partnerships with Meta Marketing Partners and Google Partners programs provide early API change notification (60-90 days) and escalation paths.</w:t>
      </w:r>
    </w:p>
    <w:p>
      <w:pPr>
        <w:numPr>
          <w:ilvl w:val="0"/>
          <w:numId w:val="1014"/>
        </w:numPr>
        <w:pStyle w:val="Compact"/>
      </w:pPr>
      <w:r>
        <w:rPr>
          <w:bCs/>
          <w:b/>
        </w:rPr>
        <w:t xml:space="preserve">Graceful Degradation</w:t>
      </w:r>
      <w:r>
        <w:t xml:space="preserve">: If a platform API is temporarily unavailable, AdNexus continues operating on other platforms and queues actions for the unavailable platform.</w:t>
      </w:r>
    </w:p>
    <w:bookmarkEnd w:id="86"/>
    <w:bookmarkStart w:id="87" w:name="competitive-response-risk"/>
    <w:p>
      <w:pPr>
        <w:pStyle w:val="Heading3"/>
      </w:pPr>
      <w:r>
        <w:t xml:space="preserve">12.2 Competitive Response Risk</w:t>
      </w:r>
    </w:p>
    <w:p>
      <w:pPr>
        <w:pStyle w:val="FirstParagraph"/>
      </w:pPr>
      <w:r>
        <w:t xml:space="preserve">Incumbent platforms (Smartly.io, Skai, Marin Software) or well-funded challengers could replicate the MCP approach. However, the MCP strategy is defensible through:</w:t>
      </w:r>
    </w:p>
    <w:p>
      <w:pPr>
        <w:numPr>
          <w:ilvl w:val="0"/>
          <w:numId w:val="1015"/>
        </w:numPr>
        <w:pStyle w:val="Compact"/>
      </w:pPr>
      <w:r>
        <w:rPr>
          <w:bCs/>
          <w:b/>
        </w:rPr>
        <w:t xml:space="preserve">Speed to Market</w:t>
      </w:r>
      <w:r>
        <w:t xml:space="preserve">: 6-month first-mover advantage in MCP for advertising. By the time competitors respond, AdNexus has 1,000+ installs and brand association.</w:t>
      </w:r>
    </w:p>
    <w:p>
      <w:pPr>
        <w:numPr>
          <w:ilvl w:val="0"/>
          <w:numId w:val="1015"/>
        </w:numPr>
        <w:pStyle w:val="Compact"/>
      </w:pPr>
      <w:r>
        <w:rPr>
          <w:bCs/>
          <w:b/>
        </w:rPr>
        <w:t xml:space="preserve">Ecosystem Lock-In</w:t>
      </w:r>
      <w:r>
        <w:t xml:space="preserve">: The MCP server becomes the reference implementation. Developers build extensions, tutorials, and integrations around AdNexus, creating switching costs.</w:t>
      </w:r>
    </w:p>
    <w:p>
      <w:pPr>
        <w:numPr>
          <w:ilvl w:val="0"/>
          <w:numId w:val="1015"/>
        </w:numPr>
        <w:pStyle w:val="Compact"/>
      </w:pPr>
      <w:r>
        <w:rPr>
          <w:bCs/>
          <w:b/>
        </w:rPr>
        <w:t xml:space="preserve">Network Effects</w:t>
      </w:r>
      <w:r>
        <w:t xml:space="preserve">: Each new user makes the AI training data richer, improving recommendation quality for all users. This data flywheel is not replicable without equivalent scale.</w:t>
      </w:r>
    </w:p>
    <w:bookmarkEnd w:id="87"/>
    <w:bookmarkStart w:id="88" w:name="ai-trust-and-safety-risk"/>
    <w:p>
      <w:pPr>
        <w:pStyle w:val="Heading3"/>
      </w:pPr>
      <w:r>
        <w:t xml:space="preserve">12.3 AI Trust and Safety Risk</w:t>
      </w:r>
    </w:p>
    <w:p>
      <w:pPr>
        <w:pStyle w:val="FirstParagraph"/>
      </w:pPr>
      <w:r>
        <w:t xml:space="preserve">Media buyers will not delegate campaign decisions to AI without trust. A single high-profile mistake—an AI-recommended bid increase that burns a day’s budget—could damage the brand irreparably.</w:t>
      </w:r>
    </w:p>
    <w:p>
      <w:pPr>
        <w:pStyle w:val="BodyText"/>
      </w:pPr>
      <w:r>
        <w:rPr>
          <w:bCs/>
          <w:b/>
        </w:rPr>
        <w:t xml:space="preserve">Mitigation layers:</w:t>
      </w:r>
    </w:p>
    <w:p>
      <w:pPr>
        <w:numPr>
          <w:ilvl w:val="0"/>
          <w:numId w:val="1016"/>
        </w:numPr>
        <w:pStyle w:val="Compact"/>
      </w:pPr>
      <w:r>
        <w:rPr>
          <w:bCs/>
          <w:b/>
        </w:rPr>
        <w:t xml:space="preserve">Draft-First Architecture</w:t>
      </w:r>
      <w:r>
        <w:t xml:space="preserve">: AI never executes directly. All recommendations are drafts requiring explicit human approval. The user is always the final decision-maker.</w:t>
      </w:r>
    </w:p>
    <w:p>
      <w:pPr>
        <w:numPr>
          <w:ilvl w:val="0"/>
          <w:numId w:val="1016"/>
        </w:numPr>
        <w:pStyle w:val="Compact"/>
      </w:pPr>
      <w:r>
        <w:rPr>
          <w:bCs/>
          <w:b/>
        </w:rPr>
        <w:t xml:space="preserve">Explainable AI</w:t>
      </w:r>
      <w:r>
        <w:t xml:space="preserve">: Every recommendation includes a reasoning string:</w:t>
      </w:r>
      <w:r>
        <w:t xml:space="preserve"> </w:t>
      </w:r>
      <w:r>
        <w:t xml:space="preserve">“</w:t>
      </w:r>
      <w:r>
        <w:t xml:space="preserve">Increase budget by 20% because CPA is 15% below target and frequency is below 2.0.</w:t>
      </w:r>
      <w:r>
        <w:t xml:space="preserve">”</w:t>
      </w:r>
    </w:p>
    <w:p>
      <w:pPr>
        <w:numPr>
          <w:ilvl w:val="0"/>
          <w:numId w:val="1016"/>
        </w:numPr>
        <w:pStyle w:val="Compact"/>
      </w:pPr>
      <w:r>
        <w:rPr>
          <w:bCs/>
          <w:b/>
        </w:rPr>
        <w:t xml:space="preserve">Confidence Scoring</w:t>
      </w:r>
      <w:r>
        <w:t xml:space="preserve">: AI recommendations include a confidence score. Users can set minimum confidence thresholds or auto-approve only high-confidence recommendations.</w:t>
      </w:r>
    </w:p>
    <w:p>
      <w:pPr>
        <w:numPr>
          <w:ilvl w:val="0"/>
          <w:numId w:val="1016"/>
        </w:numPr>
        <w:pStyle w:val="Compact"/>
      </w:pPr>
      <w:r>
        <w:rPr>
          <w:bCs/>
          <w:b/>
        </w:rPr>
        <w:t xml:space="preserve">Undo and Rollback</w:t>
      </w:r>
      <w:r>
        <w:t xml:space="preserve">: One-click undo for any approved action, with automatic restoration of previous settings.</w:t>
      </w:r>
    </w:p>
    <w:p>
      <w:pPr>
        <w:numPr>
          <w:ilvl w:val="0"/>
          <w:numId w:val="1016"/>
        </w:numPr>
        <w:pStyle w:val="Compact"/>
      </w:pPr>
      <w:r>
        <w:rPr>
          <w:bCs/>
          <w:b/>
        </w:rPr>
        <w:t xml:space="preserve">Audit Trail</w:t>
      </w:r>
      <w:r>
        <w:t xml:space="preserve">: Complete, immutable log of every AI recommendation, human approval, and system action. Exportable for compliance and post-mortem analysis.</w:t>
      </w:r>
    </w:p>
    <w:p>
      <w:r>
        <w:pict>
          <v:rect style="width:0;height:1.5pt" o:hralign="center" o:hrstd="t" o:hr="t"/>
        </w:pict>
      </w:r>
    </w:p>
    <w:bookmarkEnd w:id="88"/>
    <w:bookmarkEnd w:id="89"/>
    <w:bookmarkStart w:id="94" w:name="conclusion-next-steps"/>
    <w:p>
      <w:pPr>
        <w:pStyle w:val="Heading2"/>
      </w:pPr>
      <w:r>
        <w:t xml:space="preserve">13. Conclusion &amp; Next Steps</w:t>
      </w:r>
    </w:p>
    <w:p>
      <w:pPr>
        <w:pStyle w:val="FirstParagraph"/>
      </w:pPr>
      <w:r>
        <w:t xml:space="preserve">AdNexus AI is positioned to define and dominate the Intelligent Campaign Workspace category. The convergence of four forces—AI capability, MCP ecosystem standardization, advertising platform fragmentation, and media buyer burnout—creates a generational opportunity that will not remain open indefinitely.</w:t>
      </w:r>
    </w:p>
    <w:p>
      <w:pPr>
        <w:pStyle w:val="BodyText"/>
      </w:pPr>
      <w:r>
        <w:t xml:space="preserve">The strategy is clear: win the solo buyer and agency segments through MCP-native distribution and product-led growth; expand into mid-market and enterprise through demonstrated ROI and land-and-expand motion; and build a defensible moat through ecosystem lock-in, data network effects, and outcome-based pricing alignment.</w:t>
      </w:r>
    </w:p>
    <w:bookmarkStart w:id="90" w:name="immediate-actions-next-30-days"/>
    <w:p>
      <w:pPr>
        <w:pStyle w:val="Heading3"/>
      </w:pPr>
      <w:r>
        <w:t xml:space="preserve">13.1 Immediate Actions (Next 30 Days)</w:t>
      </w:r>
    </w:p>
    <w:tbl>
      <w:tblPr>
        <w:tblStyle w:val="Table"/>
        <w:tblW w:type="pct" w:w="5000"/>
        <w:tblLook w:firstRow="1" w:lastRow="0" w:firstColumn="0" w:lastColumn="0" w:noHBand="0" w:noVBand="0" w:val="0020"/>
      </w:tblPr>
      <w:tblGrid>
        <w:gridCol w:w="1408"/>
        <w:gridCol w:w="1232"/>
        <w:gridCol w:w="2288"/>
        <w:gridCol w:w="2992"/>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Deliverable</w:t>
            </w:r>
          </w:p>
        </w:tc>
        <w:tc>
          <w:tcPr/>
          <w:p>
            <w:pPr>
              <w:pStyle w:val="Compact"/>
              <w:jc w:val="left"/>
            </w:pPr>
            <w:r>
              <w:t xml:space="preserve">Success Criteria</w:t>
            </w:r>
          </w:p>
        </w:tc>
      </w:tr>
      <w:tr>
        <w:tc>
          <w:tcPr/>
          <w:p>
            <w:pPr>
              <w:pStyle w:val="Compact"/>
              <w:jc w:val="left"/>
            </w:pPr>
            <w:r>
              <w:rPr>
                <w:bCs/>
                <w:b/>
              </w:rPr>
              <w:t xml:space="preserve">Finalize Beta Design Partners</w:t>
            </w:r>
          </w:p>
        </w:tc>
        <w:tc>
          <w:tcPr/>
          <w:p>
            <w:pPr>
              <w:pStyle w:val="Compact"/>
              <w:jc w:val="left"/>
            </w:pPr>
            <w:r>
              <w:t xml:space="preserve">CEO/Head of Sales</w:t>
            </w:r>
          </w:p>
        </w:tc>
        <w:tc>
          <w:tcPr/>
          <w:p>
            <w:pPr>
              <w:pStyle w:val="Compact"/>
              <w:jc w:val="left"/>
            </w:pPr>
            <w:r>
              <w:t xml:space="preserve">20 signed design partner agreements (10 agencies, 10 solo buyers)</w:t>
            </w:r>
          </w:p>
        </w:tc>
        <w:tc>
          <w:tcPr/>
          <w:p>
            <w:pPr>
              <w:pStyle w:val="Compact"/>
              <w:jc w:val="left"/>
            </w:pPr>
            <w:r>
              <w:t xml:space="preserve">20 executed agreements with weekly feedback commitment</w:t>
            </w:r>
          </w:p>
        </w:tc>
      </w:tr>
      <w:tr>
        <w:tc>
          <w:tcPr/>
          <w:p>
            <w:pPr>
              <w:pStyle w:val="Compact"/>
              <w:jc w:val="left"/>
            </w:pPr>
            <w:r>
              <w:rPr>
                <w:bCs/>
                <w:b/>
              </w:rPr>
              <w:t xml:space="preserve">Ship MCP Server v1 (Read-Only)</w:t>
            </w:r>
          </w:p>
        </w:tc>
        <w:tc>
          <w:tcPr/>
          <w:p>
            <w:pPr>
              <w:pStyle w:val="Compact"/>
              <w:jc w:val="left"/>
            </w:pPr>
            <w:r>
              <w:t xml:space="preserve">CTO/Engineering</w:t>
            </w:r>
          </w:p>
        </w:tc>
        <w:tc>
          <w:tcPr/>
          <w:p>
            <w:pPr>
              <w:pStyle w:val="Compact"/>
              <w:jc w:val="left"/>
            </w:pPr>
            <w:r>
              <w:t xml:space="preserve">Open-source GitHub repo with Meta + Google read support</w:t>
            </w:r>
          </w:p>
        </w:tc>
        <w:tc>
          <w:tcPr/>
          <w:p>
            <w:pPr>
              <w:pStyle w:val="Compact"/>
              <w:jc w:val="left"/>
            </w:pPr>
            <w:r>
              <w:t xml:space="preserve">100 GitHub stars, 50 installs in first 2 weeks</w:t>
            </w:r>
          </w:p>
        </w:tc>
      </w:tr>
      <w:tr>
        <w:tc>
          <w:tcPr/>
          <w:p>
            <w:pPr>
              <w:pStyle w:val="Compact"/>
              <w:jc w:val="left"/>
            </w:pPr>
            <w:r>
              <w:rPr>
                <w:bCs/>
                <w:b/>
              </w:rPr>
              <w:t xml:space="preserve">Launch Landing Page</w:t>
            </w:r>
          </w:p>
        </w:tc>
        <w:tc>
          <w:tcPr/>
          <w:p>
            <w:pPr>
              <w:pStyle w:val="Compact"/>
              <w:jc w:val="left"/>
            </w:pPr>
            <w:r>
              <w:t xml:space="preserve">Head of Growth</w:t>
            </w:r>
          </w:p>
        </w:tc>
        <w:tc>
          <w:tcPr/>
          <w:p>
            <w:pPr>
              <w:pStyle w:val="Compact"/>
              <w:jc w:val="left"/>
            </w:pPr>
            <w:r>
              <w:t xml:space="preserve">Webflow/Webpage with product demo video, pricing, waitlist</w:t>
            </w:r>
          </w:p>
        </w:tc>
        <w:tc>
          <w:tcPr/>
          <w:p>
            <w:pPr>
              <w:pStyle w:val="Compact"/>
              <w:jc w:val="left"/>
            </w:pPr>
            <w:r>
              <w:t xml:space="preserve">1,000 email signups, 5% trial conversion rate</w:t>
            </w:r>
          </w:p>
        </w:tc>
      </w:tr>
      <w:tr>
        <w:tc>
          <w:tcPr/>
          <w:p>
            <w:pPr>
              <w:pStyle w:val="Compact"/>
              <w:jc w:val="left"/>
            </w:pPr>
            <w:r>
              <w:rPr>
                <w:bCs/>
                <w:b/>
              </w:rPr>
              <w:t xml:space="preserve">Begin Content SEO Engine</w:t>
            </w:r>
          </w:p>
        </w:tc>
        <w:tc>
          <w:tcPr/>
          <w:p>
            <w:pPr>
              <w:pStyle w:val="Compact"/>
              <w:jc w:val="left"/>
            </w:pPr>
            <w:r>
              <w:t xml:space="preserve">Head of Growth</w:t>
            </w:r>
          </w:p>
        </w:tc>
        <w:tc>
          <w:tcPr/>
          <w:p>
            <w:pPr>
              <w:pStyle w:val="Compact"/>
              <w:jc w:val="left"/>
            </w:pPr>
            <w:r>
              <w:t xml:space="preserve">10 pillar articles targeting</w:t>
            </w:r>
            <w:r>
              <w:t xml:space="preserve"> </w:t>
            </w:r>
            <w:r>
              <w:t xml:space="preserve">“</w:t>
            </w:r>
            <w:r>
              <w:t xml:space="preserve">MCP advertising,</w:t>
            </w:r>
            <w:r>
              <w:t xml:space="preserve">”</w:t>
            </w:r>
            <w:r>
              <w:t xml:space="preserve"> </w:t>
            </w:r>
            <w:r>
              <w:t xml:space="preserve">“</w:t>
            </w:r>
            <w:r>
              <w:t xml:space="preserve">AI campaign management,</w:t>
            </w:r>
            <w:r>
              <w:t xml:space="preserve">”</w:t>
            </w:r>
            <w:r>
              <w:t xml:space="preserve"> </w:t>
            </w:r>
            <w:r>
              <w:t xml:space="preserve">“</w:t>
            </w:r>
            <w:r>
              <w:t xml:space="preserve">creative fatigue</w:t>
            </w:r>
            <w:r>
              <w:t xml:space="preserve">”</w:t>
            </w:r>
          </w:p>
        </w:tc>
        <w:tc>
          <w:tcPr/>
          <w:p>
            <w:pPr>
              <w:pStyle w:val="Compact"/>
              <w:jc w:val="left"/>
            </w:pPr>
            <w:r>
              <w:t xml:space="preserve">Indexed by Google, 500 organic visits in Month 1</w:t>
            </w:r>
          </w:p>
        </w:tc>
      </w:tr>
      <w:tr>
        <w:tc>
          <w:tcPr/>
          <w:p>
            <w:pPr>
              <w:pStyle w:val="Compact"/>
              <w:jc w:val="left"/>
            </w:pPr>
            <w:r>
              <w:rPr>
                <w:bCs/>
                <w:b/>
              </w:rPr>
              <w:t xml:space="preserve">Fundraise Preparation</w:t>
            </w:r>
          </w:p>
        </w:tc>
        <w:tc>
          <w:tcPr/>
          <w:p>
            <w:pPr>
              <w:pStyle w:val="Compact"/>
              <w:jc w:val="left"/>
            </w:pPr>
            <w:r>
              <w:t xml:space="preserve">CEO</w:t>
            </w:r>
          </w:p>
        </w:tc>
        <w:tc>
          <w:tcPr/>
          <w:p>
            <w:pPr>
              <w:pStyle w:val="Compact"/>
              <w:jc w:val="left"/>
            </w:pPr>
            <w:r>
              <w:t xml:space="preserve">Y Combinator application, seed deck, financial model, demo video</w:t>
            </w:r>
          </w:p>
        </w:tc>
        <w:tc>
          <w:tcPr/>
          <w:p>
            <w:pPr>
              <w:pStyle w:val="Compact"/>
              <w:jc w:val="left"/>
            </w:pPr>
            <w:r>
              <w:t xml:space="preserve">Submit YC W25 batch, 10 investor conversations</w:t>
            </w:r>
          </w:p>
        </w:tc>
      </w:tr>
    </w:tbl>
    <w:bookmarkEnd w:id="90"/>
    <w:bookmarkStart w:id="91" w:name="day-milestones"/>
    <w:p>
      <w:pPr>
        <w:pStyle w:val="Heading3"/>
      </w:pPr>
      <w:r>
        <w:t xml:space="preserve">13.2 90-Day Milestones</w:t>
      </w:r>
    </w:p>
    <w:tbl>
      <w:tblPr>
        <w:tblStyle w:val="Table"/>
        <w:tblW w:type="pct" w:w="5000"/>
        <w:tblLook w:firstRow="1" w:lastRow="0" w:firstColumn="0" w:lastColumn="0" w:noHBand="0" w:noVBand="0" w:val="0020"/>
      </w:tblPr>
      <w:tblGrid>
        <w:gridCol w:w="2722"/>
        <w:gridCol w:w="1980"/>
        <w:gridCol w:w="3217"/>
      </w:tblGrid>
      <w:tr>
        <w:trPr>
          <w:tblHeader w:val="true"/>
        </w:trPr>
        <w:tc>
          <w:tcPr/>
          <w:p>
            <w:pPr>
              <w:pStyle w:val="Compact"/>
              <w:jc w:val="left"/>
            </w:pPr>
            <w:r>
              <w:t xml:space="preserve">Milestone</w:t>
            </w:r>
          </w:p>
        </w:tc>
        <w:tc>
          <w:tcPr/>
          <w:p>
            <w:pPr>
              <w:pStyle w:val="Compact"/>
              <w:jc w:val="left"/>
            </w:pPr>
            <w:r>
              <w:t xml:space="preserve">Metric</w:t>
            </w:r>
          </w:p>
        </w:tc>
        <w:tc>
          <w:tcPr/>
          <w:p>
            <w:pPr>
              <w:pStyle w:val="Compact"/>
              <w:jc w:val="left"/>
            </w:pPr>
            <w:r>
              <w:t xml:space="preserve">Implication</w:t>
            </w:r>
          </w:p>
        </w:tc>
      </w:tr>
      <w:tr>
        <w:tc>
          <w:tcPr/>
          <w:p>
            <w:pPr>
              <w:pStyle w:val="Compact"/>
              <w:jc w:val="left"/>
            </w:pPr>
            <w:r>
              <w:rPr>
                <w:bCs/>
                <w:b/>
              </w:rPr>
              <w:t xml:space="preserve">Beta Traction</w:t>
            </w:r>
          </w:p>
        </w:tc>
        <w:tc>
          <w:tcPr/>
          <w:p>
            <w:pPr>
              <w:pStyle w:val="Compact"/>
              <w:jc w:val="left"/>
            </w:pPr>
            <w:r>
              <w:t xml:space="preserve">100 beta users actively creating drafts</w:t>
            </w:r>
          </w:p>
        </w:tc>
        <w:tc>
          <w:tcPr/>
          <w:p>
            <w:pPr>
              <w:pStyle w:val="Compact"/>
              <w:jc w:val="left"/>
            </w:pPr>
            <w:r>
              <w:t xml:space="preserve">Product-market fit signal</w:t>
            </w:r>
          </w:p>
        </w:tc>
      </w:tr>
      <w:tr>
        <w:tc>
          <w:tcPr/>
          <w:p>
            <w:pPr>
              <w:pStyle w:val="Compact"/>
              <w:jc w:val="left"/>
            </w:pPr>
            <w:r>
              <w:rPr>
                <w:bCs/>
                <w:b/>
              </w:rPr>
              <w:t xml:space="preserve">MCP Traction</w:t>
            </w:r>
          </w:p>
        </w:tc>
        <w:tc>
          <w:tcPr/>
          <w:p>
            <w:pPr>
              <w:pStyle w:val="Compact"/>
              <w:jc w:val="left"/>
            </w:pPr>
            <w:r>
              <w:t xml:space="preserve">500+ MCP server installs</w:t>
            </w:r>
          </w:p>
        </w:tc>
        <w:tc>
          <w:tcPr/>
          <w:p>
            <w:pPr>
              <w:pStyle w:val="Compact"/>
              <w:jc w:val="left"/>
            </w:pPr>
            <w:r>
              <w:t xml:space="preserve">Ecosystem validation</w:t>
            </w:r>
          </w:p>
        </w:tc>
      </w:tr>
      <w:tr>
        <w:tc>
          <w:tcPr/>
          <w:p>
            <w:pPr>
              <w:pStyle w:val="Compact"/>
              <w:jc w:val="left"/>
            </w:pPr>
            <w:r>
              <w:rPr>
                <w:bCs/>
                <w:b/>
              </w:rPr>
              <w:t xml:space="preserve">First Revenue</w:t>
            </w:r>
          </w:p>
        </w:tc>
        <w:tc>
          <w:tcPr/>
          <w:p>
            <w:pPr>
              <w:pStyle w:val="Compact"/>
              <w:jc w:val="left"/>
            </w:pPr>
            <w:r>
              <w:t xml:space="preserve">$5,000 MRR</w:t>
            </w:r>
          </w:p>
        </w:tc>
        <w:tc>
          <w:tcPr/>
          <w:p>
            <w:pPr>
              <w:pStyle w:val="Compact"/>
              <w:jc w:val="left"/>
            </w:pPr>
            <w:r>
              <w:t xml:space="preserve">Viability confirmation</w:t>
            </w:r>
          </w:p>
        </w:tc>
      </w:tr>
      <w:tr>
        <w:tc>
          <w:tcPr/>
          <w:p>
            <w:pPr>
              <w:pStyle w:val="Compact"/>
              <w:jc w:val="left"/>
            </w:pPr>
            <w:r>
              <w:rPr>
                <w:bCs/>
                <w:b/>
              </w:rPr>
              <w:t xml:space="preserve">Product Hunt Launch</w:t>
            </w:r>
          </w:p>
        </w:tc>
        <w:tc>
          <w:tcPr/>
          <w:p>
            <w:pPr>
              <w:pStyle w:val="Compact"/>
              <w:jc w:val="left"/>
            </w:pPr>
            <w:r>
              <w:t xml:space="preserve">500+ upvotes, 100+ signups</w:t>
            </w:r>
          </w:p>
        </w:tc>
        <w:tc>
          <w:tcPr/>
          <w:p>
            <w:pPr>
              <w:pStyle w:val="Compact"/>
              <w:jc w:val="left"/>
            </w:pPr>
            <w:r>
              <w:t xml:space="preserve">Market awareness and social proof</w:t>
            </w:r>
          </w:p>
        </w:tc>
      </w:tr>
      <w:tr>
        <w:tc>
          <w:tcPr/>
          <w:p>
            <w:pPr>
              <w:pStyle w:val="Compact"/>
              <w:jc w:val="left"/>
            </w:pPr>
            <w:r>
              <w:rPr>
                <w:bCs/>
                <w:b/>
              </w:rPr>
              <w:t xml:space="preserve">Content Engine</w:t>
            </w:r>
          </w:p>
        </w:tc>
        <w:tc>
          <w:tcPr/>
          <w:p>
            <w:pPr>
              <w:pStyle w:val="Compact"/>
              <w:jc w:val="left"/>
            </w:pPr>
            <w:r>
              <w:t xml:space="preserve">25 published articles, 2,000 monthly organic visits</w:t>
            </w:r>
          </w:p>
        </w:tc>
        <w:tc>
          <w:tcPr/>
          <w:p>
            <w:pPr>
              <w:pStyle w:val="Compact"/>
              <w:jc w:val="left"/>
            </w:pPr>
            <w:r>
              <w:t xml:space="preserve">SEO flywheel initiated</w:t>
            </w:r>
          </w:p>
        </w:tc>
      </w:tr>
      <w:tr>
        <w:tc>
          <w:tcPr/>
          <w:p>
            <w:pPr>
              <w:pStyle w:val="Compact"/>
              <w:jc w:val="left"/>
            </w:pPr>
            <w:r>
              <w:rPr>
                <w:bCs/>
                <w:b/>
              </w:rPr>
              <w:t xml:space="preserve">Team</w:t>
            </w:r>
          </w:p>
        </w:tc>
        <w:tc>
          <w:tcPr/>
          <w:p>
            <w:pPr>
              <w:pStyle w:val="Compact"/>
              <w:jc w:val="left"/>
            </w:pPr>
            <w:r>
              <w:t xml:space="preserve">5 FTEs (3 engineering, 1 product, 1 growth)</w:t>
            </w:r>
          </w:p>
        </w:tc>
        <w:tc>
          <w:tcPr/>
          <w:p>
            <w:pPr>
              <w:pStyle w:val="Compact"/>
              <w:jc w:val="left"/>
            </w:pPr>
            <w:r>
              <w:t xml:space="preserve">Execution capacity secured</w:t>
            </w:r>
          </w:p>
        </w:tc>
      </w:tr>
    </w:tbl>
    <w:bookmarkEnd w:id="91"/>
    <w:bookmarkStart w:id="92" w:name="month-strategic-objectives"/>
    <w:p>
      <w:pPr>
        <w:pStyle w:val="Heading3"/>
      </w:pPr>
      <w:r>
        <w:t xml:space="preserve">13.3 12-Month Strategic Objectives</w:t>
      </w:r>
    </w:p>
    <w:tbl>
      <w:tblPr>
        <w:tblStyle w:val="Table"/>
        <w:tblW w:type="pct" w:w="5000"/>
        <w:tblLook w:firstRow="1" w:lastRow="0" w:firstColumn="0" w:lastColumn="0" w:noHBand="0" w:noVBand="0" w:val="0020"/>
      </w:tblPr>
      <w:tblGrid>
        <w:gridCol w:w="2124"/>
        <w:gridCol w:w="1545"/>
        <w:gridCol w:w="4249"/>
      </w:tblGrid>
      <w:tr>
        <w:trPr>
          <w:tblHeader w:val="true"/>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Strategic Significance</w:t>
            </w:r>
          </w:p>
        </w:tc>
      </w:tr>
      <w:tr>
        <w:tc>
          <w:tcPr/>
          <w:p>
            <w:pPr>
              <w:pStyle w:val="Compact"/>
              <w:jc w:val="left"/>
            </w:pPr>
            <w:r>
              <w:t xml:space="preserve">ARR</w:t>
            </w:r>
          </w:p>
        </w:tc>
        <w:tc>
          <w:tcPr/>
          <w:p>
            <w:pPr>
              <w:pStyle w:val="Compact"/>
              <w:jc w:val="left"/>
            </w:pPr>
            <w:r>
              <w:t xml:space="preserve">$600,000</w:t>
            </w:r>
          </w:p>
        </w:tc>
        <w:tc>
          <w:tcPr/>
          <w:p>
            <w:pPr>
              <w:pStyle w:val="Compact"/>
              <w:jc w:val="left"/>
            </w:pPr>
            <w:r>
              <w:t xml:space="preserve">Seed-stage traction for Series A</w:t>
            </w:r>
          </w:p>
        </w:tc>
      </w:tr>
      <w:tr>
        <w:tc>
          <w:tcPr/>
          <w:p>
            <w:pPr>
              <w:pStyle w:val="Compact"/>
              <w:jc w:val="left"/>
            </w:pPr>
            <w:r>
              <w:t xml:space="preserve">Paying Customers</w:t>
            </w:r>
          </w:p>
        </w:tc>
        <w:tc>
          <w:tcPr/>
          <w:p>
            <w:pPr>
              <w:pStyle w:val="Compact"/>
              <w:jc w:val="left"/>
            </w:pPr>
            <w:r>
              <w:t xml:space="preserve">350</w:t>
            </w:r>
          </w:p>
        </w:tc>
        <w:tc>
          <w:tcPr/>
          <w:p>
            <w:pPr>
              <w:pStyle w:val="Compact"/>
              <w:jc w:val="left"/>
            </w:pPr>
            <w:r>
              <w:t xml:space="preserve">Validated unit economics</w:t>
            </w:r>
          </w:p>
        </w:tc>
      </w:tr>
      <w:tr>
        <w:tc>
          <w:tcPr/>
          <w:p>
            <w:pPr>
              <w:pStyle w:val="Compact"/>
              <w:jc w:val="left"/>
            </w:pPr>
            <w:r>
              <w:t xml:space="preserve">NDR</w:t>
            </w:r>
          </w:p>
        </w:tc>
        <w:tc>
          <w:tcPr/>
          <w:p>
            <w:pPr>
              <w:pStyle w:val="Compact"/>
              <w:jc w:val="left"/>
            </w:pPr>
            <w:r>
              <w:t xml:space="preserve">110%</w:t>
            </w:r>
          </w:p>
        </w:tc>
        <w:tc>
          <w:tcPr/>
          <w:p>
            <w:pPr>
              <w:pStyle w:val="Compact"/>
              <w:jc w:val="left"/>
            </w:pPr>
            <w:r>
              <w:t xml:space="preserve">Positive expansion signal</w:t>
            </w:r>
          </w:p>
        </w:tc>
      </w:tr>
      <w:tr>
        <w:tc>
          <w:tcPr/>
          <w:p>
            <w:pPr>
              <w:pStyle w:val="Compact"/>
              <w:jc w:val="left"/>
            </w:pPr>
            <w:r>
              <w:t xml:space="preserve">MCP Installs</w:t>
            </w:r>
          </w:p>
        </w:tc>
        <w:tc>
          <w:tcPr/>
          <w:p>
            <w:pPr>
              <w:pStyle w:val="Compact"/>
              <w:jc w:val="left"/>
            </w:pPr>
            <w:r>
              <w:t xml:space="preserve">1,000+</w:t>
            </w:r>
          </w:p>
        </w:tc>
        <w:tc>
          <w:tcPr/>
          <w:p>
            <w:pPr>
              <w:pStyle w:val="Compact"/>
              <w:jc w:val="left"/>
            </w:pPr>
            <w:r>
              <w:t xml:space="preserve">Ecosystem moat established</w:t>
            </w:r>
          </w:p>
        </w:tc>
      </w:tr>
      <w:tr>
        <w:tc>
          <w:tcPr/>
          <w:p>
            <w:pPr>
              <w:pStyle w:val="Compact"/>
              <w:jc w:val="left"/>
            </w:pPr>
            <w:r>
              <w:t xml:space="preserve">Agency Partners</w:t>
            </w:r>
          </w:p>
        </w:tc>
        <w:tc>
          <w:tcPr/>
          <w:p>
            <w:pPr>
              <w:pStyle w:val="Compact"/>
              <w:jc w:val="left"/>
            </w:pPr>
            <w:r>
              <w:t xml:space="preserve">50 active</w:t>
            </w:r>
          </w:p>
        </w:tc>
        <w:tc>
          <w:tcPr/>
          <w:p>
            <w:pPr>
              <w:pStyle w:val="Compact"/>
              <w:jc w:val="left"/>
            </w:pPr>
            <w:r>
              <w:t xml:space="preserve">Channel scalability proven</w:t>
            </w:r>
          </w:p>
        </w:tc>
      </w:tr>
      <w:tr>
        <w:tc>
          <w:tcPr/>
          <w:p>
            <w:pPr>
              <w:pStyle w:val="Compact"/>
              <w:jc w:val="left"/>
            </w:pPr>
            <w:r>
              <w:t xml:space="preserve">Organic Traffic</w:t>
            </w:r>
          </w:p>
        </w:tc>
        <w:tc>
          <w:tcPr/>
          <w:p>
            <w:pPr>
              <w:pStyle w:val="Compact"/>
              <w:jc w:val="left"/>
            </w:pPr>
            <w:r>
              <w:t xml:space="preserve">50,000 monthly visits</w:t>
            </w:r>
          </w:p>
        </w:tc>
        <w:tc>
          <w:tcPr/>
          <w:p>
            <w:pPr>
              <w:pStyle w:val="Compact"/>
              <w:jc w:val="left"/>
            </w:pPr>
            <w:r>
              <w:t xml:space="preserve">Sustainable acquisition engine</w:t>
            </w:r>
          </w:p>
        </w:tc>
      </w:tr>
      <w:tr>
        <w:tc>
          <w:tcPr/>
          <w:p>
            <w:pPr>
              <w:pStyle w:val="Compact"/>
              <w:jc w:val="left"/>
            </w:pPr>
            <w:r>
              <w:t xml:space="preserve">NPS</w:t>
            </w:r>
          </w:p>
        </w:tc>
        <w:tc>
          <w:tcPr/>
          <w:p>
            <w:pPr>
              <w:pStyle w:val="Compact"/>
              <w:jc w:val="left"/>
            </w:pPr>
            <w:r>
              <w:t xml:space="preserve">&gt;50</w:t>
            </w:r>
          </w:p>
        </w:tc>
        <w:tc>
          <w:tcPr/>
          <w:p>
            <w:pPr>
              <w:pStyle w:val="Compact"/>
              <w:jc w:val="left"/>
            </w:pPr>
            <w:r>
              <w:t xml:space="preserve">Product love and referral engine</w:t>
            </w:r>
          </w:p>
        </w:tc>
      </w:tr>
      <w:tr>
        <w:tc>
          <w:tcPr/>
          <w:p>
            <w:pPr>
              <w:pStyle w:val="Compact"/>
              <w:jc w:val="left"/>
            </w:pPr>
            <w:r>
              <w:t xml:space="preserve">Team</w:t>
            </w:r>
          </w:p>
        </w:tc>
        <w:tc>
          <w:tcPr/>
          <w:p>
            <w:pPr>
              <w:pStyle w:val="Compact"/>
              <w:jc w:val="left"/>
            </w:pPr>
            <w:r>
              <w:t xml:space="preserve">10-12 FTEs</w:t>
            </w:r>
          </w:p>
        </w:tc>
        <w:tc>
          <w:tcPr/>
          <w:p>
            <w:pPr>
              <w:pStyle w:val="Compact"/>
              <w:jc w:val="left"/>
            </w:pPr>
            <w:r>
              <w:t xml:space="preserve">Scale execution capability</w:t>
            </w:r>
          </w:p>
        </w:tc>
      </w:tr>
    </w:tbl>
    <w:bookmarkEnd w:id="92"/>
    <w:bookmarkStart w:id="93" w:name="vision-statement-1"/>
    <w:p>
      <w:pPr>
        <w:pStyle w:val="Heading3"/>
      </w:pPr>
      <w:r>
        <w:t xml:space="preserve">13.4 Vision Statement</w:t>
      </w:r>
    </w:p>
    <w:p>
      <w:pPr>
        <w:pStyle w:val="BlockText"/>
      </w:pPr>
      <w:r>
        <w:t xml:space="preserve">“</w:t>
      </w:r>
      <w:r>
        <w:t xml:space="preserve">Every ad campaign in the world will be managed through an Intelligent Campaign Workspace where humans and AI collaborate with trust, transparency, and control. AdNexus AI is building that workspace.</w:t>
      </w:r>
      <w:r>
        <w:t xml:space="preserve">”</w:t>
      </w:r>
    </w:p>
    <w:p>
      <w:pPr>
        <w:pStyle w:val="FirstParagraph"/>
      </w:pPr>
      <w:r>
        <w:t xml:space="preserve">This vision is not merely aspirational—it is technically feasible and commercially urgent. The $750 billion global advertising industry still runs primarily on spreadsheets, manual copy-paste workflows, and gut intuition. The practitioners are exhausted. The platforms are fragmented. The AI is ready. And the distribution channel—MCP—is now open.</w:t>
      </w:r>
    </w:p>
    <w:p>
      <w:pPr>
        <w:pStyle w:val="BodyText"/>
      </w:pPr>
      <w:r>
        <w:t xml:space="preserve">AdNexus AI has the product strategy, the pricing architecture, the distribution plan, and the team thesis to capture this market. The next 90 days will establish whether this thesis translates into traction. The next 12 months will determine whether AdNexus becomes the category leader or a footnote. The window is open. Execution is everything.</w:t>
      </w:r>
    </w:p>
    <w:p>
      <w:r>
        <w:pict>
          <v:rect style="width:0;height:1.5pt" o:hralign="center" o:hrstd="t" o:hr="t"/>
        </w:pict>
      </w:r>
    </w:p>
    <w:p>
      <w:pPr>
        <w:pStyle w:val="FirstParagraph"/>
      </w:pPr>
      <w:r>
        <w:rPr>
          <w:iCs/>
          <w:i/>
        </w:rPr>
        <w:t xml:space="preserve">Document prepared by AdNexus AI Strategy Team. For internal and investor use. Do not distribute.</w:t>
      </w:r>
    </w:p>
    <w:p>
      <w:pPr>
        <w:pStyle w:val="BodyText"/>
      </w:pPr>
      <w:r>
        <w:rPr>
          <w:iCs/>
          <w:i/>
        </w:rPr>
        <w:t xml:space="preserve">End of Part 3 — Go-to-Market Strategy, Business Model, and Success Metrics</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AdNexus AI ��� Strategy, Concept &amp; Roadmap</dc:title>
  <dc:creator>Research Team</dc:creator>
  <cp:keywords/>
  <dcterms:created xsi:type="dcterms:W3CDTF">2026-05-21T08:30:38Z</dcterms:created>
  <dcterms:modified xsi:type="dcterms:W3CDTF">2026-05-21T08:30:38Z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