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859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85900" cy="857250"/>
                    </a:xfrm>
                    <a:prstGeom prst="rect">
                      <a:avLst/>
                    </a:prstGeom>
                  </pic:spPr>
                </pic:pic>
              </a:graphicData>
            </a:graphic>
          </wp:inline>
        </w:drawing>
      </w:r>
    </w:p>
    <w:p>
      <w:pPr>
        <w:spacing w:line="276" w:lineRule="auto"/>
        <w:jc w:val="center"/>
      </w:pPr>
      <w:r>
        <w:rPr>
          <w:rFonts w:ascii="Times New Roman" w:cs="Times New Roman" w:eastAsia="Times New Roman" w:hAnsi="Times New Roman"/>
          <w:b/>
          <w:bCs/>
          <w:sz w:val="24"/>
          <w:szCs w:val="24"/>
        </w:rPr>
        <w:t xml:space="preserve">МИНОБРНАУКИ РОССИИ</w:t>
      </w:r>
    </w:p>
    <w:p>
      <w:pPr>
        <w:spacing w:line="276" w:lineRule="auto"/>
        <w:jc w:val="center"/>
      </w:pPr>
      <w:r>
        <w:rPr>
          <w:rFonts w:ascii="Times New Roman" w:cs="Times New Roman" w:eastAsia="Times New Roman" w:hAnsi="Times New Roman"/>
          <w:b/>
          <w:bCs/>
          <w:sz w:val="24"/>
          <w:szCs w:val="24"/>
        </w:rPr>
        <w:t xml:space="preserve">федеральное государственное бюджетное образовательное учреждение</w:t>
      </w:r>
    </w:p>
    <w:p>
      <w:pPr>
        <w:spacing w:line="276" w:lineRule="auto"/>
        <w:jc w:val="center"/>
      </w:pPr>
      <w:r>
        <w:rPr>
          <w:rFonts w:ascii="Times New Roman" w:cs="Times New Roman" w:eastAsia="Times New Roman" w:hAnsi="Times New Roman"/>
          <w:b/>
          <w:bCs/>
          <w:sz w:val="24"/>
          <w:szCs w:val="24"/>
        </w:rPr>
        <w:t xml:space="preserve">высшего образования</w:t>
      </w:r>
    </w:p>
    <w:p>
      <w:pPr>
        <w:spacing w:line="276" w:lineRule="auto"/>
        <w:jc w:val="center"/>
      </w:pPr>
      <w:r>
        <w:rPr>
          <w:rFonts w:ascii="Times New Roman" w:cs="Times New Roman" w:eastAsia="Times New Roman" w:hAnsi="Times New Roman"/>
          <w:b/>
          <w:bCs/>
          <w:sz w:val="24"/>
          <w:szCs w:val="24"/>
        </w:rPr>
        <w:t xml:space="preserve">«Московский государственный технологический университет «СТАНКИН»</w:t>
      </w:r>
    </w:p>
    <w:p>
      <w:pPr>
        <w:spacing w:line="276" w:lineRule="auto"/>
        <w:jc w:val="center"/>
      </w:pPr>
      <w:r>
        <w:rPr>
          <w:rFonts w:ascii="Times New Roman" w:cs="Times New Roman" w:eastAsia="Times New Roman" w:hAnsi="Times New Roman"/>
          <w:b/>
          <w:bCs/>
          <w:sz w:val="24"/>
          <w:szCs w:val="24"/>
        </w:rPr>
        <w:t xml:space="preserve">(ФГБОУ ВО «МГТУ «СТАНКИН»)</w:t>
      </w:r>
    </w:p>
    <w:p>
      <w:pPr>
        <w:spacing w:line="276" w:lineRule="auto"/>
        <w:jc w:val="both"/>
      </w:pPr>
    </w:p>
    <w:p>
      <w:pPr>
        <w:spacing w:line="276" w:lineRule="auto"/>
        <w:jc w:val="center"/>
      </w:pPr>
      <w:r>
        <w:rPr>
          <w:rFonts w:ascii="Times New Roman" w:cs="Times New Roman" w:eastAsia="Times New Roman" w:hAnsi="Times New Roman"/>
          <w:b w:val="false"/>
          <w:bCs w:val="false"/>
          <w:sz w:val="24"/>
          <w:szCs w:val="24"/>
        </w:rPr>
        <w:t xml:space="preserve">Кафедра «Управление и информатика в технических системах»</w:t>
      </w:r>
    </w:p>
    <w:p>
      <w:pPr>
        <w:spacing w:line="276" w:lineRule="auto"/>
        <w:jc w:val="center"/>
      </w:pPr>
      <w:r>
        <w:rPr>
          <w:rFonts w:ascii="Times New Roman" w:cs="Times New Roman" w:eastAsia="Times New Roman" w:hAnsi="Times New Roman"/>
          <w:b w:val="false"/>
          <w:bCs w:val="false"/>
          <w:sz w:val="24"/>
          <w:szCs w:val="24"/>
        </w:rPr>
        <w:t xml:space="preserve">Учебный курс «Информационные системы и технологии»</w:t>
      </w:r>
    </w:p>
    <w:p>
      <w:pPr>
        <w:spacing w:line="276" w:lineRule="auto"/>
        <w:jc w:val="both"/>
      </w:pPr>
    </w:p>
    <w:p>
      <w:pPr>
        <w:spacing w:line="276" w:lineRule="auto"/>
        <w:jc w:val="center"/>
      </w:pPr>
      <w:r>
        <w:rPr>
          <w:rFonts w:ascii="Times New Roman" w:cs="Times New Roman" w:eastAsia="Times New Roman" w:hAnsi="Times New Roman"/>
          <w:b/>
          <w:bCs/>
          <w:sz w:val="24"/>
          <w:szCs w:val="24"/>
        </w:rPr>
        <w:t xml:space="preserve">ОТЧЕТ</w:t>
      </w:r>
    </w:p>
    <w:p>
      <w:pPr>
        <w:spacing w:line="276" w:lineRule="auto"/>
        <w:jc w:val="center"/>
      </w:pPr>
      <w:r>
        <w:rPr>
          <w:rFonts w:ascii="Times New Roman" w:cs="Times New Roman" w:eastAsia="Times New Roman" w:hAnsi="Times New Roman"/>
          <w:b/>
          <w:bCs/>
          <w:sz w:val="24"/>
          <w:szCs w:val="24"/>
        </w:rPr>
        <w:t xml:space="preserve">о выполнении лабораторной работы № 1</w:t>
      </w:r>
    </w:p>
    <w:p>
      <w:pPr>
        <w:spacing w:line="276" w:lineRule="auto"/>
        <w:jc w:val="both"/>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Семестр:</w:t>
            </w:r>
          </w:p>
        </w:tc>
        <w:tc>
          <w:tcPr>
            <w:tcW w:type="dxa" w:w="6838"/>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7 семестр</w:t>
            </w:r>
          </w:p>
        </w:tc>
      </w:tr>
      <w:tr>
        <w:tc>
          <w:tcPr>
            <w:tcW w:type="dxa" w:w="2800"/>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Лабораторная работа:</w:t>
            </w:r>
          </w:p>
        </w:tc>
        <w:tc>
          <w:tcPr>
            <w:tcW w:type="dxa" w:w="6838"/>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C4 Model. Диаграмма системного контекста и диаграмма контейнеров «ИС управления обратной связью клиентов банка» (индивидуальная версия: фокус на поступлении и разметке отзывов)</w:t>
            </w:r>
          </w:p>
        </w:tc>
      </w:tr>
      <w:tr>
        <w:tc>
          <w:tcPr>
            <w:tcW w:type="dxa" w:w="2800"/>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Группа:</w:t>
            </w:r>
          </w:p>
        </w:tc>
        <w:tc>
          <w:tcPr>
            <w:tcW w:type="dxa" w:w="6838"/>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ИДБ-23-13</w:t>
            </w:r>
          </w:p>
        </w:tc>
      </w:tr>
      <w:tr>
        <w:tc>
          <w:tcPr>
            <w:tcW w:type="dxa" w:w="2800"/>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Выполнил:</w:t>
            </w:r>
          </w:p>
        </w:tc>
        <w:tc>
          <w:tcPr>
            <w:tcW w:type="dxa" w:w="6838"/>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Ершов Дарий</w:t>
            </w:r>
          </w:p>
        </w:tc>
      </w:tr>
      <w:tr>
        <w:tc>
          <w:tcPr>
            <w:tcW w:type="dxa" w:w="2800"/>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Принял:</w:t>
            </w:r>
          </w:p>
        </w:tc>
        <w:tc>
          <w:tcPr>
            <w:tcW w:type="dxa" w:w="6838"/>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Бычков Сергей Юрьевич</w:t>
            </w:r>
          </w:p>
        </w:tc>
      </w:tr>
      <w:tr>
        <w:tc>
          <w:tcPr>
            <w:tcW w:type="dxa" w:w="2800"/>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Дата:</w:t>
            </w:r>
          </w:p>
        </w:tc>
        <w:tc>
          <w:tcPr>
            <w:tcW w:type="dxa" w:w="6838"/>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25.09.2026</w:t>
            </w:r>
          </w:p>
        </w:tc>
      </w:tr>
      <w:tr>
        <w:tc>
          <w:tcPr>
            <w:tcW w:type="dxa" w:w="2800"/>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Репозиторий:</w:t>
            </w:r>
          </w:p>
        </w:tc>
        <w:tc>
          <w:tcPr>
            <w:tcW w:type="dxa" w:w="6838"/>
            <w:tcBorders>
              <w:top w:val="single" w:color="000000" w:sz="4"/>
              <w:left w:val="single" w:color="000000" w:sz="4"/>
              <w:bottom w:val="single" w:color="000000" w:sz="4"/>
              <w:right w:val="single" w:color="000000" w:sz="4"/>
            </w:tcBorders>
            <w:tcMar>
              <w:left w:type="dxa" w:w="80"/>
              <w:right w:type="dxa" w:w="80"/>
            </w:tcMar>
          </w:tcPr>
          <w:p>
            <w:r>
              <w:rPr>
                <w:rFonts w:ascii="Times New Roman" w:cs="Times New Roman" w:eastAsia="Times New Roman" w:hAnsi="Times New Roman"/>
                <w:sz w:val="24"/>
                <w:szCs w:val="24"/>
              </w:rPr>
              <w:t xml:space="preserve">https://github.com/DigitalTweens13/ISFeedBank</w:t>
            </w:r>
          </w:p>
        </w:tc>
      </w:tr>
    </w:tbl>
    <w:p>
      <w:pPr>
        <w:keepNext/>
        <w:pageBreakBefore/>
        <w:spacing w:line="276" w:lineRule="auto"/>
        <w:jc w:val="center"/>
      </w:pPr>
      <w:r>
        <w:rPr>
          <w:rFonts w:ascii="Times New Roman" w:cs="Times New Roman" w:eastAsia="Times New Roman" w:hAnsi="Times New Roman"/>
          <w:b/>
          <w:bCs/>
          <w:sz w:val="32"/>
          <w:szCs w:val="32"/>
        </w:rPr>
        <w:t xml:space="preserve">1 Описание проектируемой системы</w:t>
      </w:r>
    </w:p>
    <w:p>
      <w:pPr>
        <w:keepNext/>
        <w:spacing w:line="276" w:lineRule="auto"/>
        <w:jc w:val="center"/>
      </w:pPr>
      <w:r>
        <w:rPr>
          <w:rFonts w:ascii="Times New Roman" w:cs="Times New Roman" w:eastAsia="Times New Roman" w:hAnsi="Times New Roman"/>
          <w:b/>
          <w:bCs/>
          <w:sz w:val="28"/>
          <w:szCs w:val="28"/>
        </w:rPr>
        <w:t xml:space="preserve">1.1 Предметная область и заказчик</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Предметная область проекта: работа банка с обратной связью клиентов. За основу взят кейс Газпромбанк.Тех «Сервис для отслеживания динамики клиентских настроений», задача 6 хакатона «Лидеры цифровой трансформации» 2025 года. В исходной постановке кейс сводится к конвейеру анализа отзывов и дашборду. Для курсового проекта он расширен до информационной системы управления: негативный отзыв порождает обращение, у которого есть ответственный, статусы и срок реакции.</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Заказчик системы: блок клиентского опыта банка. С системой работают аналитики клиентского опыта, владельцы продуктовых направлений (ипотека, карты, мобильное приложение, обслуживание в отделениях), руководители направлений и администратор. Сейчас у заказчика четыре проблемы. Отзывы разбросаны по агрегаторам и каналам поддержки, и единой картины по продукту нет. Проблему замечают, когда негатив уже накопился. За конкретную проблему никто не отвечает. Наконец, нельзя измерить, стал ли продукт лучше после доработки.</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Четыре роли пользователей из этого описания становятся персонами диаграммы системного контекста в главе 2.</w:t>
      </w:r>
    </w:p>
    <w:p>
      <w:pPr>
        <w:keepNext/>
        <w:spacing w:line="276" w:lineRule="auto"/>
        <w:jc w:val="center"/>
      </w:pPr>
      <w:r>
        <w:rPr>
          <w:rFonts w:ascii="Times New Roman" w:cs="Times New Roman" w:eastAsia="Times New Roman" w:hAnsi="Times New Roman"/>
          <w:b/>
          <w:bCs/>
          <w:sz w:val="28"/>
          <w:szCs w:val="28"/>
        </w:rPr>
        <w:t xml:space="preserve">1.2 Назначение и границы системы</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Система собирает отзывы клиентов и автоматически определяет их темы и тональность. Если отзыв негативный и касается значимой темы, система заводит обращение и назначает его владельцу продукта. Для каждого обращения она следит за нормативным сроком реакции, а при просрочке передаёт обращение руководителю направления. По накопленным данным система строит аналитику настроений и отчёты о времени реакции.</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Работа системы ограничена обратной связью из внешних источников. Систему обращений колл-центра она не заменяет, клиентскую базу банка не ведёт. Диаграммы описывают целевую архитектуру; часть, которая войдёт в MVP, указана в главе 7 пояснительной записки курсового проекта.</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Эти границы определяют, какие системы на диаграмме контекста показаны внешними: всё, что ведёт клиентов, пользователей и отчётность банка, находится вне системы.</w:t>
      </w:r>
    </w:p>
    <w:p>
      <w:pPr>
        <w:keepNext/>
        <w:spacing w:line="276" w:lineRule="auto"/>
        <w:jc w:val="center"/>
      </w:pPr>
      <w:r>
        <w:rPr>
          <w:rFonts w:ascii="Times New Roman" w:cs="Times New Roman" w:eastAsia="Times New Roman" w:hAnsi="Times New Roman"/>
          <w:b/>
          <w:bCs/>
          <w:sz w:val="28"/>
          <w:szCs w:val="28"/>
        </w:rPr>
        <w:t xml:space="preserve">1.3 Допущения проектирования</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Постановка задачи не определяет некоторые решения, поэтому при разработке диаграмм приняты следующие допущения:</w:t>
      </w:r>
    </w:p>
    <w:p>
      <w:pPr>
        <w:spacing w:line="276" w:lineRule="auto"/>
        <w:jc w:val="both"/>
      </w:pPr>
      <w:r>
        <w:rPr>
          <w:rFonts w:ascii="Times New Roman" w:cs="Times New Roman" w:eastAsia="Times New Roman" w:hAnsi="Times New Roman"/>
          <w:b w:val="false"/>
          <w:bCs w:val="false"/>
          <w:i w:val="false"/>
          <w:iCs w:val="false"/>
          <w:sz w:val="24"/>
          <w:szCs w:val="24"/>
        </w:rPr>
        <w:t xml:space="preserve">– сервис языковой модели является внешним облачным API и не разворачивается внутри контура системы;</w:t>
      </w:r>
    </w:p>
    <w:p>
      <w:pPr>
        <w:spacing w:line="276" w:lineRule="auto"/>
        <w:jc w:val="both"/>
      </w:pPr>
      <w:r>
        <w:rPr>
          <w:rFonts w:ascii="Times New Roman" w:cs="Times New Roman" w:eastAsia="Times New Roman" w:hAnsi="Times New Roman"/>
          <w:b w:val="false"/>
          <w:bCs w:val="false"/>
          <w:i w:val="false"/>
          <w:iCs w:val="false"/>
          <w:sz w:val="24"/>
          <w:szCs w:val="24"/>
        </w:rPr>
        <w:t xml:space="preserve">– в банке функционирует корпоративная система управления доступом (IAM / SSO) с поддержкой OAuth 2.0 / OIDC;</w:t>
      </w:r>
    </w:p>
    <w:p>
      <w:pPr>
        <w:spacing w:line="276" w:lineRule="auto"/>
        <w:jc w:val="both"/>
      </w:pPr>
      <w:r>
        <w:rPr>
          <w:rFonts w:ascii="Times New Roman" w:cs="Times New Roman" w:eastAsia="Times New Roman" w:hAnsi="Times New Roman"/>
          <w:b w:val="false"/>
          <w:bCs w:val="false"/>
          <w:i w:val="false"/>
          <w:iCs w:val="false"/>
          <w:sz w:val="24"/>
          <w:szCs w:val="24"/>
        </w:rPr>
        <w:t xml:space="preserve">– источник отзывов предоставляет программный интерфейс выгрузки; при невозможности его использования основным путём остаётся ручная загрузка пакета отзывов аналитиком;</w:t>
      </w:r>
    </w:p>
    <w:p>
      <w:pPr>
        <w:spacing w:line="276" w:lineRule="auto"/>
        <w:jc w:val="both"/>
      </w:pPr>
      <w:r>
        <w:rPr>
          <w:rFonts w:ascii="Times New Roman" w:cs="Times New Roman" w:eastAsia="Times New Roman" w:hAnsi="Times New Roman"/>
          <w:b w:val="false"/>
          <w:bCs w:val="false"/>
          <w:i w:val="false"/>
          <w:iCs w:val="false"/>
          <w:sz w:val="24"/>
          <w:szCs w:val="24"/>
        </w:rPr>
        <w:t xml:space="preserve">– сервис уведомлений внешний: почтовый сервер банка и push-сервисы мобильных платформ APNs / FCM;</w:t>
      </w:r>
    </w:p>
    <w:p>
      <w:pPr>
        <w:spacing w:line="276" w:lineRule="auto"/>
        <w:jc w:val="both"/>
      </w:pPr>
      <w:r>
        <w:rPr>
          <w:rFonts w:ascii="Times New Roman" w:cs="Times New Roman" w:eastAsia="Times New Roman" w:hAnsi="Times New Roman"/>
          <w:b w:val="false"/>
          <w:bCs w:val="false"/>
          <w:i w:val="false"/>
          <w:iCs w:val="false"/>
          <w:sz w:val="24"/>
          <w:szCs w:val="24"/>
        </w:rPr>
        <w:t xml:space="preserve">– мобильным приложением пользуются владельцы продуктов и руководители направлений, чтобы реагировать на эскалации вне рабочего места.</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Из первых четырёх допущений следует состав внешних систем, из последнего следует мобильное приложение среди контейнеров в главе 3.</w:t>
      </w:r>
    </w:p>
    <w:p>
      <w:pPr>
        <w:keepNext/>
        <w:spacing w:line="276" w:lineRule="auto"/>
        <w:jc w:val="center"/>
      </w:pPr>
      <w:r>
        <w:rPr>
          <w:rFonts w:ascii="Times New Roman" w:cs="Times New Roman" w:eastAsia="Times New Roman" w:hAnsi="Times New Roman"/>
          <w:b/>
          <w:bCs/>
          <w:sz w:val="28"/>
          <w:szCs w:val="28"/>
        </w:rPr>
        <w:t xml:space="preserve">1.4 Сокращения и условные обозначения</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Сокращения, которые встречаются на диаграммах и в тексте, расшифрованы в таблице 1.1.</w:t>
      </w:r>
    </w:p>
    <w:p>
      <w:pPr>
        <w:spacing w:line="276" w:lineRule="auto"/>
      </w:pPr>
      <w:r>
        <w:rPr>
          <w:rFonts w:ascii="Times New Roman" w:cs="Times New Roman" w:eastAsia="Times New Roman" w:hAnsi="Times New Roman"/>
          <w:sz w:val="24"/>
          <w:szCs w:val="24"/>
        </w:rPr>
        <w:t xml:space="preserve">Таблица 1.1 – Сокращения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Сокращение</w:t>
            </w:r>
          </w:p>
        </w:tc>
        <w:tc>
          <w:tcPr>
            <w:tcW w:type="dxa" w:w="7238"/>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Расшифровка</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AMQP</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Advanced Message Queuing Protocol, протокол брокера сообщений</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API</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Application Programming Interface, программный интерфейс</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APNs / FCM</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Apple Push Notification service / Firebase Cloud Messaging, сервисы push-уведомлений Apple и Google</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 поверх TLS, защищённый протокол передачи гипертекста</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IAM / SSO</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Identity and Access Management / Single Sign-On: управление доступом и единый вход</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JSON</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JavaScript Object Notation, текстовый формат обмена данными</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JWT</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JSON Web Token, токен доступа</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MVP</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Minimum Viable Product, минимально жизнеспособный продукт</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OAuth 2.0 / OIDC</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протоколы авторизации и аутентификации (OIDC: OpenID Connect)</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REST</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архитектурный стиль HTTP API</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RESP</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REdis Serialization Protocol, протокол Redis</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SMTP</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Simple Mail Transfer Protocol, протокол передачи электронной почты</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SPA</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Single Page Application, одностраничное веб-приложение</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SQL</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Structured Query Language, язык запросов к реляционной СУБД</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TCP</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Transmission Control Protocol, транспортный протокол</w:t>
            </w:r>
          </w:p>
        </w:tc>
      </w:tr>
      <w:tr>
        <w:tc>
          <w:tcPr>
            <w:tcW w:type="dxa" w:w="24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TLS</w:t>
            </w:r>
          </w:p>
        </w:tc>
        <w:tc>
          <w:tcPr>
            <w:tcW w:type="dxa" w:w="7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Transport Layer Security, протокол шифрования соединения</w:t>
            </w:r>
          </w:p>
        </w:tc>
      </w:tr>
    </w:tbl>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Диаграммы выполнены в нотации C4 Model в PlantUML с библиотекой C4-PlantUML. Тёмно-синими блоками обозначены персоны, синими блоками обозначены система и её контейнеры, серыми блоками обозначены внешние системы. Пунктирная рамка показывает границу системы. Стрелка направлена от инициатора взаимодействия, а в подписи к ней указаны действие и протокол. Исходный код диаграмм приведён в приложении А.</w:t>
      </w:r>
    </w:p>
    <w:p>
      <w:pPr>
        <w:keepNext/>
        <w:pageBreakBefore/>
        <w:spacing w:line="276" w:lineRule="auto"/>
        <w:jc w:val="center"/>
      </w:pPr>
      <w:r>
        <w:rPr>
          <w:rFonts w:ascii="Times New Roman" w:cs="Times New Roman" w:eastAsia="Times New Roman" w:hAnsi="Times New Roman"/>
          <w:b/>
          <w:bCs/>
          <w:sz w:val="32"/>
          <w:szCs w:val="32"/>
        </w:rPr>
        <w:t xml:space="preserve">2 Разработка диаграммы системного контекста</w:t>
      </w:r>
    </w:p>
    <w:p>
      <w:pPr>
        <w:keepNext/>
        <w:spacing w:line="276" w:lineRule="auto"/>
        <w:jc w:val="center"/>
      </w:pPr>
      <w:r>
        <w:rPr>
          <w:rFonts w:ascii="Times New Roman" w:cs="Times New Roman" w:eastAsia="Times New Roman" w:hAnsi="Times New Roman"/>
          <w:b/>
          <w:bCs/>
          <w:sz w:val="28"/>
          <w:szCs w:val="28"/>
        </w:rPr>
        <w:t xml:space="preserve">2.1 Описание диаграммы</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Настоящий отчёт содержит индивидуальную версию диаграмм лабораторной работы, подготовленную для фокуса на поступлении и разметке отзывов. Глоссарий идентификаторов и правила оформления совпадают с общекомандной версией диаграмм (см. приложение А), состав персон, внешних систем и контейнеров не меняется — различается только набор показанных связей.</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На диаграмме системного контекста система по-прежнему изображена одним блоком, внутреннее устройство которого не раскрывается. Вокруг неё расположены 4 персоны (роли пользователей) и 5 внешних систем, которые разработчики не контролируют. Диаграмма системного контекста представлена в соответствии с рисунком 2.1.</w:t>
      </w:r>
    </w:p>
    <w:p>
      <w:pPr>
        <w:spacing w:line="276" w:lineRule="auto"/>
        <w:jc w:val="center"/>
      </w:pPr>
      <w:r>
        <w:drawing>
          <wp:inline distT="0" distB="0" distL="0" distR="0">
            <wp:extent cx="611505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4648200"/>
                    </a:xfrm>
                    <a:prstGeom prst="rect">
                      <a:avLst/>
                    </a:prstGeom>
                  </pic:spPr>
                </pic:pic>
              </a:graphicData>
            </a:graphic>
          </wp:inline>
        </w:drawing>
      </w:r>
    </w:p>
    <w:p>
      <w:pPr>
        <w:spacing w:line="276" w:lineRule="auto"/>
        <w:jc w:val="center"/>
      </w:pPr>
      <w:r>
        <w:rPr>
          <w:rFonts w:ascii="Times New Roman" w:cs="Times New Roman" w:eastAsia="Times New Roman" w:hAnsi="Times New Roman"/>
          <w:sz w:val="24"/>
          <w:szCs w:val="24"/>
        </w:rPr>
        <w:t xml:space="preserve">Рисунок 2.1 – Диаграмма системного контекста (индивидуальная версия, фокус: поступление и разметка отзывов)</w:t>
      </w:r>
    </w:p>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В индивидуальную версию включено 12 связей из 15, показанных на общекомандной диаграмме: 6 связей относятся к фокусу — они описывают путь отзыва от источника до разметки языковой моделью, — ещё 6 связей показаны вне фокуса, чтобы сохранить целостность контекста. Отдельные связи входа персон через единый вход банка в индивидуальной версии не показаны: доступ сотрудников проверяется одной агрегированной связью системы с системой управления доступом банка (таблица 2.4). Состав элементов и связей раскрыт в параграфах 2.2 и 2.3.</w:t>
      </w:r>
    </w:p>
    <w:p>
      <w:pPr>
        <w:keepNext/>
        <w:spacing w:line="276" w:lineRule="auto"/>
        <w:jc w:val="center"/>
      </w:pPr>
      <w:r>
        <w:rPr>
          <w:rFonts w:ascii="Times New Roman" w:cs="Times New Roman" w:eastAsia="Times New Roman" w:hAnsi="Times New Roman"/>
          <w:b/>
          <w:bCs/>
          <w:sz w:val="28"/>
          <w:szCs w:val="28"/>
        </w:rPr>
        <w:t xml:space="preserve">2.2 Спецификация элементов</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Персоны диаграммы перечислены в таблице 2.1.</w:t>
      </w:r>
    </w:p>
    <w:p>
      <w:pPr>
        <w:spacing w:line="276" w:lineRule="auto"/>
      </w:pPr>
      <w:r>
        <w:rPr>
          <w:rFonts w:ascii="Times New Roman" w:cs="Times New Roman" w:eastAsia="Times New Roman" w:hAnsi="Times New Roman"/>
          <w:sz w:val="24"/>
          <w:szCs w:val="24"/>
        </w:rPr>
        <w:t xml:space="preserve">Таблица 2.1 – Персоны диаграммы системного контекста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738"/>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Идентификатор</w:t>
            </w:r>
          </w:p>
        </w:tc>
        <w:tc>
          <w:tcPr>
            <w:tcW w:type="dxa" w:w="26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Персона</w:t>
            </w:r>
          </w:p>
        </w:tc>
        <w:tc>
          <w:tcPr>
            <w:tcW w:type="dxa" w:w="4738"/>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Назначение</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cx_analyst</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Аналитик клиентского опыта</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Загружает отзывы, анализирует настроения клиентов, формирует отчёты</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product_owner</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Владелец продукта</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Отвечает за обращения по своему продуктовому направлению: ипотека, карты, приложение, отделения</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head_of_direction</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Руководитель направления</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Контролирует сроки реакции на обращения, получает эскалации</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admin</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Администратор системы</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Ведёт справочники тем, владельцев и нормативных сроков</w:t>
            </w:r>
          </w:p>
        </w:tc>
      </w:tr>
    </w:tbl>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Внешние системы перечислены в таблице 2.2.</w:t>
      </w:r>
    </w:p>
    <w:p>
      <w:pPr>
        <w:spacing w:line="276" w:lineRule="auto"/>
      </w:pPr>
      <w:r>
        <w:rPr>
          <w:rFonts w:ascii="Times New Roman" w:cs="Times New Roman" w:eastAsia="Times New Roman" w:hAnsi="Times New Roman"/>
          <w:sz w:val="24"/>
          <w:szCs w:val="24"/>
        </w:rPr>
        <w:t xml:space="preserve">Таблица 2.2 – Внешние системы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738"/>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Идентификатор</w:t>
            </w:r>
          </w:p>
        </w:tc>
        <w:tc>
          <w:tcPr>
            <w:tcW w:type="dxa" w:w="26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Внешняя система</w:t>
            </w:r>
          </w:p>
        </w:tc>
        <w:tc>
          <w:tcPr>
            <w:tcW w:type="dxa" w:w="4738"/>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Назначение</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review_source</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Источник отзывов</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Агрегатор отзывов о банках с программным интерфейсом выгрузки</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llm_service</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языковой модели</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Внешняя большая языковая модель для определения тем и тональности отзывов</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notify_service</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уведомлений</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Почтовый сервер банка и push-сервисы APNs / FCM</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reporting_system</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 отчётности банка</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Корпоративное хранилище управленческой отчётности</w:t>
            </w:r>
          </w:p>
        </w:tc>
      </w:tr>
      <w:tr>
        <w:tc>
          <w:tcPr>
            <w:tcW w:type="dxa" w:w="2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bank_iam</w:t>
            </w:r>
          </w:p>
        </w:tc>
        <w:tc>
          <w:tcPr>
            <w:tcW w:type="dxa" w:w="2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 управления доступом банка</w:t>
            </w:r>
          </w:p>
        </w:tc>
        <w:tc>
          <w:tcPr>
            <w:tcW w:type="dxa" w:w="4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Единый вход и ролевая модель сотрудников банка</w:t>
            </w:r>
          </w:p>
        </w:tc>
      </w:tr>
    </w:tbl>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Без сервиса языковой модели система не может размечать отзывы, без системы управления доступом сотрудники не могут войти, без сервиса уведомлений не работают эскалации. Источник отзывов и система отчётности банка задают вход и выход данных управленческого контура; при их недоступности отзывы загружаются вручную, а отчёты формируются внутри системы.</w:t>
      </w:r>
    </w:p>
    <w:p>
      <w:pPr>
        <w:keepNext/>
        <w:spacing w:line="276" w:lineRule="auto"/>
        <w:jc w:val="center"/>
      </w:pPr>
      <w:r>
        <w:rPr>
          <w:rFonts w:ascii="Times New Roman" w:cs="Times New Roman" w:eastAsia="Times New Roman" w:hAnsi="Times New Roman"/>
          <w:b/>
          <w:bCs/>
          <w:sz w:val="28"/>
          <w:szCs w:val="28"/>
        </w:rPr>
        <w:t xml:space="preserve">2.3 Спецификация связей</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Как и в общекомандной версии, каждая связь направлена от инициатора взаимодействия. Связи, относящиеся к фокусу индивидуальной диаграммы — приём отзывов и их разметку языковой моделью, — приведены в таблице 2.3.</w:t>
      </w:r>
    </w:p>
    <w:p>
      <w:pPr>
        <w:spacing w:line="276" w:lineRule="auto"/>
      </w:pPr>
      <w:r>
        <w:rPr>
          <w:rFonts w:ascii="Times New Roman" w:cs="Times New Roman" w:eastAsia="Times New Roman" w:hAnsi="Times New Roman"/>
          <w:sz w:val="24"/>
          <w:szCs w:val="24"/>
        </w:rPr>
        <w:t xml:space="preserve">Таблица 2.3 – Связи диаграммы системного контекста в фокусе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238"/>
        <w:gridCol w:w="1600"/>
      </w:tblGrid>
      <w:tr>
        <w:trPr>
          <w:tblHeader/>
        </w:trPr>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Инициатор</w:t>
            </w:r>
          </w:p>
        </w:tc>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Получатель</w:t>
            </w:r>
          </w:p>
        </w:tc>
        <w:tc>
          <w:tcPr>
            <w:tcW w:type="dxa" w:w="4238"/>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Описание взаимодействия</w:t>
            </w:r>
          </w:p>
        </w:tc>
        <w:tc>
          <w:tcPr>
            <w:tcW w:type="dxa" w:w="16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Протокол</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Источник отзывов</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Забирает новые отзывы за прошедший интервал</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REST, JSON</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Аналитик клиентского опыта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Загружает выгрузку отзывов файлом</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Администратор системы</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Ведёт справочник тем, по которому размечаются отзывы</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языковой модели</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Передаёт текст отзыва и список тем, получает темы и тональность в JSON</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REST, JSON</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Аналитик клиентского опыта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Изучает результаты разметки на дашборде настроений</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Владелец продукта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Получает обращения, заведённые по негативным отзывам</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bl>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Остальные связи диаграммы — вход сотрудников, эскалации, уведомления и выгрузка отчётности — показаны вне фокуса без изменения состава и протоколов по сравнению с общекомандной версией; они приведены в таблице 2.4.</w:t>
      </w:r>
    </w:p>
    <w:p>
      <w:pPr>
        <w:spacing w:line="276" w:lineRule="auto"/>
      </w:pPr>
      <w:r>
        <w:rPr>
          <w:rFonts w:ascii="Times New Roman" w:cs="Times New Roman" w:eastAsia="Times New Roman" w:hAnsi="Times New Roman"/>
          <w:sz w:val="24"/>
          <w:szCs w:val="24"/>
        </w:rPr>
        <w:t xml:space="preserve">Таблица 2.4 – Связи диаграммы системного контекста вне фокуса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238"/>
        <w:gridCol w:w="1600"/>
      </w:tblGrid>
      <w:tr>
        <w:trPr>
          <w:tblHeader/>
        </w:trPr>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Инициатор</w:t>
            </w:r>
          </w:p>
        </w:tc>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Получатель</w:t>
            </w:r>
          </w:p>
        </w:tc>
        <w:tc>
          <w:tcPr>
            <w:tcW w:type="dxa" w:w="4238"/>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Описание взаимодействия</w:t>
            </w:r>
          </w:p>
        </w:tc>
        <w:tc>
          <w:tcPr>
            <w:tcW w:type="dxa" w:w="16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Протокол</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Руководитель направления</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Просматривает эскалации</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уведомлений</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Передаёт уведомления</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SMTP / TLS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уведомлений</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Владелец продукта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Сообщает о новом обращении</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SMTP / TLS, APNs / FCM</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уведомлений</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Руководитель направления</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Сообщает об эскалации</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SMTP / TLS, APNs / FCM</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 отчётности банка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Выгружает отчёты</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REST</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 управления доступом банка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Проверяет доступ сотрудников</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OAuth 2.0 (OIDC)</w:t>
            </w:r>
          </w:p>
        </w:tc>
      </w:tr>
    </w:tbl>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Всего на диаграмме 12 связей; у каждой указаны описание действия и протокол. Внутреннее устройство системы, скрытое на этом уровне, раскрыто в главе 3.</w:t>
      </w:r>
    </w:p>
    <w:p>
      <w:pPr>
        <w:sectPr>
          <w:footerReference w:type="default" r:id="rId7"/>
          <w:pgSz w:w="11906" w:h="16838" w:orient="portrait"/>
          <w:pgMar w:top="1134" w:right="567" w:bottom="1134" w:left="1701" w:header="708" w:footer="708" w:gutter="0"/>
          <w:pgNumType/>
          <w:docGrid w:linePitch="360"/>
        </w:sectPr>
      </w:pPr>
    </w:p>
    <w:p>
      <w:pPr>
        <w:keepNext/>
        <w:pageBreakBefore/>
        <w:spacing w:line="276" w:lineRule="auto"/>
        <w:jc w:val="center"/>
      </w:pPr>
      <w:r>
        <w:rPr>
          <w:rFonts w:ascii="Times New Roman" w:cs="Times New Roman" w:eastAsia="Times New Roman" w:hAnsi="Times New Roman"/>
          <w:b/>
          <w:bCs/>
          <w:sz w:val="32"/>
          <w:szCs w:val="32"/>
        </w:rPr>
        <w:t xml:space="preserve">3 Разработка диаграммы контейнеров</w:t>
      </w:r>
    </w:p>
    <w:p>
      <w:pPr>
        <w:keepNext/>
        <w:spacing w:line="276" w:lineRule="auto"/>
        <w:jc w:val="center"/>
      </w:pPr>
      <w:r>
        <w:rPr>
          <w:rFonts w:ascii="Times New Roman" w:cs="Times New Roman" w:eastAsia="Times New Roman" w:hAnsi="Times New Roman"/>
          <w:b/>
          <w:bCs/>
          <w:sz w:val="28"/>
          <w:szCs w:val="28"/>
        </w:rPr>
        <w:t xml:space="preserve">3.1 Описание диаграммы</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Диаграмма контейнеров показывает, из чего состоит система. Контейнером в C4 Model называют независимо развёртываемое приложение или хранилище данных, которое работает в собственном адресном пространстве; с Docker-контейнером это понятие не совпадает. В системе 8 контейнеров: два клиентских приложения, серверное приложение, два фоновых обработчика, брокер сообщений и два хранилища данных — их состав не меняется по сравнению с общекомандной версией. Индивидуальная версия диаграммы фокусируется на воркере разметки: контейнере, который забирает задачи из очереди, обращается к языковой модели и записывает результат в базу данных. Номера сетевых портов на диаграмме не указаны: они зависят от окружения и будут указаны на диаграмме развёртывания в лабораторной работе № 4. Диаграмма контейнеров представлена в соответствии с рисунком 3.1.</w:t>
      </w:r>
    </w:p>
    <w:p>
      <w:pPr>
        <w:spacing w:line="276" w:lineRule="auto"/>
        <w:jc w:val="center"/>
      </w:pPr>
      <w:r>
        <w:drawing>
          <wp:inline distT="0" distB="0" distL="0" distR="0">
            <wp:extent cx="9248775"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4229100"/>
                    </a:xfrm>
                    <a:prstGeom prst="rect">
                      <a:avLst/>
                    </a:prstGeom>
                  </pic:spPr>
                </pic:pic>
              </a:graphicData>
            </a:graphic>
          </wp:inline>
        </w:drawing>
      </w:r>
    </w:p>
    <w:p>
      <w:pPr>
        <w:spacing w:line="276" w:lineRule="auto"/>
        <w:jc w:val="center"/>
      </w:pPr>
      <w:r>
        <w:rPr>
          <w:rFonts w:ascii="Times New Roman" w:cs="Times New Roman" w:eastAsia="Times New Roman" w:hAnsi="Times New Roman"/>
          <w:sz w:val="24"/>
          <w:szCs w:val="24"/>
        </w:rPr>
        <w:t xml:space="preserve">Рисунок 3.1 – Диаграмма контейнеров (индивидуальная версия, фокус: воркер разметки)</w:t>
      </w:r>
    </w:p>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Внутри пунктирной границы находятся контейнеры системы, за её пределами персоны и внешние системы. Назначение контейнеров и их связи раскрыты в параграфах 3.2 и 3.3.</w:t>
      </w:r>
    </w:p>
    <w:p>
      <w:pPr>
        <w:keepNext/>
        <w:spacing w:line="276" w:lineRule="auto"/>
        <w:jc w:val="center"/>
      </w:pPr>
      <w:r>
        <w:rPr>
          <w:rFonts w:ascii="Times New Roman" w:cs="Times New Roman" w:eastAsia="Times New Roman" w:hAnsi="Times New Roman"/>
          <w:b/>
          <w:bCs/>
          <w:sz w:val="28"/>
          <w:szCs w:val="28"/>
        </w:rPr>
        <w:t xml:space="preserve">3.2 Описание контейнеров</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Назначение и технологический стек контейнеров приведены в таблице 3.1.</w:t>
      </w:r>
    </w:p>
    <w:p>
      <w:pPr>
        <w:spacing w:line="276" w:lineRule="auto"/>
      </w:pPr>
      <w:r>
        <w:rPr>
          <w:rFonts w:ascii="Times New Roman" w:cs="Times New Roman" w:eastAsia="Times New Roman" w:hAnsi="Times New Roman"/>
          <w:sz w:val="24"/>
          <w:szCs w:val="24"/>
        </w:rPr>
        <w:t xml:space="preserve">Таблица 3.1 – Описание контейнеров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900"/>
        <w:gridCol w:w="3738"/>
      </w:tblGrid>
      <w:tr>
        <w:trPr>
          <w:tblHeader/>
        </w:trPr>
        <w:tc>
          <w:tcPr>
            <w:tcW w:type="dxa" w:w="12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Идентификатор</w:t>
            </w:r>
          </w:p>
        </w:tc>
        <w:tc>
          <w:tcPr>
            <w:tcW w:type="dxa" w:w="15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Контейнер</w:t>
            </w:r>
          </w:p>
        </w:tc>
        <w:tc>
          <w:tcPr>
            <w:tcW w:type="dxa" w:w="13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Тип</w:t>
            </w:r>
          </w:p>
        </w:tc>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Технологический стек</w:t>
            </w:r>
          </w:p>
        </w:tc>
        <w:tc>
          <w:tcPr>
            <w:tcW w:type="dxa" w:w="3738"/>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Назначение</w:t>
            </w:r>
          </w:p>
        </w:tc>
      </w:tr>
      <w:tr>
        <w:tc>
          <w:tcPr>
            <w:tcW w:type="dxa" w:w="12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web_panel</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Веб-панель</w:t>
            </w:r>
          </w:p>
        </w:tc>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Клиентское приложение</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React / TypeScript, SPA</w:t>
            </w:r>
          </w:p>
        </w:tc>
        <w:tc>
          <w:tcPr>
            <w:tcW w:type="dxa" w:w="3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Дашборд настроений, реестры отзывов и обращений, справочники, отчёты</w:t>
            </w:r>
          </w:p>
        </w:tc>
      </w:tr>
      <w:tr>
        <w:tc>
          <w:tcPr>
            <w:tcW w:type="dxa" w:w="12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mobile_app</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Мобильное приложение</w:t>
            </w:r>
          </w:p>
        </w:tc>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Клиентское приложение</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TypeScript / React Native, iOS / Android</w:t>
            </w:r>
          </w:p>
        </w:tc>
        <w:tc>
          <w:tcPr>
            <w:tcW w:type="dxa" w:w="3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Обращения и эскалации для владельцев продуктов и руководителей, смена статусов вне рабочего места</w:t>
            </w:r>
          </w:p>
        </w:tc>
      </w:tr>
      <w:tr>
        <w:tc>
          <w:tcPr>
            <w:tcW w:type="dxa" w:w="12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api_backend</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Backend API</w:t>
            </w:r>
          </w:p>
        </w:tc>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Серверное приложение</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Python / FastAPI, JWT</w:t>
            </w:r>
          </w:p>
        </w:tc>
        <w:tc>
          <w:tcPr>
            <w:tcW w:type="dxa" w:w="3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REST API, проверка доступа, статусная модель обращений, назначение владельцев, отчёты</w:t>
            </w:r>
          </w:p>
        </w:tc>
      </w:tr>
      <w:tr>
        <w:tc>
          <w:tcPr>
            <w:tcW w:type="dxa" w:w="12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labeling_worker</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разметки</w:t>
            </w:r>
          </w:p>
        </w:tc>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Фоновый обработчик</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Python / Celery</w:t>
            </w:r>
          </w:p>
        </w:tc>
        <w:tc>
          <w:tcPr>
            <w:tcW w:type="dxa" w:w="3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Кластеризация, мультилейбл-классификация тем, определение тональности, заведение обращений при негативе</w:t>
            </w:r>
          </w:p>
        </w:tc>
      </w:tr>
      <w:tr>
        <w:tc>
          <w:tcPr>
            <w:tcW w:type="dxa" w:w="12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message_broker</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Брокер сообщений</w:t>
            </w:r>
          </w:p>
        </w:tc>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Брокер сообщений</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RabbitMQ</w:t>
            </w:r>
          </w:p>
        </w:tc>
        <w:tc>
          <w:tcPr>
            <w:tcW w:type="dxa" w:w="3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Очереди reviews.labeling (задачи разметки) и cases.events (события по обращениям)</w:t>
            </w:r>
          </w:p>
        </w:tc>
      </w:tr>
      <w:tr>
        <w:tc>
          <w:tcPr>
            <w:tcW w:type="dxa" w:w="12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background_worker</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фоновых задач</w:t>
            </w:r>
          </w:p>
        </w:tc>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Фоновый обработчик</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Python / Celery beat</w:t>
            </w:r>
          </w:p>
        </w:tc>
        <w:tc>
          <w:tcPr>
            <w:tcW w:type="dxa" w:w="3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Сбор отзывов по расписанию, контроль сроков, эскалации, рассылка уведомлений</w:t>
            </w:r>
          </w:p>
        </w:tc>
      </w:tr>
      <w:tr>
        <w:tc>
          <w:tcPr>
            <w:tcW w:type="dxa" w:w="12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database</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База данных</w:t>
            </w:r>
          </w:p>
        </w:tc>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Хранилище данных</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PostgreSQL 16</w:t>
            </w:r>
          </w:p>
        </w:tc>
        <w:tc>
          <w:tcPr>
            <w:tcW w:type="dxa" w:w="3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Отзывы, разметка, обращения, история статусов, справочники, витрины аналитики</w:t>
            </w:r>
          </w:p>
        </w:tc>
      </w:tr>
      <w:tr>
        <w:tc>
          <w:tcPr>
            <w:tcW w:type="dxa" w:w="12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cache</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Кэш</w:t>
            </w:r>
          </w:p>
        </w:tc>
        <w:tc>
          <w:tcPr>
            <w:tcW w:type="dxa" w:w="13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Хранилище данных</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Redis</w:t>
            </w:r>
          </w:p>
        </w:tc>
        <w:tc>
          <w:tcPr>
            <w:tcW w:type="dxa" w:w="37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Предрассчитанные агрегаты дашборда</w:t>
            </w:r>
          </w:p>
        </w:tc>
      </w:tr>
    </w:tbl>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FastAPI обрабатывает запросы асинхронно и сам генерирует спецификацию API. Разметка одного отзыва через языковую модель занимает секунды, поэтому она вынесена в фоновые обработчики Celery и не задерживает запросы пользователей. Для статусной модели обращений нужны транзакции, поэтому выбрана реляционная СУБД PostgreSQL. Redis хранит агрегаты дашборда за длительные периоды, чтобы не пересчитывать их при каждом запросе. Клиентские приложения написаны на TypeScript: веб-панель на React, мобильное приложение на React Native, поэтому оба используют одни типы данных API.</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Для индивидуального фокуса особенно важны воркер разметки и брокер сообщений: RabbitMQ подтверждает получение задачи только после того, как воркер разметки записал результат в базу данных, поэтому при сбое воркера отзыв не теряется и будет размечен повторно.</w:t>
      </w:r>
    </w:p>
    <w:p>
      <w:pPr>
        <w:keepNext/>
        <w:spacing w:line="276" w:lineRule="auto"/>
        <w:jc w:val="center"/>
      </w:pPr>
      <w:r>
        <w:rPr>
          <w:rFonts w:ascii="Times New Roman" w:cs="Times New Roman" w:eastAsia="Times New Roman" w:hAnsi="Times New Roman"/>
          <w:b/>
          <w:bCs/>
          <w:sz w:val="28"/>
          <w:szCs w:val="28"/>
        </w:rPr>
        <w:t xml:space="preserve">3.3 Связи и протоколы взаимодействия</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Как и на диаграмме контекста, стрелка направлена от того, кто открывает сетевое соединение; поэтому стрелки к базе данных и брокеру сообщений идут от приложений, даже если данные при этом передаются обратно, например при чтении. Связи, относящиеся к фокусу — обмен воркера разметки с брокером сообщений, базой данных и сервисом языковой модели, — приведены в таблице 3.2.</w:t>
      </w:r>
    </w:p>
    <w:p>
      <w:pPr>
        <w:spacing w:line="276" w:lineRule="auto"/>
      </w:pPr>
      <w:r>
        <w:rPr>
          <w:rFonts w:ascii="Times New Roman" w:cs="Times New Roman" w:eastAsia="Times New Roman" w:hAnsi="Times New Roman"/>
          <w:sz w:val="24"/>
          <w:szCs w:val="24"/>
        </w:rPr>
        <w:t xml:space="preserve">Таблица 3.2 – Связи диаграммы контейнеров в фокусе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238"/>
        <w:gridCol w:w="1600"/>
      </w:tblGrid>
      <w:tr>
        <w:trPr>
          <w:tblHeader/>
        </w:trPr>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Инициатор</w:t>
            </w:r>
          </w:p>
        </w:tc>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Получатель</w:t>
            </w:r>
          </w:p>
        </w:tc>
        <w:tc>
          <w:tcPr>
            <w:tcW w:type="dxa" w:w="4238"/>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Описание взаимодействия</w:t>
            </w:r>
          </w:p>
        </w:tc>
        <w:tc>
          <w:tcPr>
            <w:tcW w:type="dxa" w:w="16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Протокол</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Backend API</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Брокер сообщений</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Ставит задачи разметки для загруженного пакета</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AMQP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фоновых задач</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Брокер сообщений</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Ставит задачи разметки для собранных отзывов</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AMQP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разметки</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Брокер сообщений</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Забирает задачу из очереди reviews.labeling с подтверждением после записи в базу</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AMQP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разметки</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База данных</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Получает текст отзыва и справочник тем</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SQL / TCP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разметки</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языковой модели</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Передаёт промпт с текстом и темами, получает разметку в JSON</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REST, JSON</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разметки</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База данных</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Сохраняет темы и тональность отзыва</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SQL / TCP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разметки</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База данных</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Заводит обращение при негативе по значимой теме</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SQL / TCP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разметки</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Брокер сообщений</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Публикует событие «обращение создано» в cases.events</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AMQP</w:t>
            </w:r>
          </w:p>
        </w:tc>
      </w:tr>
    </w:tbl>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Остальные связи диаграммы обеспечивают работу веб-панели, мобильного приложения, backend API и воркера фоновых задач; их состав и протоколы не изменились по сравнению с общекомандной версией и приведены в таблице 3.3.</w:t>
      </w:r>
    </w:p>
    <w:p>
      <w:pPr>
        <w:spacing w:line="276" w:lineRule="auto"/>
      </w:pPr>
      <w:r>
        <w:rPr>
          <w:rFonts w:ascii="Times New Roman" w:cs="Times New Roman" w:eastAsia="Times New Roman" w:hAnsi="Times New Roman"/>
          <w:sz w:val="24"/>
          <w:szCs w:val="24"/>
        </w:rPr>
        <w:t xml:space="preserve">Таблица 3.3 – Связи диаграммы контейнеров вне фокуса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238"/>
        <w:gridCol w:w="1600"/>
      </w:tblGrid>
      <w:tr>
        <w:trPr>
          <w:tblHeader/>
        </w:trPr>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Инициатор</w:t>
            </w:r>
          </w:p>
        </w:tc>
        <w:tc>
          <w:tcPr>
            <w:tcW w:type="dxa" w:w="19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Получатель</w:t>
            </w:r>
          </w:p>
        </w:tc>
        <w:tc>
          <w:tcPr>
            <w:tcW w:type="dxa" w:w="4238"/>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Описание взаимодействия</w:t>
            </w:r>
          </w:p>
        </w:tc>
        <w:tc>
          <w:tcPr>
            <w:tcW w:type="dxa" w:w="1600"/>
            <w:tcBorders>
              <w:top w:val="single" w:color="000000" w:sz="4"/>
              <w:left w:val="single" w:color="000000" w:sz="4"/>
              <w:bottom w:val="single" w:color="000000" w:sz="4"/>
              <w:right w:val="single" w:color="000000" w:sz="4"/>
            </w:tcBorders>
            <w:shd w:fill="E7E6E6" w:color="auto" w:val="clear"/>
            <w:tcMar>
              <w:top w:type="dxa" w:w="20"/>
              <w:left w:type="dxa" w:w="80"/>
              <w:bottom w:type="dxa" w:w="20"/>
              <w:right w:type="dxa" w:w="80"/>
            </w:tcMar>
            <w:vAlign w:val="center"/>
          </w:tcPr>
          <w:p>
            <w:r>
              <w:rPr>
                <w:rFonts w:ascii="Times New Roman" w:cs="Times New Roman" w:eastAsia="Times New Roman" w:hAnsi="Times New Roman"/>
                <w:b/>
                <w:bCs/>
                <w:sz w:val="24"/>
                <w:szCs w:val="24"/>
              </w:rPr>
              <w:t xml:space="preserve">Протокол</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Аналитик клиентского опыта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Веб-панель</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Изучает дашборд и формирует отчёты</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Администратор системы</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Веб-панель</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Настраивает справочники</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Владелец продукта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Веб-панель</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Берёт обращения в работу</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Владелец продукта</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Мобильное приложение</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Меняет статусы</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Руководитель направления</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Мобильное приложение</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Просматривает эскалации</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Веб-панель</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Backend API</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Запрашивает и изменяет отзывы, обращения и справочники</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JSON, REST</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Мобильное приложение</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Backend API</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Передаёт смену статуса и запрашивает обращения</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JSON, REST</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Backend API</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 управления доступом банка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Проверяет доступ сотрудников</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OAuth 2.0 (OIDC)</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Backend API</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База данных</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Сохраняет и получает отзывы и обращения</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SQL / TCP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Backend API</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Кэш</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Получает агрегаты дашборда</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RESP / TCP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Backend API</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Система отчётности банка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Выгружает отчёты</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REST</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фоновых задач</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База данных</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Сохраняет собранные отзывы</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SQL / TCP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фоновых задач</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База данных</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Проверяет сроки обращений</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SQL / TCP</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фоновых задач</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Источник отзывов</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Забирает отзывы</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 REST</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фоновых задач</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уведомлений</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Передаёт уведомления</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HTTPS, SMTP / TLS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уведомлений</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Мобильное приложение</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Доставляет push-уведомления</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APNs / FCM</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уведомлений</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Владелец продукта</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Доставляет email о новом обращении</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SMTP / TLS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Сервис уведомлений</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Руководитель направления</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Доставляет email об эскалации</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SMTP / TLS</w:t>
            </w:r>
          </w:p>
        </w:tc>
      </w:tr>
      <w:tr>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Воркер фоновых задач</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Брокер сообщений</w:t>
            </w:r>
          </w:p>
        </w:tc>
        <w:tc>
          <w:tcPr>
            <w:tcW w:type="dxa" w:w="4238"/>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Забирает события по обращениям</w:t>
            </w:r>
          </w:p>
        </w:tc>
        <w:tc>
          <w:tcPr>
            <w:tcW w:type="dxa" w:w="1600"/>
            <w:tcBorders>
              <w:top w:val="single" w:color="000000" w:sz="4"/>
              <w:left w:val="single" w:color="000000" w:sz="4"/>
              <w:bottom w:val="single" w:color="000000" w:sz="4"/>
              <w:right w:val="single" w:color="000000" w:sz="4"/>
            </w:tcBorders>
            <w:tcMar>
              <w:top w:type="dxa" w:w="20"/>
              <w:left w:type="dxa" w:w="80"/>
              <w:bottom w:type="dxa" w:w="20"/>
              <w:right w:type="dxa" w:w="80"/>
            </w:tcMar>
          </w:tcPr>
          <w:p>
            <w:pPr>
              <w:spacing w:line="276" w:lineRule="auto"/>
            </w:pPr>
            <w:r>
              <w:rPr>
                <w:rFonts w:ascii="Times New Roman" w:cs="Times New Roman" w:eastAsia="Times New Roman" w:hAnsi="Times New Roman"/>
                <w:sz w:val="24"/>
                <w:szCs w:val="24"/>
              </w:rPr>
              <w:t xml:space="preserve">AMQP</w:t>
            </w:r>
          </w:p>
        </w:tc>
      </w:tr>
    </w:tbl>
    <w:p>
      <w:pPr>
        <w:spacing w:line="276" w:lineRule="auto"/>
        <w:jc w:val="both"/>
      </w:pP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Всего на диаграмме 27 связей. Между контейнерами используются протоколы HTTPS, SQL / TCP, RESP / TCP и AMQP, с внешними системами – HTTPS, SMTP / TLS и APNs / FCM.</w:t>
      </w:r>
    </w:p>
    <w:p>
      <w:pPr>
        <w:keepNext/>
        <w:spacing w:line="276" w:lineRule="auto"/>
        <w:jc w:val="center"/>
      </w:pPr>
      <w:r>
        <w:rPr>
          <w:rFonts w:ascii="Times New Roman" w:cs="Times New Roman" w:eastAsia="Times New Roman" w:hAnsi="Times New Roman"/>
          <w:b/>
          <w:bCs/>
          <w:sz w:val="28"/>
          <w:szCs w:val="28"/>
        </w:rPr>
        <w:t xml:space="preserve">3.4 Асинхронный контур обработки</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Отзывы попадают в систему двумя путями: аналитик загружает выгрузку через веб-панель, или воркер фоновых задач забирает их из источника по расписанию. В обоих случаях задача разметки ставится в очередь reviews.labeling. Воркер разметки читает задачу независимо от запросов пользователей, подтверждая получение брокеру сообщений только после того, как результат записан в базу данных: при сбое воркера необработанная задача не теряется и будет доставлена повторно.</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Для каждого отзыва воркер получает текст и справочник тем из базы данных, передаёт их языковой модели одним промптом и получает разметку в формате JSON – темы и тональность. Результат разметки сохраняется в базе данных; если тональность негативная и тема значима, воркер заводит обращение и публикует событие «обращение создано» в очередь cases.events.</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Дальнейшую обработку события – уведомление владельца продукта, отсчёт срока реакции и эскалацию при просрочке – выполняет воркер фоновых задач; интерфейс пользователя при этом не ждёт окончания разметки. Этот контур предполагается детализировать на диаграмме компонентов и динамической диаграмме в следующих лабораторных работах.</w:t>
      </w:r>
    </w:p>
    <w:p>
      <w:pPr>
        <w:sectPr>
          <w:footerReference w:type="default" r:id="rId8"/>
          <w:pgSz w:w="16838" w:h="11906" w:orient="landscape"/>
          <w:pgMar w:top="1134" w:right="567" w:bottom="1134" w:left="1701" w:header="708" w:footer="708" w:gutter="0"/>
          <w:pgNumType/>
          <w:docGrid w:linePitch="360"/>
        </w:sectPr>
      </w:pPr>
    </w:p>
    <w:p>
      <w:pPr>
        <w:keepNext/>
        <w:pageBreakBefore/>
        <w:spacing w:line="276" w:lineRule="auto"/>
        <w:jc w:val="center"/>
      </w:pPr>
      <w:r>
        <w:rPr>
          <w:rFonts w:ascii="Times New Roman" w:cs="Times New Roman" w:eastAsia="Times New Roman" w:hAnsi="Times New Roman"/>
          <w:b/>
          <w:bCs/>
          <w:sz w:val="32"/>
          <w:szCs w:val="32"/>
        </w:rPr>
        <w:t xml:space="preserve">ЗАКЛЮЧЕНИЕ</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Для информационной системы управления обратной связью клиентов банка разработана индивидуальная версия диаграммы системного контекста и диаграммы контейнеров в нотации C4 Model с фокусом на поступление и разметку отзывов. Состав элементов совпадает с общекомандной версией: на диаграмме контекста система показана одним блоком вместе с 4 ролями пользователей и 5 внешними системами, диаграмма контейнеров делит систему на 8 независимо развёртываемых контейнеров с указанным стеком.</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Из 12 связей диаграммы контекста 6 относятся к фокусу – приёму и разметке отзывов, остальные 6 показывают вход сотрудников, эскалации, уведомления и выгрузку отчётности. Из 27 связей диаграммы контейнеров 8 относятся к фокусу – обмену воркера разметки с брокером сообщений, базой данных и сервисом языковой модели, остальные 19 связей обеспечивают работу веб-панели, мобильного приложения, backend API и воркера фоновых задач. У каждой связи указаны направление, описание и протокол.</w:t>
      </w:r>
    </w:p>
    <w:p>
      <w:pPr>
        <w:spacing w:line="276" w:lineRule="auto"/>
        <w:ind w:firstLine="709"/>
        <w:jc w:val="both"/>
      </w:pPr>
      <w:r>
        <w:rPr>
          <w:rFonts w:ascii="Times New Roman" w:cs="Times New Roman" w:eastAsia="Times New Roman" w:hAnsi="Times New Roman"/>
          <w:b w:val="false"/>
          <w:bCs w:val="false"/>
          <w:i w:val="false"/>
          <w:iCs w:val="false"/>
          <w:sz w:val="24"/>
          <w:szCs w:val="24"/>
        </w:rPr>
        <w:t xml:space="preserve">Требования лабораторной работы № 1 выполнены: не менее трёх персон и трёх внешних систем на диаграмме контекста, не менее пяти контейнеров с технологическим стеком и протоколами на диаграмме контейнеров.</w:t>
      </w:r>
    </w:p>
    <w:p>
      <w:pPr>
        <w:sectPr>
          <w:footerReference w:type="default" r:id="rId9"/>
          <w:pgSz w:w="11906" w:h="16838" w:orient="portrait"/>
          <w:pgMar w:top="1134" w:right="567" w:bottom="1134" w:left="1701" w:header="708" w:footer="708" w:gutter="0"/>
          <w:pgNumType/>
          <w:docGrid w:linePitch="360"/>
        </w:sectPr>
      </w:pPr>
    </w:p>
    <w:p>
      <w:pPr>
        <w:keepNext/>
        <w:pageBreakBefore/>
        <w:spacing w:line="276" w:lineRule="auto"/>
        <w:jc w:val="center"/>
      </w:pPr>
      <w:r>
        <w:rPr>
          <w:rFonts w:ascii="Times New Roman" w:cs="Times New Roman" w:eastAsia="Times New Roman" w:hAnsi="Times New Roman"/>
          <w:b/>
          <w:bCs/>
          <w:sz w:val="32"/>
          <w:szCs w:val="32"/>
        </w:rPr>
        <w:t xml:space="preserve">ПРИЛОЖЕНИЕ А</w:t>
      </w:r>
    </w:p>
    <w:p>
      <w:pPr>
        <w:spacing w:line="276" w:lineRule="auto"/>
        <w:jc w:val="center"/>
      </w:pPr>
      <w:r>
        <w:rPr>
          <w:rFonts w:ascii="Times New Roman" w:cs="Times New Roman" w:eastAsia="Times New Roman" w:hAnsi="Times New Roman"/>
          <w:b/>
          <w:bCs/>
          <w:sz w:val="24"/>
          <w:szCs w:val="24"/>
        </w:rPr>
        <w:t xml:space="preserve">Исходный код диаграмм</w:t>
      </w:r>
    </w:p>
    <w:p>
      <w:pPr>
        <w:spacing w:line="276" w:lineRule="auto"/>
        <w:jc w:val="both"/>
      </w:pPr>
    </w:p>
    <w:p>
      <w:pPr>
        <w:spacing w:line="276" w:lineRule="auto"/>
      </w:pPr>
      <w:r>
        <w:rPr>
          <w:rFonts w:ascii="Times New Roman" w:cs="Times New Roman" w:eastAsia="Times New Roman" w:hAnsi="Times New Roman"/>
          <w:sz w:val="24"/>
          <w:szCs w:val="24"/>
        </w:rPr>
        <w:t xml:space="preserve">Листинг А.1 – ml_context_l1.puml</w:t>
      </w:r>
    </w:p>
    <w:p>
      <w:r>
        <w:rPr>
          <w:rFonts w:ascii="Courier New" w:cs="Courier New" w:eastAsia="Courier New" w:hAnsi="Courier New"/>
          <w:sz w:val="16"/>
          <w:szCs w:val="16"/>
        </w:rPr>
        <w:t xml:space="preserve">@startuml "ml_context_l1.puml"</w:t>
      </w:r>
    </w:p>
    <w:p>
      <w:r>
        <w:rPr>
          <w:rFonts w:ascii="Courier New" w:cs="Courier New" w:eastAsia="Courier New" w:hAnsi="Courier New"/>
          <w:sz w:val="16"/>
          <w:szCs w:val="16"/>
        </w:rPr>
        <w:t xml:space="preserve">!include https://raw.githubusercontent.com/plantuml-stdlib/C4-PlantUML/master/C4_Context.puml</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 Индивидуальная версия: ML, откуда берётся текст и где он размечается. Глоссарий ID и правила: см. context_l1.puml тимлида</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title Диаграмма системного контекста (L1) ИС управления обратной связью клиентов банка. Фокус: поступление и разметка отзывов</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Person(cx_analyst, "Аналитик клиентского опыта", "Загружает отзывы, анализирует настроения клиентов, формирует отчёты")</w:t>
      </w:r>
    </w:p>
    <w:p>
      <w:r>
        <w:rPr>
          <w:rFonts w:ascii="Courier New" w:cs="Courier New" w:eastAsia="Courier New" w:hAnsi="Courier New"/>
          <w:sz w:val="16"/>
          <w:szCs w:val="16"/>
        </w:rPr>
        <w:t xml:space="preserve">Person(product_owner, "Владелец продукта", "Отвечает за обращения по своему продуктовому направлению: ипотека, карты, приложение, отделения")</w:t>
      </w:r>
    </w:p>
    <w:p>
      <w:r>
        <w:rPr>
          <w:rFonts w:ascii="Courier New" w:cs="Courier New" w:eastAsia="Courier New" w:hAnsi="Courier New"/>
          <w:sz w:val="16"/>
          <w:szCs w:val="16"/>
        </w:rPr>
        <w:t xml:space="preserve">Person(head_of_direction, "Руководитель направления", "Контролирует сроки реакции на обращения, получает эскалации")</w:t>
      </w:r>
    </w:p>
    <w:p>
      <w:r>
        <w:rPr>
          <w:rFonts w:ascii="Courier New" w:cs="Courier New" w:eastAsia="Courier New" w:hAnsi="Courier New"/>
          <w:sz w:val="16"/>
          <w:szCs w:val="16"/>
        </w:rPr>
        <w:t xml:space="preserve">Person(admin, "Администратор системы", "Ведёт справочники тем, владельцев и нормативных сроков")</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System(feedback_system, "ИС управления обратной связью клиентов банка", "Собирает и размечает отзывы, заводит обращения по негативу, назначает их владельцам, контролирует сроки и строит аналитику")</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System_Ext(review_source, "Источник отзывов", "Агрегатор отзывов о банках с программным интерфейсом выгрузки")</w:t>
      </w:r>
    </w:p>
    <w:p>
      <w:r>
        <w:rPr>
          <w:rFonts w:ascii="Courier New" w:cs="Courier New" w:eastAsia="Courier New" w:hAnsi="Courier New"/>
          <w:sz w:val="16"/>
          <w:szCs w:val="16"/>
        </w:rPr>
        <w:t xml:space="preserve">System_Ext(llm_service, "Сервис языковой модели", "Внешняя большая языковая модель для определения тем и тональности отзывов")</w:t>
      </w:r>
    </w:p>
    <w:p>
      <w:r>
        <w:rPr>
          <w:rFonts w:ascii="Courier New" w:cs="Courier New" w:eastAsia="Courier New" w:hAnsi="Courier New"/>
          <w:sz w:val="16"/>
          <w:szCs w:val="16"/>
        </w:rPr>
        <w:t xml:space="preserve">System_Ext(notify_service, "Сервис уведомлений", "Почтовый сервер банка и push-сервисы APNs / FCM")</w:t>
      </w:r>
    </w:p>
    <w:p>
      <w:r>
        <w:rPr>
          <w:rFonts w:ascii="Courier New" w:cs="Courier New" w:eastAsia="Courier New" w:hAnsi="Courier New"/>
          <w:sz w:val="16"/>
          <w:szCs w:val="16"/>
        </w:rPr>
        <w:t xml:space="preserve">System_Ext(reporting_system, "Система отчётности банка", "Корпоративное хранилище управленческой отчётности")</w:t>
      </w:r>
    </w:p>
    <w:p>
      <w:r>
        <w:rPr>
          <w:rFonts w:ascii="Courier New" w:cs="Courier New" w:eastAsia="Courier New" w:hAnsi="Courier New"/>
          <w:sz w:val="16"/>
          <w:szCs w:val="16"/>
        </w:rPr>
        <w:t xml:space="preserve">System_Ext(bank_iam, "Система управления доступом банка", "Единый вход и ролевая модель сотрудников банка")</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 --- фокус ---</w:t>
      </w:r>
    </w:p>
    <w:p>
      <w:r>
        <w:rPr>
          <w:rFonts w:ascii="Courier New" w:cs="Courier New" w:eastAsia="Courier New" w:hAnsi="Courier New"/>
          <w:sz w:val="16"/>
          <w:szCs w:val="16"/>
        </w:rPr>
        <w:t xml:space="preserve">Rel(feedback_system, review_source, "Забирает новые отзывы за прошедший интервал", "HTTPS / REST, JSON")</w:t>
      </w:r>
    </w:p>
    <w:p>
      <w:r>
        <w:rPr>
          <w:rFonts w:ascii="Courier New" w:cs="Courier New" w:eastAsia="Courier New" w:hAnsi="Courier New"/>
          <w:sz w:val="16"/>
          <w:szCs w:val="16"/>
        </w:rPr>
        <w:t xml:space="preserve">Rel(cx_analyst, feedback_system, "Загружает выгрузку отзывов файлом", "HTTPS")</w:t>
      </w:r>
    </w:p>
    <w:p>
      <w:r>
        <w:rPr>
          <w:rFonts w:ascii="Courier New" w:cs="Courier New" w:eastAsia="Courier New" w:hAnsi="Courier New"/>
          <w:sz w:val="16"/>
          <w:szCs w:val="16"/>
        </w:rPr>
        <w:t xml:space="preserve">Rel(admin, feedback_system, "Ведёт справочник тем, по которому размечаются отзывы", "HTTPS")</w:t>
      </w:r>
    </w:p>
    <w:p>
      <w:r>
        <w:rPr>
          <w:rFonts w:ascii="Courier New" w:cs="Courier New" w:eastAsia="Courier New" w:hAnsi="Courier New"/>
          <w:sz w:val="16"/>
          <w:szCs w:val="16"/>
        </w:rPr>
        <w:t xml:space="preserve">Rel(feedback_system, llm_service, "Передаёт текст отзыва и список тем, получает темы и тональность в JSON", "HTTPS / REST, JSON")</w:t>
      </w:r>
    </w:p>
    <w:p>
      <w:r>
        <w:rPr>
          <w:rFonts w:ascii="Courier New" w:cs="Courier New" w:eastAsia="Courier New" w:hAnsi="Courier New"/>
          <w:sz w:val="16"/>
          <w:szCs w:val="16"/>
        </w:rPr>
        <w:t xml:space="preserve">Rel(cx_analyst, feedback_system, "Изучает результаты разметки на дашборде настроений", "HTTPS")</w:t>
      </w:r>
    </w:p>
    <w:p>
      <w:r>
        <w:rPr>
          <w:rFonts w:ascii="Courier New" w:cs="Courier New" w:eastAsia="Courier New" w:hAnsi="Courier New"/>
          <w:sz w:val="16"/>
          <w:szCs w:val="16"/>
        </w:rPr>
        <w:t xml:space="preserve">Rel(product_owner, feedback_system, "Получает обращения, заведённые по негативным отзывам", "HTTPS")</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 --- вне фокуса ---</w:t>
      </w:r>
    </w:p>
    <w:p>
      <w:r>
        <w:rPr>
          <w:rFonts w:ascii="Courier New" w:cs="Courier New" w:eastAsia="Courier New" w:hAnsi="Courier New"/>
          <w:sz w:val="16"/>
          <w:szCs w:val="16"/>
        </w:rPr>
        <w:t xml:space="preserve">Rel(head_of_direction, feedback_system, "Просматривает эскалации", "HTTPS")</w:t>
      </w:r>
    </w:p>
    <w:p>
      <w:r>
        <w:rPr>
          <w:rFonts w:ascii="Courier New" w:cs="Courier New" w:eastAsia="Courier New" w:hAnsi="Courier New"/>
          <w:sz w:val="16"/>
          <w:szCs w:val="16"/>
        </w:rPr>
        <w:t xml:space="preserve">Rel(feedback_system, notify_service, "Передаёт уведомления", "HTTPS, SMTP / TLS")</w:t>
      </w:r>
    </w:p>
    <w:p>
      <w:r>
        <w:rPr>
          <w:rFonts w:ascii="Courier New" w:cs="Courier New" w:eastAsia="Courier New" w:hAnsi="Courier New"/>
          <w:sz w:val="16"/>
          <w:szCs w:val="16"/>
        </w:rPr>
        <w:t xml:space="preserve">Rel(notify_service, product_owner, "Сообщает о новом обращении", "SMTP / TLS, APNs / FCM")</w:t>
      </w:r>
    </w:p>
    <w:p>
      <w:r>
        <w:rPr>
          <w:rFonts w:ascii="Courier New" w:cs="Courier New" w:eastAsia="Courier New" w:hAnsi="Courier New"/>
          <w:sz w:val="16"/>
          <w:szCs w:val="16"/>
        </w:rPr>
        <w:t xml:space="preserve">Rel(notify_service, head_of_direction, "Сообщает об эскалации", "SMTP / TLS, APNs / FCM")</w:t>
      </w:r>
    </w:p>
    <w:p>
      <w:r>
        <w:rPr>
          <w:rFonts w:ascii="Courier New" w:cs="Courier New" w:eastAsia="Courier New" w:hAnsi="Courier New"/>
          <w:sz w:val="16"/>
          <w:szCs w:val="16"/>
        </w:rPr>
        <w:t xml:space="preserve">Rel(feedback_system, reporting_system, "Выгружает отчёты", "HTTPS / REST")</w:t>
      </w:r>
    </w:p>
    <w:p>
      <w:r>
        <w:rPr>
          <w:rFonts w:ascii="Courier New" w:cs="Courier New" w:eastAsia="Courier New" w:hAnsi="Courier New"/>
          <w:sz w:val="16"/>
          <w:szCs w:val="16"/>
        </w:rPr>
        <w:t xml:space="preserve">Rel(feedback_system, bank_iam, "Проверяет доступ сотрудников", "HTTPS / OAuth 2.0 (OIDC)")</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@enduml</w:t>
      </w:r>
    </w:p>
    <w:p>
      <w:r>
        <w:rPr>
          <w:rFonts w:ascii="Courier New" w:cs="Courier New" w:eastAsia="Courier New" w:hAnsi="Courier New"/>
          <w:sz w:val="16"/>
          <w:szCs w:val="16"/>
        </w:rPr>
        <w:t xml:space="preserve"> </w:t>
      </w:r>
    </w:p>
    <w:p>
      <w:pPr>
        <w:spacing w:line="276" w:lineRule="auto"/>
        <w:jc w:val="both"/>
      </w:pPr>
    </w:p>
    <w:p>
      <w:pPr>
        <w:spacing w:line="276" w:lineRule="auto"/>
      </w:pPr>
      <w:r>
        <w:rPr>
          <w:rFonts w:ascii="Times New Roman" w:cs="Times New Roman" w:eastAsia="Times New Roman" w:hAnsi="Times New Roman"/>
          <w:sz w:val="24"/>
          <w:szCs w:val="24"/>
        </w:rPr>
        <w:t xml:space="preserve">Листинг А.2 – ml_containers_l2.puml</w:t>
      </w:r>
    </w:p>
    <w:p>
      <w:r>
        <w:rPr>
          <w:rFonts w:ascii="Courier New" w:cs="Courier New" w:eastAsia="Courier New" w:hAnsi="Courier New"/>
          <w:sz w:val="16"/>
          <w:szCs w:val="16"/>
        </w:rPr>
        <w:t xml:space="preserve">@startuml "ml_containers_l2.puml"</w:t>
      </w:r>
    </w:p>
    <w:p>
      <w:r>
        <w:rPr>
          <w:rFonts w:ascii="Courier New" w:cs="Courier New" w:eastAsia="Courier New" w:hAnsi="Courier New"/>
          <w:sz w:val="16"/>
          <w:szCs w:val="16"/>
        </w:rPr>
        <w:t xml:space="preserve">!include https://raw.githubusercontent.com/plantuml-stdlib/C4-PlantUML/master/C4_Container.puml</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 Индивидуальная версия: ML, воркер разметки. Глоссарий ID и правила: см. context_l1.puml тимлида</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title Диаграмма контейнеров (L2) ИС управления обратной связью клиентов банка. Фокус: воркер разметки</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Person(cx_analyst, "Аналитик клиентского опыта", "Загружает отзывы, анализирует настроения клиентов, формирует отчёты")</w:t>
      </w:r>
    </w:p>
    <w:p>
      <w:r>
        <w:rPr>
          <w:rFonts w:ascii="Courier New" w:cs="Courier New" w:eastAsia="Courier New" w:hAnsi="Courier New"/>
          <w:sz w:val="16"/>
          <w:szCs w:val="16"/>
        </w:rPr>
        <w:t xml:space="preserve">Person(product_owner, "Владелец продукта", "Отвечает за обращения по своему продуктовому направлению: ипотека, карты, приложение, отделения")</w:t>
      </w:r>
    </w:p>
    <w:p>
      <w:r>
        <w:rPr>
          <w:rFonts w:ascii="Courier New" w:cs="Courier New" w:eastAsia="Courier New" w:hAnsi="Courier New"/>
          <w:sz w:val="16"/>
          <w:szCs w:val="16"/>
        </w:rPr>
        <w:t xml:space="preserve">Person(head_of_direction, "Руководитель направления", "Контролирует сроки реакции на обращения, получает эскалации")</w:t>
      </w:r>
    </w:p>
    <w:p>
      <w:r>
        <w:rPr>
          <w:rFonts w:ascii="Courier New" w:cs="Courier New" w:eastAsia="Courier New" w:hAnsi="Courier New"/>
          <w:sz w:val="16"/>
          <w:szCs w:val="16"/>
        </w:rPr>
        <w:t xml:space="preserve">Person(admin, "Администратор системы", "Ведёт справочники тем, владельцев и нормативных сроков")</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System_Ext(review_source, "Источник отзывов", "Агрегатор отзывов о банках с программным интерфейсом выгрузки")</w:t>
      </w:r>
    </w:p>
    <w:p>
      <w:r>
        <w:rPr>
          <w:rFonts w:ascii="Courier New" w:cs="Courier New" w:eastAsia="Courier New" w:hAnsi="Courier New"/>
          <w:sz w:val="16"/>
          <w:szCs w:val="16"/>
        </w:rPr>
        <w:t xml:space="preserve">System_Ext(llm_service, "Сервис языковой модели", "Внешняя большая языковая модель для определения тем и тональности отзывов")</w:t>
      </w:r>
    </w:p>
    <w:p>
      <w:r>
        <w:rPr>
          <w:rFonts w:ascii="Courier New" w:cs="Courier New" w:eastAsia="Courier New" w:hAnsi="Courier New"/>
          <w:sz w:val="16"/>
          <w:szCs w:val="16"/>
        </w:rPr>
        <w:t xml:space="preserve">System_Ext(notify_service, "Сервис уведомлений", "Почтовый сервер банка и push-сервисы APNs / FCM")</w:t>
      </w:r>
    </w:p>
    <w:p>
      <w:r>
        <w:rPr>
          <w:rFonts w:ascii="Courier New" w:cs="Courier New" w:eastAsia="Courier New" w:hAnsi="Courier New"/>
          <w:sz w:val="16"/>
          <w:szCs w:val="16"/>
        </w:rPr>
        <w:t xml:space="preserve">System_Ext(reporting_system, "Система отчётности банка", "Корпоративное хранилище управленческой отчётности")</w:t>
      </w:r>
    </w:p>
    <w:p>
      <w:r>
        <w:rPr>
          <w:rFonts w:ascii="Courier New" w:cs="Courier New" w:eastAsia="Courier New" w:hAnsi="Courier New"/>
          <w:sz w:val="16"/>
          <w:szCs w:val="16"/>
        </w:rPr>
        <w:t xml:space="preserve">System_Ext(bank_iam, "Система управления доступом банка", "Единый вход и ролевая модель сотрудников банка")</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System_Boundary(feedback_system, "ИС управления обратной связью клиентов банка") {</w:t>
      </w:r>
    </w:p>
    <w:p>
      <w:r>
        <w:rPr>
          <w:rFonts w:ascii="Courier New" w:cs="Courier New" w:eastAsia="Courier New" w:hAnsi="Courier New"/>
          <w:sz w:val="16"/>
          <w:szCs w:val="16"/>
        </w:rPr>
        <w:t xml:space="preserve">    Container(web_panel, "Веб-панель", "React / TypeScript, SPA", "Дашборд настроений, реестры отзывов и обращений, справочники, отчёты")</w:t>
      </w:r>
    </w:p>
    <w:p>
      <w:r>
        <w:rPr>
          <w:rFonts w:ascii="Courier New" w:cs="Courier New" w:eastAsia="Courier New" w:hAnsi="Courier New"/>
          <w:sz w:val="16"/>
          <w:szCs w:val="16"/>
        </w:rPr>
        <w:t xml:space="preserve">    Container(mobile_app, "Мобильное приложение", "TypeScript / React Native, iOS / Android", "Обращения и эскалации для владельцев продуктов и руководителей, смена статусов вне рабочего места")</w:t>
      </w:r>
    </w:p>
    <w:p>
      <w:r>
        <w:rPr>
          <w:rFonts w:ascii="Courier New" w:cs="Courier New" w:eastAsia="Courier New" w:hAnsi="Courier New"/>
          <w:sz w:val="16"/>
          <w:szCs w:val="16"/>
        </w:rPr>
        <w:t xml:space="preserve">    Container(api_backend, "Backend API", "Python / FastAPI, JWT", "REST API, проверка доступа, статусная модель обращений, назначение владельцев, отчёты")</w:t>
      </w:r>
    </w:p>
    <w:p>
      <w:r>
        <w:rPr>
          <w:rFonts w:ascii="Courier New" w:cs="Courier New" w:eastAsia="Courier New" w:hAnsi="Courier New"/>
          <w:sz w:val="16"/>
          <w:szCs w:val="16"/>
        </w:rPr>
        <w:t xml:space="preserve">    Container(labeling_worker, "Воркер разметки", "Python / Celery", "Кластеризация, мультилейбл-классификация тем, определение тональности, заведение обращений при негативе")</w:t>
      </w:r>
    </w:p>
    <w:p>
      <w:r>
        <w:rPr>
          <w:rFonts w:ascii="Courier New" w:cs="Courier New" w:eastAsia="Courier New" w:hAnsi="Courier New"/>
          <w:sz w:val="16"/>
          <w:szCs w:val="16"/>
        </w:rPr>
        <w:t xml:space="preserve">    Container(message_broker, "Брокер сообщений", "RabbitMQ", "Очереди reviews.labeling (задачи разметки) и cases.events (события по обращениям)")</w:t>
      </w:r>
    </w:p>
    <w:p>
      <w:r>
        <w:rPr>
          <w:rFonts w:ascii="Courier New" w:cs="Courier New" w:eastAsia="Courier New" w:hAnsi="Courier New"/>
          <w:sz w:val="16"/>
          <w:szCs w:val="16"/>
        </w:rPr>
        <w:t xml:space="preserve">    Container(background_worker, "Воркер фоновых задач", "Python / Celery beat", "Сбор отзывов по расписанию, контроль сроков, эскалации, рассылка уведомлений")</w:t>
      </w:r>
    </w:p>
    <w:p>
      <w:r>
        <w:rPr>
          <w:rFonts w:ascii="Courier New" w:cs="Courier New" w:eastAsia="Courier New" w:hAnsi="Courier New"/>
          <w:sz w:val="16"/>
          <w:szCs w:val="16"/>
        </w:rPr>
        <w:t xml:space="preserve">    ContainerDb(database, "База данных", "PostgreSQL 16", "Отзывы, разметка, обращения, история статусов, справочники, витрины аналитики")</w:t>
      </w:r>
    </w:p>
    <w:p>
      <w:r>
        <w:rPr>
          <w:rFonts w:ascii="Courier New" w:cs="Courier New" w:eastAsia="Courier New" w:hAnsi="Courier New"/>
          <w:sz w:val="16"/>
          <w:szCs w:val="16"/>
        </w:rPr>
        <w:t xml:space="preserve">    ContainerDb(cache, "Кэш", "Redis", "Предрассчитанные агрегаты дашборда")</w:t>
      </w:r>
    </w:p>
    <w:p>
      <w:r>
        <w:rPr>
          <w:rFonts w:ascii="Courier New" w:cs="Courier New" w:eastAsia="Courier New" w:hAnsi="Courier New"/>
          <w:sz w:val="16"/>
          <w:szCs w:val="16"/>
        </w:rPr>
        <w:t xml:space="preserve">}</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 --- фокус ---</w:t>
      </w:r>
    </w:p>
    <w:p>
      <w:r>
        <w:rPr>
          <w:rFonts w:ascii="Courier New" w:cs="Courier New" w:eastAsia="Courier New" w:hAnsi="Courier New"/>
          <w:sz w:val="16"/>
          <w:szCs w:val="16"/>
        </w:rPr>
        <w:t xml:space="preserve">Rel(api_backend, message_broker, "Ставит задачи разметки для загруженного пакета", "AMQP")</w:t>
      </w:r>
    </w:p>
    <w:p>
      <w:r>
        <w:rPr>
          <w:rFonts w:ascii="Courier New" w:cs="Courier New" w:eastAsia="Courier New" w:hAnsi="Courier New"/>
          <w:sz w:val="16"/>
          <w:szCs w:val="16"/>
        </w:rPr>
        <w:t xml:space="preserve">Rel(background_worker, message_broker, "Ставит задачи разметки для собранных отзывов", "AMQP")</w:t>
      </w:r>
    </w:p>
    <w:p>
      <w:r>
        <w:rPr>
          <w:rFonts w:ascii="Courier New" w:cs="Courier New" w:eastAsia="Courier New" w:hAnsi="Courier New"/>
          <w:sz w:val="16"/>
          <w:szCs w:val="16"/>
        </w:rPr>
        <w:t xml:space="preserve">Rel(labeling_worker, message_broker, "Забирает задачу из очереди reviews.labeling с подтверждением после записи в базу", "AMQP")</w:t>
      </w:r>
    </w:p>
    <w:p>
      <w:r>
        <w:rPr>
          <w:rFonts w:ascii="Courier New" w:cs="Courier New" w:eastAsia="Courier New" w:hAnsi="Courier New"/>
          <w:sz w:val="16"/>
          <w:szCs w:val="16"/>
        </w:rPr>
        <w:t xml:space="preserve">Rel(labeling_worker, database, "Получает текст отзыва и справочник тем", "SQL / TCP")</w:t>
      </w:r>
    </w:p>
    <w:p>
      <w:r>
        <w:rPr>
          <w:rFonts w:ascii="Courier New" w:cs="Courier New" w:eastAsia="Courier New" w:hAnsi="Courier New"/>
          <w:sz w:val="16"/>
          <w:szCs w:val="16"/>
        </w:rPr>
        <w:t xml:space="preserve">Rel(labeling_worker, llm_service, "Передаёт промпт с текстом и темами, получает разметку в JSON", "HTTPS / REST, JSON")</w:t>
      </w:r>
    </w:p>
    <w:p>
      <w:r>
        <w:rPr>
          <w:rFonts w:ascii="Courier New" w:cs="Courier New" w:eastAsia="Courier New" w:hAnsi="Courier New"/>
          <w:sz w:val="16"/>
          <w:szCs w:val="16"/>
        </w:rPr>
        <w:t xml:space="preserve">Rel(labeling_worker, database, "Сохраняет темы и тональность отзыва", "SQL / TCP")</w:t>
      </w:r>
    </w:p>
    <w:p>
      <w:r>
        <w:rPr>
          <w:rFonts w:ascii="Courier New" w:cs="Courier New" w:eastAsia="Courier New" w:hAnsi="Courier New"/>
          <w:sz w:val="16"/>
          <w:szCs w:val="16"/>
        </w:rPr>
        <w:t xml:space="preserve">Rel(labeling_worker, database, "Заводит обращение при негативе по значимой теме", "SQL / TCP")</w:t>
      </w:r>
    </w:p>
    <w:p>
      <w:r>
        <w:rPr>
          <w:rFonts w:ascii="Courier New" w:cs="Courier New" w:eastAsia="Courier New" w:hAnsi="Courier New"/>
          <w:sz w:val="16"/>
          <w:szCs w:val="16"/>
        </w:rPr>
        <w:t xml:space="preserve">Rel(labeling_worker, message_broker, "Публикует событие «обращение создано» в cases.events", "AMQP")</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 --- вне фокуса ---</w:t>
      </w:r>
    </w:p>
    <w:p>
      <w:r>
        <w:rPr>
          <w:rFonts w:ascii="Courier New" w:cs="Courier New" w:eastAsia="Courier New" w:hAnsi="Courier New"/>
          <w:sz w:val="16"/>
          <w:szCs w:val="16"/>
        </w:rPr>
        <w:t xml:space="preserve">Rel(cx_analyst, web_panel, "Изучает дашборд и формирует отчёты", "HTTPS")</w:t>
      </w:r>
    </w:p>
    <w:p>
      <w:r>
        <w:rPr>
          <w:rFonts w:ascii="Courier New" w:cs="Courier New" w:eastAsia="Courier New" w:hAnsi="Courier New"/>
          <w:sz w:val="16"/>
          <w:szCs w:val="16"/>
        </w:rPr>
        <w:t xml:space="preserve">Rel(admin, web_panel, "Настраивает справочники", "HTTPS")</w:t>
      </w:r>
    </w:p>
    <w:p>
      <w:r>
        <w:rPr>
          <w:rFonts w:ascii="Courier New" w:cs="Courier New" w:eastAsia="Courier New" w:hAnsi="Courier New"/>
          <w:sz w:val="16"/>
          <w:szCs w:val="16"/>
        </w:rPr>
        <w:t xml:space="preserve">Rel(product_owner, web_panel, "Берёт обращения в работу", "HTTPS")</w:t>
      </w:r>
    </w:p>
    <w:p>
      <w:r>
        <w:rPr>
          <w:rFonts w:ascii="Courier New" w:cs="Courier New" w:eastAsia="Courier New" w:hAnsi="Courier New"/>
          <w:sz w:val="16"/>
          <w:szCs w:val="16"/>
        </w:rPr>
        <w:t xml:space="preserve">Rel(product_owner, mobile_app, "Меняет статусы", "HTTPS")</w:t>
      </w:r>
    </w:p>
    <w:p>
      <w:r>
        <w:rPr>
          <w:rFonts w:ascii="Courier New" w:cs="Courier New" w:eastAsia="Courier New" w:hAnsi="Courier New"/>
          <w:sz w:val="16"/>
          <w:szCs w:val="16"/>
        </w:rPr>
        <w:t xml:space="preserve">Rel(head_of_direction, mobile_app, "Просматривает эскалации", "HTTPS")</w:t>
      </w:r>
    </w:p>
    <w:p>
      <w:r>
        <w:rPr>
          <w:rFonts w:ascii="Courier New" w:cs="Courier New" w:eastAsia="Courier New" w:hAnsi="Courier New"/>
          <w:sz w:val="16"/>
          <w:szCs w:val="16"/>
        </w:rPr>
        <w:t xml:space="preserve">Rel(web_panel, api_backend, "Запрашивает и изменяет отзывы, обращения и справочники", "HTTPS / JSON, REST")</w:t>
      </w:r>
    </w:p>
    <w:p>
      <w:r>
        <w:rPr>
          <w:rFonts w:ascii="Courier New" w:cs="Courier New" w:eastAsia="Courier New" w:hAnsi="Courier New"/>
          <w:sz w:val="16"/>
          <w:szCs w:val="16"/>
        </w:rPr>
        <w:t xml:space="preserve">Rel(mobile_app, api_backend, "Передаёт смену статуса и запрашивает обращения", "HTTPS / JSON, REST")</w:t>
      </w:r>
    </w:p>
    <w:p>
      <w:r>
        <w:rPr>
          <w:rFonts w:ascii="Courier New" w:cs="Courier New" w:eastAsia="Courier New" w:hAnsi="Courier New"/>
          <w:sz w:val="16"/>
          <w:szCs w:val="16"/>
        </w:rPr>
        <w:t xml:space="preserve">Rel(api_backend, bank_iam, "Проверяет доступ сотрудников", "HTTPS / OAuth 2.0 (OIDC)")</w:t>
      </w:r>
    </w:p>
    <w:p>
      <w:r>
        <w:rPr>
          <w:rFonts w:ascii="Courier New" w:cs="Courier New" w:eastAsia="Courier New" w:hAnsi="Courier New"/>
          <w:sz w:val="16"/>
          <w:szCs w:val="16"/>
        </w:rPr>
        <w:t xml:space="preserve">Rel(api_backend, database, "Сохраняет и получает отзывы и обращения", "SQL / TCP")</w:t>
      </w:r>
    </w:p>
    <w:p>
      <w:r>
        <w:rPr>
          <w:rFonts w:ascii="Courier New" w:cs="Courier New" w:eastAsia="Courier New" w:hAnsi="Courier New"/>
          <w:sz w:val="16"/>
          <w:szCs w:val="16"/>
        </w:rPr>
        <w:t xml:space="preserve">Rel(api_backend, cache, "Получает агрегаты дашборда", "RESP / TCP")</w:t>
      </w:r>
    </w:p>
    <w:p>
      <w:r>
        <w:rPr>
          <w:rFonts w:ascii="Courier New" w:cs="Courier New" w:eastAsia="Courier New" w:hAnsi="Courier New"/>
          <w:sz w:val="16"/>
          <w:szCs w:val="16"/>
        </w:rPr>
        <w:t xml:space="preserve">Rel(api_backend, reporting_system, "Выгружает отчёты", "HTTPS / REST")</w:t>
      </w:r>
    </w:p>
    <w:p>
      <w:r>
        <w:rPr>
          <w:rFonts w:ascii="Courier New" w:cs="Courier New" w:eastAsia="Courier New" w:hAnsi="Courier New"/>
          <w:sz w:val="16"/>
          <w:szCs w:val="16"/>
        </w:rPr>
        <w:t xml:space="preserve">Rel(background_worker, database, "Сохраняет собранные отзывы", "SQL / TCP")</w:t>
      </w:r>
    </w:p>
    <w:p>
      <w:r>
        <w:rPr>
          <w:rFonts w:ascii="Courier New" w:cs="Courier New" w:eastAsia="Courier New" w:hAnsi="Courier New"/>
          <w:sz w:val="16"/>
          <w:szCs w:val="16"/>
        </w:rPr>
        <w:t xml:space="preserve">Rel(background_worker, database, "Проверяет сроки обращений", "SQL / TCP")</w:t>
      </w:r>
    </w:p>
    <w:p>
      <w:r>
        <w:rPr>
          <w:rFonts w:ascii="Courier New" w:cs="Courier New" w:eastAsia="Courier New" w:hAnsi="Courier New"/>
          <w:sz w:val="16"/>
          <w:szCs w:val="16"/>
        </w:rPr>
        <w:t xml:space="preserve">Rel(background_worker, review_source, "Забирает отзывы", "HTTPS / REST")</w:t>
      </w:r>
    </w:p>
    <w:p>
      <w:r>
        <w:rPr>
          <w:rFonts w:ascii="Courier New" w:cs="Courier New" w:eastAsia="Courier New" w:hAnsi="Courier New"/>
          <w:sz w:val="16"/>
          <w:szCs w:val="16"/>
        </w:rPr>
        <w:t xml:space="preserve">Rel(background_worker, notify_service, "Передаёт уведомления", "HTTPS, SMTP / TLS")</w:t>
      </w:r>
    </w:p>
    <w:p>
      <w:r>
        <w:rPr>
          <w:rFonts w:ascii="Courier New" w:cs="Courier New" w:eastAsia="Courier New" w:hAnsi="Courier New"/>
          <w:sz w:val="16"/>
          <w:szCs w:val="16"/>
        </w:rPr>
        <w:t xml:space="preserve">Rel(notify_service, mobile_app, "Доставляет push-уведомления", "APNs / FCM")</w:t>
      </w:r>
    </w:p>
    <w:p>
      <w:r>
        <w:rPr>
          <w:rFonts w:ascii="Courier New" w:cs="Courier New" w:eastAsia="Courier New" w:hAnsi="Courier New"/>
          <w:sz w:val="16"/>
          <w:szCs w:val="16"/>
        </w:rPr>
        <w:t xml:space="preserve">Rel(notify_service, product_owner, "Доставляет email о новом обращении", "SMTP / TLS")</w:t>
      </w:r>
    </w:p>
    <w:p>
      <w:r>
        <w:rPr>
          <w:rFonts w:ascii="Courier New" w:cs="Courier New" w:eastAsia="Courier New" w:hAnsi="Courier New"/>
          <w:sz w:val="16"/>
          <w:szCs w:val="16"/>
        </w:rPr>
        <w:t xml:space="preserve">Rel(notify_service, head_of_direction, "Доставляет email об эскалации", "SMTP / TLS")</w:t>
      </w:r>
    </w:p>
    <w:p>
      <w:r>
        <w:rPr>
          <w:rFonts w:ascii="Courier New" w:cs="Courier New" w:eastAsia="Courier New" w:hAnsi="Courier New"/>
          <w:sz w:val="16"/>
          <w:szCs w:val="16"/>
        </w:rPr>
        <w:t xml:space="preserve">Rel(background_worker, message_broker, "Забирает события по обращениям", "AMQP")</w:t>
      </w:r>
    </w:p>
    <w:p>
      <w:r>
        <w:rPr>
          <w:rFonts w:ascii="Courier New" w:cs="Courier New" w:eastAsia="Courier New" w:hAnsi="Courier New"/>
          <w:sz w:val="16"/>
          <w:szCs w:val="16"/>
        </w:rPr>
        <w:t xml:space="preserve"> </w:t>
      </w:r>
    </w:p>
    <w:p>
      <w:r>
        <w:rPr>
          <w:rFonts w:ascii="Courier New" w:cs="Courier New" w:eastAsia="Courier New" w:hAnsi="Courier New"/>
          <w:sz w:val="16"/>
          <w:szCs w:val="16"/>
        </w:rPr>
        <w:t xml:space="preserve">@enduml</w:t>
      </w:r>
    </w:p>
    <w:p>
      <w:r>
        <w:rPr>
          <w:rFonts w:ascii="Courier New" w:cs="Courier New" w:eastAsia="Courier New" w:hAnsi="Courier New"/>
          <w:sz w:val="16"/>
          <w:szCs w:val="16"/>
        </w:rPr>
        <w:t xml:space="preserve"> </w:t>
      </w:r>
    </w:p>
    <w:sectPr>
      <w:footerReference w:type="default" r:id="rId10"/>
      <w:pgSz w:w="16838" w:h="11906" w:orient="landscape"/>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76c99d2146cc9e9b4c6410a3cef055090f05e5fb.png"/><Relationship Id="rId12" Type="http://schemas.openxmlformats.org/officeDocument/2006/relationships/image" Target="media/70433f03971a1fd99d3e3d60abf7702bfd387b79.png"/><Relationship Id="rId13" Type="http://schemas.openxmlformats.org/officeDocument/2006/relationships/image" Target="media/9ae9288a593ad8e82561b07141add31b0e5667f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2026-09-25T07:49:18.574Z</dcterms:created>
  <dcterms:modified xsi:type="dcterms:W3CDTF">2026-09-25T07:49:18.575Z</dcterms:modified>
</cp:coreProperties>
</file>

<file path=docProps/custom.xml><?xml version="1.0" encoding="utf-8"?>
<Properties xmlns="http://schemas.openxmlformats.org/officeDocument/2006/custom-properties" xmlns:vt="http://schemas.openxmlformats.org/officeDocument/2006/docPropsVTypes"/>
</file>