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201EE" w14:textId="186E45C5" w:rsidR="00C12C22" w:rsidRPr="00441850" w:rsidRDefault="00C12C22" w:rsidP="00735E5F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441850">
        <w:rPr>
          <w:rFonts w:ascii="Arial" w:eastAsia="Times New Roman" w:hAnsi="Arial" w:cs="Arial"/>
          <w:b/>
          <w:bCs/>
          <w:color w:val="000000"/>
          <w:sz w:val="48"/>
          <w:szCs w:val="48"/>
        </w:rPr>
        <w:t>Step 2: Build and Deploy Models</w:t>
      </w:r>
    </w:p>
    <w:p w14:paraId="22852A7B" w14:textId="77F88778" w:rsidR="00D86494" w:rsidRPr="00441850" w:rsidRDefault="00D86494" w:rsidP="00D86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44"/>
          <w:szCs w:val="44"/>
        </w:rPr>
      </w:pPr>
      <w:r w:rsidRPr="00441850">
        <w:rPr>
          <w:rFonts w:ascii="Arial" w:eastAsia="Times New Roman" w:hAnsi="Arial" w:cs="Arial"/>
          <w:b/>
          <w:color w:val="000000"/>
          <w:sz w:val="44"/>
          <w:szCs w:val="44"/>
        </w:rPr>
        <w:t>What you'll learn to do</w:t>
      </w:r>
    </w:p>
    <w:p w14:paraId="46A2E7D4" w14:textId="597745FF" w:rsidR="00C12C22" w:rsidRPr="00D86494" w:rsidRDefault="00C12C22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E3ADD5E" wp14:editId="234B37CA">
            <wp:extent cx="6334125" cy="4107774"/>
            <wp:effectExtent l="0" t="0" r="0" b="7620"/>
            <wp:docPr id="3" name="Picture 3" descr="https://www.predix.com/sites/default/files/image2016-7-12_16-2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edix.com/sites/default/files/image2016-7-12_16-24-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57" cy="41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04AF" w14:textId="58AB8DE4" w:rsidR="00B67682" w:rsidRDefault="00B67682" w:rsidP="00735E5F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Step 2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focuses on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how 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Digital Twin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models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and analytics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are built, deployed, and run.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Digital Twin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models 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>and analytic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will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 be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run via REST endpoint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s.  In most cases, these models and analytics will be deployed to an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instance of a</w:t>
      </w:r>
      <w:hyperlink r:id="rId7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 Predix Analytic Catalog 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</w:rPr>
        <w:t>or an instance of a </w:t>
      </w:r>
      <w:hyperlink r:id="rId8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Predix Analytic Runtime</w:t>
        </w:r>
      </w:hyperlink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executed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through 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workflow orchestration (see </w:t>
      </w:r>
      <w:hyperlink r:id="rId9" w:history="1">
        <w:r w:rsidRPr="00441850">
          <w:rPr>
            <w:rFonts w:ascii="Arial" w:eastAsia="Times New Roman" w:hAnsi="Arial" w:cs="Arial"/>
            <w:b/>
            <w:color w:val="000000" w:themeColor="text1"/>
            <w:sz w:val="24"/>
            <w:szCs w:val="24"/>
          </w:rPr>
          <w:t>Step 4: </w:t>
        </w:r>
      </w:hyperlink>
      <w:r w:rsidRPr="0044185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Build Orchestration</w:t>
      </w:r>
      <w:r w:rsidRPr="00D86494">
        <w:rPr>
          <w:rFonts w:ascii="Arial" w:eastAsia="Times New Roman" w:hAnsi="Arial" w:cs="Arial"/>
          <w:color w:val="000000"/>
          <w:sz w:val="24"/>
          <w:szCs w:val="24"/>
          <w:u w:val="single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The Predix Analytics Catalog allows uploading models that are developed in Python, Java, or Matlab. </w:t>
      </w:r>
      <w:r>
        <w:rPr>
          <w:rFonts w:ascii="Arial" w:eastAsia="Times New Roman" w:hAnsi="Arial" w:cs="Arial"/>
          <w:color w:val="000000"/>
          <w:sz w:val="24"/>
          <w:szCs w:val="24"/>
        </w:rPr>
        <w:t>For more information,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refer to the Predix documentation on </w:t>
      </w:r>
      <w:hyperlink r:id="rId10" w:anchor="Qd2kPYb7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Analytic Development Process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 </w:t>
      </w:r>
    </w:p>
    <w:p w14:paraId="72A49025" w14:textId="4CBF6943" w:rsidR="00C12C22" w:rsidRPr="00D86494" w:rsidRDefault="00C12C22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The simple workflow:</w:t>
      </w:r>
    </w:p>
    <w:p w14:paraId="72807F5C" w14:textId="42A1065A" w:rsidR="00C12C22" w:rsidRPr="00D86494" w:rsidRDefault="00C12C22" w:rsidP="00735E5F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367D8848" wp14:editId="7EFB5528">
            <wp:extent cx="5943600" cy="1370405"/>
            <wp:effectExtent l="0" t="0" r="0" b="1270"/>
            <wp:docPr id="4" name="Picture 4" descr="https://www.predix.com/sites/default/files/image006_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edix.com/sites/default/files/image006_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D302" w14:textId="19C24870" w:rsidR="00C12C22" w:rsidRDefault="00C12C22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part of the tutorial, you will:</w:t>
      </w:r>
    </w:p>
    <w:p w14:paraId="4F0E4A63" w14:textId="7BACD178" w:rsidR="006F4ADC" w:rsidRDefault="006F4ADC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Find the Predix-Zone-Id of the your Predix-Analytics-Catalog</w:t>
      </w:r>
    </w:p>
    <w:p w14:paraId="4D61B4CC" w14:textId="741E7227" w:rsidR="006300DD" w:rsidRDefault="006300DD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the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tutorial-actual-vs-expected-analytic application</w:t>
      </w:r>
    </w:p>
    <w:p w14:paraId="13DB9986" w14:textId="20DE57FC" w:rsidR="006300DD" w:rsidRDefault="006300DD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Upload the analytic to the Analytic Catalog</w:t>
      </w:r>
    </w:p>
    <w:p w14:paraId="6B2877C7" w14:textId="5E736BC4" w:rsidR="006300DD" w:rsidRPr="00735E5F" w:rsidRDefault="00B84665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="006300DD">
        <w:rPr>
          <w:rFonts w:ascii="Arial" w:eastAsia="Times New Roman" w:hAnsi="Arial" w:cs="Arial"/>
          <w:color w:val="000000"/>
          <w:sz w:val="24"/>
          <w:szCs w:val="24"/>
        </w:rPr>
        <w:t xml:space="preserve"> the analytic hosted in the Analytic Catalog</w:t>
      </w:r>
    </w:p>
    <w:p w14:paraId="6E30DEFB" w14:textId="77777777" w:rsidR="00C12C22" w:rsidRDefault="00C12C22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945C872" w14:textId="1527A4BE" w:rsidR="00C12C22" w:rsidRDefault="00D86494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56CA35E0" w14:textId="7A772EA7" w:rsidR="00D86494" w:rsidRPr="00441850" w:rsidRDefault="00D86494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44"/>
          <w:szCs w:val="44"/>
        </w:rPr>
      </w:pPr>
      <w:r w:rsidRPr="00441850">
        <w:rPr>
          <w:rFonts w:ascii="Arial" w:eastAsia="Times New Roman" w:hAnsi="Arial" w:cs="Arial"/>
          <w:b/>
          <w:color w:val="000000"/>
          <w:sz w:val="44"/>
          <w:szCs w:val="44"/>
        </w:rPr>
        <w:t>What you need to set up</w:t>
      </w:r>
    </w:p>
    <w:p w14:paraId="3807DD17" w14:textId="4F7AFAA4" w:rsidR="00C12C22" w:rsidRDefault="00070D18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35E5F">
        <w:rPr>
          <w:rFonts w:ascii="Arial" w:eastAsia="Times New Roman" w:hAnsi="Arial" w:cs="Arial"/>
          <w:color w:val="000000"/>
          <w:sz w:val="24"/>
          <w:szCs w:val="24"/>
        </w:rPr>
        <w:t>For this step, you will need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>an instance of the Analytics Catalog and an instance of the Predix UAA service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>If you want to use the provided Postman collection to interact with the REST endpoints, you will need to set the a</w:t>
      </w:r>
      <w:r w:rsidR="00C12C22" w:rsidRPr="00B54802">
        <w:rPr>
          <w:rFonts w:ascii="Arial" w:eastAsia="Times New Roman" w:hAnsi="Arial" w:cs="Arial"/>
          <w:color w:val="000000"/>
          <w:sz w:val="24"/>
          <w:szCs w:val="24"/>
        </w:rPr>
        <w:t xml:space="preserve">uthorization header with the 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C12C22" w:rsidRPr="00B54802">
        <w:rPr>
          <w:rFonts w:ascii="Arial" w:eastAsia="Times New Roman" w:hAnsi="Arial" w:cs="Arial"/>
          <w:color w:val="000000"/>
          <w:sz w:val="24"/>
          <w:szCs w:val="24"/>
        </w:rPr>
        <w:t>earer token for the UAA client that has permission to call the REST endpoint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 xml:space="preserve"> since the applications are secured. If you have not set up these services or secured the provided Postman collection, please see the </w:t>
      </w:r>
      <w:r w:rsidR="00C12C22" w:rsidRPr="00597226">
        <w:rPr>
          <w:rFonts w:ascii="Arial" w:eastAsia="Times New Roman" w:hAnsi="Arial" w:cs="Arial"/>
          <w:b/>
          <w:sz w:val="24"/>
          <w:szCs w:val="24"/>
        </w:rPr>
        <w:t>Getting Started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 xml:space="preserve"> section for instructions.</w:t>
      </w:r>
      <w:r w:rsidR="00C12C22" w:rsidRPr="00B5480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CC10DA6" w14:textId="587040DD" w:rsidR="00070D18" w:rsidRPr="00441850" w:rsidRDefault="00070D18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b/>
          <w:color w:val="000000"/>
          <w:sz w:val="44"/>
          <w:szCs w:val="44"/>
        </w:rPr>
      </w:pPr>
      <w:r w:rsidRPr="00441850">
        <w:rPr>
          <w:rFonts w:ascii="Arial" w:eastAsia="Times New Roman" w:hAnsi="Arial" w:cs="Arial"/>
          <w:b/>
          <w:color w:val="000000"/>
          <w:sz w:val="44"/>
          <w:szCs w:val="44"/>
        </w:rPr>
        <w:t>What you need to do</w:t>
      </w:r>
    </w:p>
    <w:p w14:paraId="5341C48D" w14:textId="05CB2971" w:rsidR="006F4ADC" w:rsidRDefault="006F4AD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735E5F">
        <w:rPr>
          <w:rFonts w:ascii="Arial" w:eastAsia="Times New Roman" w:hAnsi="Arial" w:cs="Arial"/>
          <w:b/>
          <w:color w:val="000000"/>
          <w:sz w:val="27"/>
          <w:szCs w:val="27"/>
        </w:rPr>
        <w:t>Find the Predix-Zone-Id of the your Predix-Analytics-Catalog</w:t>
      </w:r>
    </w:p>
    <w:p w14:paraId="5E019A68" w14:textId="1BFFD74D" w:rsidR="0067764C" w:rsidRDefault="0067764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395668F" w14:textId="55DF7ADA" w:rsidR="0067764C" w:rsidRPr="00735E5F" w:rsidRDefault="0067764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part of the tutorial, you’ll need to know what your Predix-Zone-Id is for your Predix-Analytics-Catalog instance</w:t>
      </w:r>
      <w:r w:rsidR="003904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8C3D37" w14:textId="0CFA21DC" w:rsidR="0067764C" w:rsidRPr="00D86494" w:rsidRDefault="0067764C" w:rsidP="0067764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From the command line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using the Cloud Foundry command line interface (cf cli) you’ll run commands to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find the guid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which is the Predix Zone ID,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r w:rsidR="00FC184A">
        <w:rPr>
          <w:rFonts w:ascii="Arial" w:eastAsia="Times New Roman" w:hAnsi="Arial" w:cs="Arial"/>
          <w:color w:val="000000"/>
          <w:sz w:val="24"/>
          <w:szCs w:val="24"/>
        </w:rPr>
        <w:t xml:space="preserve">your instance of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FC184A">
        <w:rPr>
          <w:rFonts w:ascii="Arial" w:eastAsia="Times New Roman" w:hAnsi="Arial" w:cs="Arial"/>
          <w:color w:val="000000"/>
          <w:sz w:val="24"/>
          <w:szCs w:val="24"/>
        </w:rPr>
        <w:t>predix-analytic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-catalog servi</w:t>
      </w:r>
      <w:r>
        <w:rPr>
          <w:rFonts w:ascii="Arial" w:eastAsia="Times New Roman" w:hAnsi="Arial" w:cs="Arial"/>
          <w:color w:val="000000"/>
          <w:sz w:val="24"/>
          <w:szCs w:val="24"/>
        </w:rPr>
        <w:t>ce.</w:t>
      </w:r>
      <w:r w:rsidR="00FC184A">
        <w:rPr>
          <w:rFonts w:ascii="Arial" w:eastAsia="Times New Roman" w:hAnsi="Arial" w:cs="Arial"/>
          <w:color w:val="000000"/>
          <w:sz w:val="24"/>
          <w:szCs w:val="24"/>
        </w:rPr>
        <w:t xml:space="preserve">  For example:</w:t>
      </w:r>
    </w:p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7764C" w:rsidRPr="00D86494" w14:paraId="75D85E56" w14:textId="77777777" w:rsidTr="0059722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152279" w14:textId="3F2EBC30" w:rsidR="0067764C" w:rsidRPr="00441850" w:rsidRDefault="0067764C" w:rsidP="002F788D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41850">
              <w:rPr>
                <w:rFonts w:ascii="Arial" w:eastAsia="Times New Roman" w:hAnsi="Arial" w:cs="Arial"/>
                <w:sz w:val="20"/>
                <w:szCs w:val="20"/>
              </w:rPr>
              <w:t>D:\mydir\steam-turbine-tutorial\tutorial-svcs\tutorial-analytic&gt; cf services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  <w:t>Getting services in org DigitalTwin / space dev as 200000000@mail.ad.ge.com ...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  <w:t>OK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  <w:t>name                            service                             plan           bound apps           last operation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  <w:t>...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FC184A" w:rsidRPr="00441850">
              <w:rPr>
                <w:rFonts w:ascii="Arial" w:eastAsia="Times New Roman" w:hAnsi="Arial" w:cs="Arial"/>
                <w:sz w:val="20"/>
                <w:szCs w:val="20"/>
              </w:rPr>
              <w:t>my-analytics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t>-catalog              predix-analytics-catalog   Bronze      tutorial-asset         create succeeded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...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D:\mydir\steam-turbine-tutorial\tutorial-svcs\tutorial-analytic&gt; cf service </w:t>
            </w:r>
            <w:r w:rsidR="00FC184A" w:rsidRPr="00441850">
              <w:rPr>
                <w:rFonts w:ascii="Arial" w:eastAsia="Times New Roman" w:hAnsi="Arial" w:cs="Arial"/>
                <w:sz w:val="20"/>
                <w:szCs w:val="20"/>
              </w:rPr>
              <w:t>my-analytics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t>-catalog --guid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41850">
              <w:rPr>
                <w:rFonts w:ascii="Arial" w:eastAsia="Times New Roman" w:hAnsi="Arial" w:cs="Arial"/>
                <w:b/>
                <w:sz w:val="20"/>
                <w:szCs w:val="20"/>
              </w:rPr>
              <w:t>69ab882f-ab6d-4c5a-8a4d-68f3a0148b22</w:t>
            </w:r>
            <w:r w:rsidRPr="00441850">
              <w:rPr>
                <w:rFonts w:ascii="Arial" w:eastAsia="Times New Roman" w:hAnsi="Arial" w:cs="Arial"/>
                <w:sz w:val="20"/>
                <w:szCs w:val="20"/>
              </w:rPr>
              <w:br/>
              <w:t>D:\mydir\steam-turbine-tutorial\tutorial-svcs\tutorial-analytic&gt;</w:t>
            </w:r>
          </w:p>
        </w:tc>
      </w:tr>
    </w:tbl>
    <w:p w14:paraId="08A7F61E" w14:textId="53353AA5" w:rsidR="0067764C" w:rsidRPr="00D86494" w:rsidRDefault="0067764C" w:rsidP="0067764C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guid string returned (</w:t>
      </w:r>
      <w:r w:rsidR="003904A1">
        <w:rPr>
          <w:rFonts w:ascii="Arial" w:eastAsia="Times New Roman" w:hAnsi="Arial" w:cs="Arial"/>
          <w:color w:val="000000"/>
          <w:sz w:val="24"/>
          <w:szCs w:val="24"/>
        </w:rPr>
        <w:t xml:space="preserve">for example, </w:t>
      </w:r>
      <w:r>
        <w:rPr>
          <w:rFonts w:ascii="Arial" w:eastAsia="Times New Roman" w:hAnsi="Arial" w:cs="Arial"/>
          <w:color w:val="000000"/>
          <w:sz w:val="24"/>
          <w:szCs w:val="24"/>
        </w:rPr>
        <w:t>69ab882f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-ab6d-4c5a-8a4d-68f3a0148b22) is used as the value for the header parameter Predix-Zone-Id in Predix Analytic Catalog REST API calls.</w:t>
      </w:r>
      <w:r w:rsidR="003904A1">
        <w:rPr>
          <w:rFonts w:ascii="Arial" w:eastAsia="Times New Roman" w:hAnsi="Arial" w:cs="Arial"/>
          <w:color w:val="000000"/>
          <w:sz w:val="24"/>
          <w:szCs w:val="24"/>
        </w:rPr>
        <w:t xml:space="preserve">  We’ll need this guid soon.</w:t>
      </w:r>
    </w:p>
    <w:p w14:paraId="54A76ED1" w14:textId="77777777" w:rsidR="0067764C" w:rsidRPr="00735E5F" w:rsidRDefault="0067764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0168C6C" w14:textId="34BEEE90" w:rsidR="006B57C7" w:rsidRPr="00D86494" w:rsidRDefault="006B57C7" w:rsidP="006B57C7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D86494">
        <w:rPr>
          <w:rFonts w:ascii="Arial" w:eastAsia="Times New Roman" w:hAnsi="Arial" w:cs="Arial"/>
          <w:b/>
          <w:bCs/>
          <w:color w:val="000000"/>
          <w:sz w:val="27"/>
          <w:szCs w:val="27"/>
        </w:rPr>
        <w:t>Create the tutorial-analytic</w:t>
      </w:r>
    </w:p>
    <w:p w14:paraId="4ADB6BD8" w14:textId="4820EBD7" w:rsidR="00C12C22" w:rsidRDefault="006B57C7" w:rsidP="006B57C7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If you've already created the tutorial-asset application as described in </w:t>
      </w:r>
      <w:r w:rsidRPr="0044185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Step 1</w:t>
      </w:r>
      <w:r w:rsidRPr="00441850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 "Create the tutorial-asset to application," then you already have the code locally.  </w:t>
      </w:r>
    </w:p>
    <w:p w14:paraId="70FD3BB2" w14:textId="6A3DDF13" w:rsidR="00C12C22" w:rsidRDefault="00C12C22" w:rsidP="006B57C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you have not already built the code, you can do so with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8EB" w14:paraId="1C5A23BC" w14:textId="77777777" w:rsidTr="003B48EB">
        <w:tc>
          <w:tcPr>
            <w:tcW w:w="9350" w:type="dxa"/>
          </w:tcPr>
          <w:p w14:paraId="6F5B4B06" w14:textId="5ADDA8A2" w:rsidR="003B48EB" w:rsidRPr="00441850" w:rsidRDefault="003B48EB" w:rsidP="0044185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8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 cd steam-turbine-tutorial/tutorial-analytics/tutorial-actual-vs-expected-analytic</w:t>
            </w:r>
            <w:r w:rsidRPr="004418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$ mvn clean package</w:t>
            </w:r>
          </w:p>
        </w:tc>
      </w:tr>
    </w:tbl>
    <w:p w14:paraId="6A0D8A02" w14:textId="29988CAB" w:rsidR="00C36195" w:rsidRDefault="00C36195" w:rsidP="00C36195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286F6FDC" w14:textId="61485DDA" w:rsidR="00695EC9" w:rsidRPr="00735E5F" w:rsidRDefault="00C36195" w:rsidP="00C36195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>Uploa</w:t>
      </w:r>
      <w:r w:rsidRPr="00C36195">
        <w:rPr>
          <w:rFonts w:ascii="Arial" w:eastAsia="Times New Roman" w:hAnsi="Arial" w:cs="Arial"/>
          <w:b/>
          <w:bCs/>
          <w:color w:val="000000"/>
          <w:sz w:val="27"/>
          <w:szCs w:val="27"/>
        </w:rPr>
        <w:t>d the</w:t>
      </w:r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analytic to the Analytic Catalog</w:t>
      </w:r>
    </w:p>
    <w:p w14:paraId="6BE058CC" w14:textId="73C944A1" w:rsidR="006F4ADC" w:rsidRDefault="006B57C7" w:rsidP="006B57C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You can </w:t>
      </w:r>
      <w:r w:rsidR="008C798A">
        <w:rPr>
          <w:rFonts w:ascii="Arial" w:eastAsia="Times New Roman" w:hAnsi="Arial" w:cs="Arial"/>
          <w:color w:val="000000"/>
          <w:sz w:val="24"/>
          <w:szCs w:val="24"/>
        </w:rPr>
        <w:t>interact with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8C798A">
        <w:rPr>
          <w:rFonts w:ascii="Arial" w:eastAsia="Times New Roman" w:hAnsi="Arial" w:cs="Arial"/>
          <w:color w:val="000000"/>
          <w:sz w:val="24"/>
          <w:szCs w:val="24"/>
        </w:rPr>
        <w:t xml:space="preserve">Predix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Analytic Catalog through </w:t>
      </w:r>
      <w:r w:rsidR="008C798A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REST API</w:t>
      </w:r>
      <w:r w:rsidR="0075707D">
        <w:rPr>
          <w:rFonts w:ascii="Arial" w:eastAsia="Times New Roman" w:hAnsi="Arial" w:cs="Arial"/>
          <w:color w:val="000000"/>
          <w:sz w:val="24"/>
          <w:szCs w:val="24"/>
        </w:rPr>
        <w:t xml:space="preserve"> by using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601EF">
        <w:rPr>
          <w:rFonts w:ascii="Arial" w:eastAsia="Times New Roman" w:hAnsi="Arial" w:cs="Arial"/>
          <w:color w:val="000000"/>
          <w:sz w:val="24"/>
          <w:szCs w:val="24"/>
        </w:rPr>
        <w:t>the provide</w:t>
      </w:r>
      <w:r w:rsidR="00C86825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B601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Postman collection</w:t>
      </w:r>
      <w:r w:rsidR="00C86825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AFC9424" w14:textId="65AD5D79" w:rsidR="006B57C7" w:rsidRPr="00D86494" w:rsidRDefault="006F4ADC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For all of </w:t>
      </w: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REST API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calls, you will need to set the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Predix-Zone-Id</w:t>
      </w:r>
      <w:r>
        <w:rPr>
          <w:rFonts w:ascii="Arial" w:eastAsia="Times New Roman" w:hAnsi="Arial" w:cs="Arial"/>
          <w:color w:val="000000"/>
          <w:sz w:val="24"/>
          <w:szCs w:val="24"/>
        </w:rPr>
        <w:t>” http header variable with the predix-zone-id, also known as the service GUID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value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of your Analytic Catalog service instance.  </w:t>
      </w:r>
      <w:r w:rsidR="00043C11">
        <w:rPr>
          <w:rFonts w:ascii="Arial" w:eastAsia="Times New Roman" w:hAnsi="Arial" w:cs="Arial"/>
          <w:color w:val="000000"/>
          <w:sz w:val="24"/>
          <w:szCs w:val="24"/>
        </w:rPr>
        <w:t xml:space="preserve">Here are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relevant </w:t>
      </w:r>
      <w:r w:rsidR="00043C11">
        <w:rPr>
          <w:rFonts w:ascii="Arial" w:eastAsia="Times New Roman" w:hAnsi="Arial" w:cs="Arial"/>
          <w:color w:val="000000"/>
          <w:sz w:val="24"/>
          <w:szCs w:val="24"/>
        </w:rPr>
        <w:t xml:space="preserve">API calls </w:t>
      </w:r>
    </w:p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3769"/>
        <w:gridCol w:w="4148"/>
      </w:tblGrid>
      <w:tr w:rsidR="006B57C7" w:rsidRPr="00D86494" w14:paraId="3408F751" w14:textId="77777777" w:rsidTr="00597226">
        <w:tc>
          <w:tcPr>
            <w:tcW w:w="216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CBFEDF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Step, Postman Request, and Sample URL</w:t>
            </w:r>
          </w:p>
        </w:tc>
        <w:tc>
          <w:tcPr>
            <w:tcW w:w="376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FD8A06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Header Params Required</w:t>
            </w:r>
          </w:p>
        </w:tc>
        <w:tc>
          <w:tcPr>
            <w:tcW w:w="414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A5004A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 Body for POST Requests</w:t>
            </w:r>
          </w:p>
        </w:tc>
      </w:tr>
      <w:tr w:rsidR="006B57C7" w:rsidRPr="00D86494" w14:paraId="68D71C4B" w14:textId="77777777" w:rsidTr="00597226">
        <w:tc>
          <w:tcPr>
            <w:tcW w:w="216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04AF92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  <w:p w14:paraId="69D06960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POST Create catalog entry</w:t>
            </w:r>
          </w:p>
          <w:p w14:paraId="7516FA9B" w14:textId="66F0B651" w:rsidR="006B57C7" w:rsidRPr="008A2480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https://predix-analytics-catalog-release.run.aws-usw02-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pr.ice.predix.io/api/v1/catalog/analytics</w:t>
            </w:r>
          </w:p>
          <w:p w14:paraId="7B6772F2" w14:textId="7FED90B8" w:rsidR="003904A1" w:rsidRPr="008A2480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The response body contains an “id”.  This is the used as the catalogEntryId in the next step and as the &lt;analytic-id&gt; in steps 3 and 4.</w:t>
            </w:r>
            <w:r w:rsidR="00B84665" w:rsidRPr="008A2480">
              <w:rPr>
                <w:rFonts w:ascii="Arial" w:eastAsia="Times New Roman" w:hAnsi="Arial" w:cs="Arial"/>
                <w:sz w:val="20"/>
                <w:szCs w:val="20"/>
              </w:rPr>
              <w:t xml:space="preserve">  Note this analytic id as we’ll need it later when we want to execute the analytic.</w:t>
            </w:r>
          </w:p>
        </w:tc>
        <w:tc>
          <w:tcPr>
            <w:tcW w:w="376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6B57C7" w:rsidRPr="008A2480" w14:paraId="17EE2AD0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AB19D68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lastRenderedPageBreak/>
                    <w:t>Parameter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AF0836A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6B57C7" w:rsidRPr="008A2480" w14:paraId="6507E6A4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6ED34F9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Authorization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515EBE7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Bearer Token</w:t>
                  </w:r>
                </w:p>
              </w:tc>
            </w:tr>
            <w:tr w:rsidR="006B57C7" w:rsidRPr="008A2480" w14:paraId="327AD26B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B2806CE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Predix-Zone-id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999F5E3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Analytic Catalog guid</w:t>
                  </w:r>
                </w:p>
              </w:tc>
            </w:tr>
            <w:tr w:rsidR="006B57C7" w:rsidRPr="008A2480" w14:paraId="4F0CA53F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CE71B41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Content-type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90D51EC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application/json</w:t>
                  </w:r>
                </w:p>
              </w:tc>
            </w:tr>
          </w:tbl>
          <w:p w14:paraId="332C4BE9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569044F" w14:textId="77777777" w:rsidR="006B57C7" w:rsidRPr="008A2480" w:rsidRDefault="006B57C7" w:rsidP="008C798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"name":"steam-turbine-actual-vs-expected-analytic",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"version":"v1",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"supportedLanguage":"Java",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"taxonomyLocation":"",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"author":"Jane Doe",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"description":"This analytic computes deltas between the actual (timeseries data) and expected (model predicted) temperatures values.",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"customMetadata":""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}</w:t>
            </w:r>
          </w:p>
        </w:tc>
      </w:tr>
      <w:tr w:rsidR="006B57C7" w:rsidRPr="00D86494" w14:paraId="261B5D9F" w14:textId="77777777" w:rsidTr="00597226">
        <w:tc>
          <w:tcPr>
            <w:tcW w:w="216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F656208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  <w:p w14:paraId="0F6E9F41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1E04BFE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POST Upload analytic file/jar</w:t>
            </w:r>
          </w:p>
          <w:p w14:paraId="34D01EC6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https://predix-analytics-catalog-release.run.aws-usw02-pr.ice.predix.io/api/v1/catalog/artifacts</w:t>
            </w:r>
          </w:p>
        </w:tc>
        <w:tc>
          <w:tcPr>
            <w:tcW w:w="376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6B57C7" w:rsidRPr="008A2480" w14:paraId="7620752F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F39610E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Parameter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74D28BB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6B57C7" w:rsidRPr="008A2480" w14:paraId="1472E6A3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63C7174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Authorization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7D93FD6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Bearer Token</w:t>
                  </w:r>
                </w:p>
              </w:tc>
            </w:tr>
            <w:tr w:rsidR="006B57C7" w:rsidRPr="008A2480" w14:paraId="514F3D99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706B24A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Predix-Zone-id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6F287C3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Analytic Catalog guid</w:t>
                  </w:r>
                </w:p>
              </w:tc>
            </w:tr>
          </w:tbl>
          <w:p w14:paraId="67FAF6DD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602"/>
              <w:gridCol w:w="1738"/>
            </w:tblGrid>
            <w:tr w:rsidR="006B57C7" w:rsidRPr="008A2480" w14:paraId="1876649B" w14:textId="77777777" w:rsidTr="008A2480">
              <w:tc>
                <w:tcPr>
                  <w:tcW w:w="1410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1DD65C9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Form Field Name</w:t>
                  </w:r>
                </w:p>
              </w:tc>
              <w:tc>
                <w:tcPr>
                  <w:tcW w:w="60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596A045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73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E8F3F26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6B57C7" w:rsidRPr="008A2480" w14:paraId="542651A9" w14:textId="77777777" w:rsidTr="008A2480">
              <w:tc>
                <w:tcPr>
                  <w:tcW w:w="1410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0FE52F2" w14:textId="46E7D308" w:rsidR="006B57C7" w:rsidRPr="008A2480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f</w:t>
                  </w:r>
                  <w:r w:rsidR="006B57C7"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ile</w:t>
                  </w:r>
                </w:p>
              </w:tc>
              <w:tc>
                <w:tcPr>
                  <w:tcW w:w="60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7C0D014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file</w:t>
                  </w:r>
                </w:p>
              </w:tc>
              <w:tc>
                <w:tcPr>
                  <w:tcW w:w="173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AFB51A8" w14:textId="77777777" w:rsidR="006B57C7" w:rsidRPr="008A2480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14:paraId="66784AF5" w14:textId="77777777" w:rsidR="006B57C7" w:rsidRPr="008A2480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Browse and select your file</w:t>
                  </w:r>
                </w:p>
                <w:p w14:paraId="2FE08A4C" w14:textId="77777777" w:rsidR="006B57C7" w:rsidRPr="008A2480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6B57C7" w:rsidRPr="008A2480" w14:paraId="7054B4B0" w14:textId="77777777" w:rsidTr="008A2480">
              <w:tc>
                <w:tcPr>
                  <w:tcW w:w="1410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D17A83E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catalogEntryId</w:t>
                  </w:r>
                </w:p>
              </w:tc>
              <w:tc>
                <w:tcPr>
                  <w:tcW w:w="60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F9E4948" w14:textId="4697BF36" w:rsidR="006B57C7" w:rsidRPr="008A2480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s</w:t>
                  </w:r>
                  <w:r w:rsidR="006B57C7"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tring</w:t>
                  </w: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/ text</w:t>
                  </w:r>
                </w:p>
              </w:tc>
              <w:tc>
                <w:tcPr>
                  <w:tcW w:w="173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66E4B8A" w14:textId="77777777" w:rsidR="006B57C7" w:rsidRPr="008A2480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id from the created analytic entry (see above response)</w:t>
                  </w:r>
                </w:p>
              </w:tc>
            </w:tr>
            <w:tr w:rsidR="006B57C7" w:rsidRPr="008A2480" w14:paraId="079C4AA7" w14:textId="77777777" w:rsidTr="008A2480">
              <w:tc>
                <w:tcPr>
                  <w:tcW w:w="1410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CA4AFAE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60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4F4AE34" w14:textId="468F4446" w:rsidR="006B57C7" w:rsidRPr="008A2480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s</w:t>
                  </w:r>
                  <w:r w:rsidR="006B57C7"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tring</w:t>
                  </w: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/ text</w:t>
                  </w:r>
                </w:p>
              </w:tc>
              <w:tc>
                <w:tcPr>
                  <w:tcW w:w="173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07B5C9A" w14:textId="4E99E55A" w:rsidR="006B57C7" w:rsidRPr="008A2480" w:rsidRDefault="009D4F70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“executable”</w:t>
                  </w:r>
                </w:p>
              </w:tc>
            </w:tr>
            <w:tr w:rsidR="006B57C7" w:rsidRPr="008A2480" w14:paraId="79CF8A41" w14:textId="77777777" w:rsidTr="008A2480">
              <w:tc>
                <w:tcPr>
                  <w:tcW w:w="1410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1E89FD1" w14:textId="4F1F3659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descrip</w:t>
                  </w:r>
                  <w:r w:rsidR="009D4F70"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tion</w:t>
                  </w: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0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447E2C7" w14:textId="01009E18" w:rsidR="006B57C7" w:rsidRPr="008A2480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s</w:t>
                  </w:r>
                  <w:r w:rsidR="006B57C7"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tring</w:t>
                  </w: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/ text</w:t>
                  </w:r>
                </w:p>
              </w:tc>
              <w:tc>
                <w:tcPr>
                  <w:tcW w:w="173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4D3BB90" w14:textId="77777777" w:rsidR="006B57C7" w:rsidRPr="008A2480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describe the analytic</w:t>
                  </w:r>
                </w:p>
              </w:tc>
            </w:tr>
          </w:tbl>
          <w:p w14:paraId="29F7E510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57C7" w:rsidRPr="00D86494" w14:paraId="24110DE8" w14:textId="77777777" w:rsidTr="00597226">
        <w:tc>
          <w:tcPr>
            <w:tcW w:w="216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2E36931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  <w:p w14:paraId="69473AC4" w14:textId="77777777" w:rsidR="006B57C7" w:rsidRPr="008A2480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POST Validate your analytic</w:t>
            </w:r>
          </w:p>
          <w:p w14:paraId="66D3AA18" w14:textId="3DF55E31" w:rsidR="006B57C7" w:rsidRPr="008A2480" w:rsidRDefault="004B1E6A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226">
              <w:rPr>
                <w:rFonts w:ascii="Arial" w:eastAsia="Times New Roman" w:hAnsi="Arial" w:cs="Arial"/>
                <w:sz w:val="20"/>
                <w:szCs w:val="20"/>
              </w:rPr>
              <w:t>https://predix-analytics-catalog-release.run.aws-usw02-pr.ice.predix.io/api/v1/catalog/analytics/&lt;analytic-id&gt;/validation</w:t>
            </w:r>
          </w:p>
          <w:p w14:paraId="6CA6535C" w14:textId="5D23912D" w:rsidR="003904A1" w:rsidRPr="008A2480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The response body will contain a validationRequestId.  This will be used in the next step as the &lt;validation-request-id&gt;.  The analytic may take several minutes to validate.  You can go ahead to the next step which will check the validation status of the analytic.</w:t>
            </w:r>
          </w:p>
        </w:tc>
        <w:tc>
          <w:tcPr>
            <w:tcW w:w="376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6B57C7" w:rsidRPr="008A2480" w14:paraId="6AA60DC1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3D8DF51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Parameter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1FBF9AB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6B57C7" w:rsidRPr="008A2480" w14:paraId="32EEADAD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F6A9008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Authorization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6248AD4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Bearer Token</w:t>
                  </w:r>
                </w:p>
              </w:tc>
            </w:tr>
            <w:tr w:rsidR="006B57C7" w:rsidRPr="008A2480" w14:paraId="47B2E3F8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9898457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Predix-Zone-id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BA6C3CF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Analytic Catalog guid</w:t>
                  </w:r>
                </w:p>
              </w:tc>
            </w:tr>
            <w:tr w:rsidR="006B57C7" w:rsidRPr="008A2480" w14:paraId="42DCA617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4E08007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Content-type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39C6BB4" w14:textId="77777777" w:rsidR="006B57C7" w:rsidRPr="008A2480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application/json</w:t>
                  </w:r>
                </w:p>
              </w:tc>
            </w:tr>
          </w:tbl>
          <w:p w14:paraId="25DCA80F" w14:textId="77777777" w:rsidR="006B57C7" w:rsidRPr="008A2480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2809EA" w14:textId="77777777" w:rsidR="006B57C7" w:rsidRPr="008A2480" w:rsidRDefault="006B57C7" w:rsidP="008C798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"series": [{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"timestamp": 1466308800000,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"rpm": 3000,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"actualTemperature": 201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}, {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"timestamp": 1466308801000,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"rpm": 3000,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"actualTemperature": 203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}, {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"timestamp": 1466308802000,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"rpm": 3000,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"actualTemperature": 208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}, {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"timestamp": 1466308803000,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"rpm": 3000,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"actualTemperature": 211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}],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"slope": 0.065,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"intercept": 4.0</w:t>
            </w:r>
            <w:r w:rsidRPr="008A2480">
              <w:rPr>
                <w:rFonts w:ascii="Arial" w:eastAsia="Times New Roman" w:hAnsi="Arial" w:cs="Arial"/>
                <w:sz w:val="20"/>
                <w:szCs w:val="20"/>
              </w:rPr>
              <w:br/>
              <w:t>}</w:t>
            </w:r>
          </w:p>
        </w:tc>
      </w:tr>
      <w:tr w:rsidR="00F72A06" w:rsidRPr="00D86494" w14:paraId="27FEB3AD" w14:textId="77777777" w:rsidTr="00597226">
        <w:tc>
          <w:tcPr>
            <w:tcW w:w="216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307B4603" w14:textId="77777777" w:rsidR="00F72A06" w:rsidRPr="008A2480" w:rsidRDefault="00F72A06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  <w:p w14:paraId="3079E611" w14:textId="6343DCF4" w:rsidR="00F72A06" w:rsidRPr="008A2480" w:rsidRDefault="004B1E6A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GET</w:t>
            </w:r>
            <w:r w:rsidR="00F72A06" w:rsidRPr="008A2480">
              <w:rPr>
                <w:rFonts w:ascii="Arial" w:eastAsia="Times New Roman" w:hAnsi="Arial" w:cs="Arial"/>
                <w:sz w:val="20"/>
                <w:szCs w:val="20"/>
              </w:rPr>
              <w:t xml:space="preserve"> Check the status of your analytic</w:t>
            </w:r>
          </w:p>
          <w:p w14:paraId="07E391CD" w14:textId="5C137FAD" w:rsidR="00F72A06" w:rsidRPr="008A2480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226">
              <w:rPr>
                <w:rFonts w:ascii="Arial" w:eastAsia="Times New Roman" w:hAnsi="Arial" w:cs="Arial"/>
                <w:sz w:val="20"/>
                <w:szCs w:val="20"/>
              </w:rPr>
              <w:t>https://predix-analytics-catalog-release.run.aws-usw02-pr.ice.predix.io/api/v1/catalog/analytics/&lt;analytic-id&gt;/deployment/&lt;validation-request-id</w:t>
            </w:r>
            <w:r w:rsidR="004B1E6A" w:rsidRPr="008A2480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  <w:p w14:paraId="76FEBC81" w14:textId="55824890" w:rsidR="003904A1" w:rsidRPr="008A2480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2480">
              <w:rPr>
                <w:rFonts w:ascii="Arial" w:eastAsia="Times New Roman" w:hAnsi="Arial" w:cs="Arial"/>
                <w:sz w:val="20"/>
                <w:szCs w:val="20"/>
              </w:rPr>
              <w:t>Note: The response body’s “status” field will change to “COMPLETED” when the validation has finished.</w:t>
            </w:r>
          </w:p>
        </w:tc>
        <w:tc>
          <w:tcPr>
            <w:tcW w:w="376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4B1E6A" w:rsidRPr="008A2480" w14:paraId="27C4CF3D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9F71D8D" w14:textId="77777777" w:rsidR="004B1E6A" w:rsidRPr="008A2480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Parameter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83581E4" w14:textId="77777777" w:rsidR="004B1E6A" w:rsidRPr="008A2480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4B1E6A" w:rsidRPr="008A2480" w14:paraId="45EF2A0F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44F0E9B" w14:textId="77777777" w:rsidR="004B1E6A" w:rsidRPr="008A2480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Authorization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7F03A09" w14:textId="77777777" w:rsidR="004B1E6A" w:rsidRPr="008A2480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Bearer Token</w:t>
                  </w:r>
                </w:p>
              </w:tc>
            </w:tr>
            <w:tr w:rsidR="004B1E6A" w:rsidRPr="008A2480" w14:paraId="414E5BF3" w14:textId="77777777" w:rsidTr="008A2480">
              <w:tc>
                <w:tcPr>
                  <w:tcW w:w="154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32D6389" w14:textId="77777777" w:rsidR="004B1E6A" w:rsidRPr="008A2480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Predix-Zone-id</w:t>
                  </w:r>
                </w:p>
              </w:tc>
              <w:tc>
                <w:tcPr>
                  <w:tcW w:w="2205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F502953" w14:textId="77777777" w:rsidR="004B1E6A" w:rsidRPr="008A2480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48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Analytic Catalog guid</w:t>
                  </w:r>
                </w:p>
              </w:tc>
            </w:tr>
          </w:tbl>
          <w:p w14:paraId="259285F2" w14:textId="77777777" w:rsidR="00F72A06" w:rsidRPr="008A2480" w:rsidRDefault="00F72A06" w:rsidP="008C79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4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012949BE" w14:textId="77777777" w:rsidR="00F72A06" w:rsidRPr="008A2480" w:rsidRDefault="00F72A06" w:rsidP="008C798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E5A8228" w14:textId="1B1D8F12" w:rsidR="0075707D" w:rsidRDefault="0075707D" w:rsidP="0044185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 that Predix provides additional services for analytic support.  These are the </w:t>
      </w:r>
      <w:hyperlink r:id="rId12" w:history="1">
        <w:r w:rsidRPr="0075707D">
          <w:rPr>
            <w:rStyle w:val="Hyperlink"/>
            <w:rFonts w:ascii="Arial" w:eastAsia="Times New Roman" w:hAnsi="Arial" w:cs="Arial"/>
            <w:sz w:val="24"/>
            <w:szCs w:val="24"/>
          </w:rPr>
          <w:t>Predix Analytics Runtime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 </w:t>
      </w:r>
      <w:hyperlink r:id="rId13" w:history="1">
        <w:r w:rsidRPr="0075707D">
          <w:rPr>
            <w:rStyle w:val="Hyperlink"/>
            <w:rFonts w:ascii="Arial" w:eastAsia="Times New Roman" w:hAnsi="Arial" w:cs="Arial"/>
            <w:sz w:val="24"/>
            <w:szCs w:val="24"/>
          </w:rPr>
          <w:t>Predix Analytics User Interface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.  Predix has documented the </w:t>
      </w:r>
      <w:hyperlink r:id="rId14" w:anchor="Qd2kPYb7" w:history="1">
        <w:r w:rsidRPr="0075707D">
          <w:rPr>
            <w:rStyle w:val="Hyperlink"/>
            <w:rFonts w:ascii="Arial" w:eastAsia="Times New Roman" w:hAnsi="Arial" w:cs="Arial"/>
            <w:sz w:val="24"/>
            <w:szCs w:val="24"/>
          </w:rPr>
          <w:t>Analytic Development Process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you can explore on your own.</w:t>
      </w:r>
    </w:p>
    <w:p w14:paraId="0CF9EFC1" w14:textId="77777777" w:rsidR="004B1E6A" w:rsidRDefault="004B1E6A" w:rsidP="006B57C7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D35AB09" w14:textId="587E31B2" w:rsidR="00663928" w:rsidRDefault="00663928" w:rsidP="00663928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>Execute the analytic hosted in the Analytic Catalog</w:t>
      </w:r>
    </w:p>
    <w:p w14:paraId="601E7808" w14:textId="75B9EC6B" w:rsidR="002F788D" w:rsidRDefault="002F788D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tutorial analytic, t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r>
        <w:rPr>
          <w:rFonts w:ascii="Arial" w:eastAsia="Times New Roman" w:hAnsi="Arial" w:cs="Arial"/>
          <w:color w:val="000000"/>
          <w:sz w:val="24"/>
          <w:szCs w:val="24"/>
        </w:rPr>
        <w:t>POST request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body </w:t>
      </w:r>
      <w:r>
        <w:rPr>
          <w:rFonts w:ascii="Arial" w:eastAsia="Times New Roman" w:hAnsi="Arial" w:cs="Arial"/>
          <w:color w:val="000000"/>
          <w:sz w:val="24"/>
          <w:szCs w:val="24"/>
        </w:rPr>
        <w:t>for the analytic execution needs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a JSON object consisting of an array (rpmSeries) of JSON objects consisting of </w:t>
      </w:r>
      <w:r>
        <w:rPr>
          <w:rFonts w:ascii="Arial" w:eastAsia="Times New Roman" w:hAnsi="Arial" w:cs="Arial"/>
          <w:color w:val="000000"/>
          <w:sz w:val="24"/>
          <w:szCs w:val="24"/>
        </w:rPr>
        <w:t>a time stamp (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timestamp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revolutions per minute (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rpm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, and actual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emperature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(actualTemperature)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values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followed by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the slope and intercept values (coefficie</w:t>
      </w:r>
      <w:r>
        <w:rPr>
          <w:rFonts w:ascii="Arial" w:eastAsia="Times New Roman" w:hAnsi="Arial" w:cs="Arial"/>
          <w:color w:val="000000"/>
          <w:sz w:val="24"/>
          <w:szCs w:val="24"/>
        </w:rPr>
        <w:t>nts for the regression model).  An example of this JSON data is in the table below.</w:t>
      </w:r>
    </w:p>
    <w:p w14:paraId="4104513F" w14:textId="0A3CB211" w:rsidR="00B84665" w:rsidRDefault="00663928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execute your analytic, you will need the id of the deployed analytic.  </w:t>
      </w:r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There’s a GET endpoint on the API in the </w:t>
      </w:r>
      <w:hyperlink r:id="rId15" w:anchor="/" w:history="1">
        <w:r w:rsidR="00B84665" w:rsidRPr="00B84665">
          <w:rPr>
            <w:rStyle w:val="Hyperlink"/>
            <w:rFonts w:ascii="Arial" w:eastAsia="Times New Roman" w:hAnsi="Arial" w:cs="Arial"/>
            <w:sz w:val="24"/>
            <w:szCs w:val="24"/>
          </w:rPr>
          <w:t>Analytics Catalog</w:t>
        </w:r>
      </w:hyperlink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 called “</w:t>
      </w:r>
      <w:r w:rsidR="00B84665" w:rsidRPr="00B84665">
        <w:rPr>
          <w:rFonts w:ascii="Arial" w:eastAsia="Times New Roman" w:hAnsi="Arial" w:cs="Arial"/>
          <w:color w:val="000000"/>
          <w:sz w:val="24"/>
          <w:szCs w:val="24"/>
        </w:rPr>
        <w:t>/api/v1/catalog/analytics</w:t>
      </w:r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”.  You can use this to retrieve the analytic id.  </w:t>
      </w:r>
      <w:r w:rsidR="00470C9D">
        <w:rPr>
          <w:rFonts w:ascii="Arial" w:eastAsia="Times New Roman" w:hAnsi="Arial" w:cs="Arial"/>
          <w:color w:val="000000"/>
          <w:sz w:val="24"/>
          <w:szCs w:val="24"/>
        </w:rPr>
        <w:t>You used this analytic id when you</w:t>
      </w:r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 deployed your analytic via the REST API to the Analytic Catalog</w:t>
      </w:r>
      <w:r w:rsidR="00470C9D">
        <w:rPr>
          <w:rFonts w:ascii="Arial" w:eastAsia="Times New Roman" w:hAnsi="Arial" w:cs="Arial"/>
          <w:color w:val="000000"/>
          <w:sz w:val="24"/>
          <w:szCs w:val="24"/>
        </w:rPr>
        <w:t xml:space="preserve"> in the previous step</w:t>
      </w:r>
      <w:r w:rsidR="00B8466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1C835D" w14:textId="054CE0DB" w:rsidR="00FE20A3" w:rsidRDefault="00FE20A3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will also need a bearer token for your tutorial-svcs client and the Predix-Zone-Id for your Predix Analytics Catalog service.  Both of which you should already have from completing earlier sections.</w:t>
      </w:r>
    </w:p>
    <w:p w14:paraId="200D8C3B" w14:textId="5055D54A" w:rsidR="00663928" w:rsidRDefault="00663928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you can make the following POST request to the Analytic Catalog</w:t>
      </w:r>
      <w:r w:rsidR="001C4A49">
        <w:rPr>
          <w:rFonts w:ascii="Arial" w:eastAsia="Times New Roman" w:hAnsi="Arial" w:cs="Arial"/>
          <w:color w:val="000000"/>
          <w:sz w:val="24"/>
          <w:szCs w:val="24"/>
        </w:rPr>
        <w:t xml:space="preserve"> to execute your analytic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8"/>
        <w:gridCol w:w="3862"/>
        <w:gridCol w:w="2470"/>
      </w:tblGrid>
      <w:tr w:rsidR="00FE20A3" w:rsidRPr="00D86494" w14:paraId="2A5AF19C" w14:textId="77777777" w:rsidTr="00597226">
        <w:tc>
          <w:tcPr>
            <w:tcW w:w="377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1FE3E428" w14:textId="0DFF1526" w:rsidR="00FE20A3" w:rsidRDefault="00FE20A3" w:rsidP="00FE20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Postman Request, and Sample URL</w:t>
            </w:r>
          </w:p>
        </w:tc>
        <w:tc>
          <w:tcPr>
            <w:tcW w:w="396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04B4918D" w14:textId="348548C0" w:rsidR="00FE20A3" w:rsidRPr="00D86494" w:rsidRDefault="00FE20A3" w:rsidP="00FE2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Header Params Required</w:t>
            </w:r>
          </w:p>
        </w:tc>
        <w:tc>
          <w:tcPr>
            <w:tcW w:w="306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1E40787C" w14:textId="7844CC3B" w:rsidR="00FE20A3" w:rsidRPr="00D86494" w:rsidRDefault="00FE20A3" w:rsidP="00FE20A3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Sample Body for POST Requests</w:t>
            </w:r>
          </w:p>
        </w:tc>
      </w:tr>
      <w:tr w:rsidR="00FE20A3" w:rsidRPr="00D86494" w14:paraId="3CEC2C0A" w14:textId="77777777" w:rsidTr="00597226">
        <w:tc>
          <w:tcPr>
            <w:tcW w:w="377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732A0A56" w14:textId="77777777" w:rsidR="00FE20A3" w:rsidRDefault="00FE20A3" w:rsidP="00FE20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POST Execute the analytic</w:t>
            </w:r>
          </w:p>
          <w:p w14:paraId="2EDB7F27" w14:textId="77777777" w:rsidR="00FE20A3" w:rsidRPr="00D86494" w:rsidRDefault="00FE20A3" w:rsidP="00FE20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B1E6A">
              <w:rPr>
                <w:rFonts w:ascii="Arial" w:eastAsia="Times New Roman" w:hAnsi="Arial" w:cs="Arial"/>
                <w:sz w:val="21"/>
                <w:szCs w:val="21"/>
              </w:rPr>
              <w:t>https://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&lt;analytic-id&gt;</w:t>
            </w:r>
            <w:r w:rsidRPr="004B1E6A">
              <w:rPr>
                <w:rFonts w:ascii="Arial" w:eastAsia="Times New Roman" w:hAnsi="Arial" w:cs="Arial"/>
                <w:sz w:val="21"/>
                <w:szCs w:val="21"/>
              </w:rPr>
              <w:t>.run.aws-usw02-pr.ice.predix.io/api/v1/analytic/execution</w:t>
            </w:r>
          </w:p>
        </w:tc>
        <w:tc>
          <w:tcPr>
            <w:tcW w:w="396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FE20A3" w:rsidRPr="00D86494" w14:paraId="6EE9FFAF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5A9C306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CAB9E70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FE20A3" w:rsidRPr="00D86494" w14:paraId="2D80E650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202C3FA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Authorization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F251AC5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Bearer Token</w:t>
                  </w:r>
                </w:p>
              </w:tc>
            </w:tr>
            <w:tr w:rsidR="00FE20A3" w:rsidRPr="00D86494" w14:paraId="6E2DFB33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510505F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Predix-Zone-id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DE82707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Analytic Catalog guid</w:t>
                  </w:r>
                </w:p>
              </w:tc>
            </w:tr>
            <w:tr w:rsidR="00FE20A3" w:rsidRPr="00D86494" w14:paraId="16372651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50AD48D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Content-type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B891D55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application/json</w:t>
                  </w:r>
                </w:p>
              </w:tc>
            </w:tr>
          </w:tbl>
          <w:p w14:paraId="5CC59C22" w14:textId="77777777" w:rsidR="00FE20A3" w:rsidRPr="00D86494" w:rsidRDefault="00FE20A3" w:rsidP="00FE2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2403B2B9" w14:textId="77777777" w:rsidR="00FE20A3" w:rsidRPr="00D86494" w:rsidRDefault="00FE20A3" w:rsidP="00FE20A3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"series": [{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1466308800000,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"actualTemperature": 201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1466308801000,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"actualTemperature": 203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1466308802000,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"actualTemperature": 208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"actualTemperature": 211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}],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"slope": 0.065,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"intercept": 4.0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</w:t>
            </w:r>
          </w:p>
        </w:tc>
      </w:tr>
    </w:tbl>
    <w:p w14:paraId="7436BEA4" w14:textId="670442CF" w:rsidR="00663928" w:rsidRDefault="002F788D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83FA02" wp14:editId="7C54C0A6">
            <wp:extent cx="9016657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1665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F7E8" w14:textId="062012E8" w:rsidR="00D86494" w:rsidRPr="00D86494" w:rsidRDefault="00D86494" w:rsidP="00D86494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lastRenderedPageBreak/>
        <w:t>In </w:t>
      </w:r>
      <w:r w:rsidRPr="0059722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Step 4: Build Orchestration</w:t>
      </w:r>
      <w:r w:rsidRPr="00597226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,</w:t>
      </w:r>
      <w:r w:rsidRPr="00597226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the BPMN file needs to know the above execution URL to run your analytic in t</w:t>
      </w:r>
      <w:bookmarkStart w:id="0" w:name="_GoBack"/>
      <w:bookmarkEnd w:id="0"/>
      <w:r w:rsidRPr="00D86494">
        <w:rPr>
          <w:rFonts w:ascii="Arial" w:eastAsia="Times New Roman" w:hAnsi="Arial" w:cs="Arial"/>
          <w:color w:val="000000"/>
          <w:sz w:val="24"/>
          <w:szCs w:val="24"/>
        </w:rPr>
        <w:t>he Digital Twin workflow. </w:t>
      </w:r>
    </w:p>
    <w:p w14:paraId="7EBF561F" w14:textId="65F2CDBE" w:rsidR="00D86494" w:rsidRPr="00597226" w:rsidRDefault="00D2600B" w:rsidP="00D86494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color w:val="000000"/>
          <w:sz w:val="44"/>
          <w:szCs w:val="44"/>
        </w:rPr>
      </w:pPr>
      <w:r w:rsidRPr="00597226">
        <w:rPr>
          <w:rFonts w:ascii="Arial" w:eastAsia="Times New Roman" w:hAnsi="Arial" w:cs="Arial"/>
          <w:b/>
          <w:color w:val="000000"/>
          <w:sz w:val="44"/>
          <w:szCs w:val="44"/>
        </w:rPr>
        <w:t>What you learned</w:t>
      </w:r>
    </w:p>
    <w:p w14:paraId="07BDA222" w14:textId="2C425191" w:rsidR="00D2600B" w:rsidRPr="00735E5F" w:rsidRDefault="003C0862" w:rsidP="00D86494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l</w:t>
      </w:r>
      <w:r w:rsidR="00D2600B">
        <w:rPr>
          <w:rFonts w:ascii="Arial" w:eastAsia="Times New Roman" w:hAnsi="Arial" w:cs="Arial"/>
          <w:color w:val="000000"/>
          <w:sz w:val="24"/>
          <w:szCs w:val="24"/>
        </w:rPr>
        <w:t>earned how to find the predix zone id of your predix analytics catalog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use in the HTTP headers.  You also learned how use the Predix Analytic Catalog to upload, validate, check the status of, and execute the pre-built analytic by using the catalog’s REST API.</w:t>
      </w:r>
    </w:p>
    <w:p w14:paraId="657797C1" w14:textId="3C187F36" w:rsidR="004967E6" w:rsidRDefault="00462F6C">
      <w:r w:rsidDel="00462F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sectPr w:rsidR="0049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3A0"/>
    <w:multiLevelType w:val="hybridMultilevel"/>
    <w:tmpl w:val="3C40D28C"/>
    <w:lvl w:ilvl="0" w:tplc="BB32F85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6D8"/>
    <w:multiLevelType w:val="hybridMultilevel"/>
    <w:tmpl w:val="76D8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0D7E"/>
    <w:multiLevelType w:val="hybridMultilevel"/>
    <w:tmpl w:val="84A2B2AA"/>
    <w:lvl w:ilvl="0" w:tplc="AA9496B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0F77"/>
    <w:multiLevelType w:val="hybridMultilevel"/>
    <w:tmpl w:val="D8B8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1C16"/>
    <w:multiLevelType w:val="multilevel"/>
    <w:tmpl w:val="6D8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11C17"/>
    <w:multiLevelType w:val="hybridMultilevel"/>
    <w:tmpl w:val="884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76DE1"/>
    <w:multiLevelType w:val="hybridMultilevel"/>
    <w:tmpl w:val="38102E5A"/>
    <w:lvl w:ilvl="0" w:tplc="AA9496B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13AB8"/>
    <w:multiLevelType w:val="hybridMultilevel"/>
    <w:tmpl w:val="B03E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94"/>
    <w:rsid w:val="0003326E"/>
    <w:rsid w:val="00037618"/>
    <w:rsid w:val="00043C11"/>
    <w:rsid w:val="00070D18"/>
    <w:rsid w:val="000C2586"/>
    <w:rsid w:val="000D5C9D"/>
    <w:rsid w:val="00100D1C"/>
    <w:rsid w:val="001026B6"/>
    <w:rsid w:val="001444D7"/>
    <w:rsid w:val="00185CA7"/>
    <w:rsid w:val="001C4A49"/>
    <w:rsid w:val="001D184E"/>
    <w:rsid w:val="00286537"/>
    <w:rsid w:val="002F788D"/>
    <w:rsid w:val="003170D7"/>
    <w:rsid w:val="003904A1"/>
    <w:rsid w:val="003B48EB"/>
    <w:rsid w:val="003C0862"/>
    <w:rsid w:val="003F1B00"/>
    <w:rsid w:val="00441850"/>
    <w:rsid w:val="00450FDB"/>
    <w:rsid w:val="004601B8"/>
    <w:rsid w:val="00460442"/>
    <w:rsid w:val="00462F6C"/>
    <w:rsid w:val="00470C9D"/>
    <w:rsid w:val="00480D37"/>
    <w:rsid w:val="004967E6"/>
    <w:rsid w:val="004A3750"/>
    <w:rsid w:val="004B1E6A"/>
    <w:rsid w:val="00514B57"/>
    <w:rsid w:val="00597226"/>
    <w:rsid w:val="005C310B"/>
    <w:rsid w:val="005E6E2F"/>
    <w:rsid w:val="006003BC"/>
    <w:rsid w:val="00603EE9"/>
    <w:rsid w:val="006300DD"/>
    <w:rsid w:val="00663928"/>
    <w:rsid w:val="00670910"/>
    <w:rsid w:val="00675C5E"/>
    <w:rsid w:val="00675E08"/>
    <w:rsid w:val="0067764C"/>
    <w:rsid w:val="00695EC9"/>
    <w:rsid w:val="006B57C7"/>
    <w:rsid w:val="006D7382"/>
    <w:rsid w:val="006F4ADC"/>
    <w:rsid w:val="00700E3B"/>
    <w:rsid w:val="007269FE"/>
    <w:rsid w:val="00730922"/>
    <w:rsid w:val="00735E5F"/>
    <w:rsid w:val="0075707D"/>
    <w:rsid w:val="00764806"/>
    <w:rsid w:val="0077642C"/>
    <w:rsid w:val="00791497"/>
    <w:rsid w:val="007F7BDA"/>
    <w:rsid w:val="00824676"/>
    <w:rsid w:val="008414D9"/>
    <w:rsid w:val="00870741"/>
    <w:rsid w:val="00884F66"/>
    <w:rsid w:val="008A2480"/>
    <w:rsid w:val="008A7B3C"/>
    <w:rsid w:val="008C798A"/>
    <w:rsid w:val="008C79A5"/>
    <w:rsid w:val="008E13E9"/>
    <w:rsid w:val="008F6EC3"/>
    <w:rsid w:val="0092146F"/>
    <w:rsid w:val="009D4F70"/>
    <w:rsid w:val="00A016D4"/>
    <w:rsid w:val="00A2185F"/>
    <w:rsid w:val="00A23D82"/>
    <w:rsid w:val="00A44B69"/>
    <w:rsid w:val="00AD5FE5"/>
    <w:rsid w:val="00B42047"/>
    <w:rsid w:val="00B601EF"/>
    <w:rsid w:val="00B67682"/>
    <w:rsid w:val="00B84665"/>
    <w:rsid w:val="00BA4D6A"/>
    <w:rsid w:val="00C12C22"/>
    <w:rsid w:val="00C30A74"/>
    <w:rsid w:val="00C359E2"/>
    <w:rsid w:val="00C36077"/>
    <w:rsid w:val="00C36195"/>
    <w:rsid w:val="00C61B4F"/>
    <w:rsid w:val="00C71EE6"/>
    <w:rsid w:val="00C86825"/>
    <w:rsid w:val="00C9274F"/>
    <w:rsid w:val="00CE7DA1"/>
    <w:rsid w:val="00D0538F"/>
    <w:rsid w:val="00D2600B"/>
    <w:rsid w:val="00D27583"/>
    <w:rsid w:val="00D86494"/>
    <w:rsid w:val="00D93F9E"/>
    <w:rsid w:val="00DC765B"/>
    <w:rsid w:val="00DD1770"/>
    <w:rsid w:val="00E418F1"/>
    <w:rsid w:val="00E96EDA"/>
    <w:rsid w:val="00F35DC0"/>
    <w:rsid w:val="00F434A3"/>
    <w:rsid w:val="00F72A06"/>
    <w:rsid w:val="00FC184A"/>
    <w:rsid w:val="00F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30AA"/>
  <w15:chartTrackingRefBased/>
  <w15:docId w15:val="{6BE127B6-371B-486E-8454-D5314D29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4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4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amma">
    <w:name w:val="gamma"/>
    <w:basedOn w:val="Normal"/>
    <w:rsid w:val="00D8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6494"/>
  </w:style>
  <w:style w:type="character" w:styleId="Strong">
    <w:name w:val="Strong"/>
    <w:basedOn w:val="DefaultParagraphFont"/>
    <w:uiPriority w:val="22"/>
    <w:qFormat/>
    <w:rsid w:val="00D86494"/>
    <w:rPr>
      <w:b/>
      <w:bCs/>
    </w:rPr>
  </w:style>
  <w:style w:type="character" w:styleId="Hyperlink">
    <w:name w:val="Hyperlink"/>
    <w:basedOn w:val="DefaultParagraphFont"/>
    <w:uiPriority w:val="99"/>
    <w:unhideWhenUsed/>
    <w:rsid w:val="00D864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1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EE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00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04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B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74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76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5511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50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x-io-dev.grc-apps.svc.ice.ge.com/services/service.html?id=1174" TargetMode="External"/><Relationship Id="rId13" Type="http://schemas.openxmlformats.org/officeDocument/2006/relationships/hyperlink" Target="https://www.predix.io/services/service.html?id=158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edix-io-dev.grc-apps.svc.ice.ge.com/services/service.html?id=1187" TargetMode="External"/><Relationship Id="rId12" Type="http://schemas.openxmlformats.org/officeDocument/2006/relationships/hyperlink" Target="https://www.predix.io/services/service.html?id=117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predix.io/services/service.html?id=1187" TargetMode="External"/><Relationship Id="rId10" Type="http://schemas.openxmlformats.org/officeDocument/2006/relationships/hyperlink" Target="https://predix-io-dev.grc-apps.svc.ice.ge.com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dix-io-dev.grc-apps.svc.ice.ge.com/resources/tutorials/tutorial-details.html?tutorial_id=1919&amp;tag=1913&amp;journey=Digital%20Twin%20Runtime%20Starter%20Kit&amp;resources=1914,1915,1916,1917,1918,1919,1920" TargetMode="External"/><Relationship Id="rId14" Type="http://schemas.openxmlformats.org/officeDocument/2006/relationships/hyperlink" Target="https://www.predix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9F605-4E9A-45E9-8714-18FC6435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7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Steuben, Gregg K (GE Global Research, US)</dc:creator>
  <cp:keywords/>
  <dc:description/>
  <cp:lastModifiedBy>Steuben, Gregg K (GE Global Research, US)</cp:lastModifiedBy>
  <cp:revision>44</cp:revision>
  <dcterms:created xsi:type="dcterms:W3CDTF">2016-08-11T18:10:00Z</dcterms:created>
  <dcterms:modified xsi:type="dcterms:W3CDTF">2016-11-02T19:32:00Z</dcterms:modified>
</cp:coreProperties>
</file>