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DE3A8A">
      <w:pPr>
        <w:pStyle w:val="Title"/>
      </w:pPr>
      <w:r>
        <w:t>Wisej</w:t>
      </w:r>
      <w:r w:rsidR="00782A23">
        <w:t xml:space="preserve"> Host Service</w:t>
      </w:r>
    </w:p>
    <w:p w:rsidR="00EF030B" w:rsidRDefault="00DE3A8A">
      <w:pPr>
        <w:pStyle w:val="Heading1"/>
      </w:pPr>
      <w:r>
        <w:t>Overview</w:t>
      </w:r>
    </w:p>
    <w:p w:rsidR="00E70FA3" w:rsidRDefault="00E70FA3" w:rsidP="00E70FA3">
      <w:r>
        <w:t xml:space="preserve">Wisej allows you to serve Wisej Web Applications on Windows machines </w:t>
      </w:r>
      <w:r w:rsidRPr="00E70FA3">
        <w:rPr>
          <w:b/>
        </w:rPr>
        <w:t>without IIS and without Cassini</w:t>
      </w:r>
      <w:r>
        <w:t>.</w:t>
      </w:r>
    </w:p>
    <w:p w:rsidR="00E70FA3" w:rsidRDefault="00E70FA3" w:rsidP="00E70FA3">
      <w:r>
        <w:t>Wisej.HostService.exe is a small single executable (~380K) that can run as a process or as a service and serve a single Wisej Application, plus unlimited sub-applications to local or external users.</w:t>
      </w:r>
    </w:p>
    <w:p w:rsidR="00E70FA3" w:rsidRDefault="00E70FA3" w:rsidP="00E70FA3">
      <w:pPr>
        <w:pStyle w:val="Heading1"/>
      </w:pPr>
      <w:r>
        <w:t>How To Use it</w:t>
      </w:r>
    </w:p>
    <w:p w:rsidR="000A7DFA" w:rsidRDefault="000A7DFA" w:rsidP="000A7DFA">
      <w:r>
        <w:t xml:space="preserve">Copy </w:t>
      </w:r>
      <w:r w:rsidRPr="00972983">
        <w:rPr>
          <w:i/>
        </w:rPr>
        <w:t>Wisej.HostService.exe</w:t>
      </w:r>
      <w:r>
        <w:t xml:space="preserve"> to the root folder of your Wisej app</w:t>
      </w:r>
      <w:r w:rsidR="00972983">
        <w:t xml:space="preserve">lication, at the same level as </w:t>
      </w:r>
      <w:proofErr w:type="spellStart"/>
      <w:r w:rsidR="00972983" w:rsidRPr="00972983">
        <w:rPr>
          <w:i/>
        </w:rPr>
        <w:t>w</w:t>
      </w:r>
      <w:r w:rsidRPr="00972983">
        <w:rPr>
          <w:i/>
        </w:rPr>
        <w:t>eb.</w:t>
      </w:r>
      <w:r w:rsidR="00972983" w:rsidRPr="00972983">
        <w:rPr>
          <w:i/>
        </w:rPr>
        <w:t>c</w:t>
      </w:r>
      <w:r w:rsidRPr="00972983">
        <w:rPr>
          <w:i/>
        </w:rPr>
        <w:t>onfig</w:t>
      </w:r>
      <w:proofErr w:type="spellEnd"/>
      <w:r>
        <w:t xml:space="preserve"> and run it. That’s it, it will immediately serve the Wisej application to port 8080 by default.</w:t>
      </w:r>
    </w:p>
    <w:p w:rsidR="000A7DFA" w:rsidRPr="000A7DFA" w:rsidRDefault="000A7DFA" w:rsidP="00DB155F">
      <w:pPr>
        <w:pBdr>
          <w:top w:val="single" w:sz="4" w:space="1" w:color="auto"/>
          <w:left w:val="single" w:sz="4" w:space="4" w:color="auto"/>
          <w:bottom w:val="single" w:sz="4" w:space="1" w:color="auto"/>
          <w:right w:val="single" w:sz="4" w:space="4" w:color="auto"/>
          <w:between w:val="single" w:sz="4" w:space="1" w:color="auto"/>
          <w:bar w:val="single" w:sz="4" w:color="auto"/>
        </w:pBdr>
      </w:pPr>
      <w:r w:rsidRPr="00DB155F">
        <w:rPr>
          <w:b/>
        </w:rPr>
        <w:t>Note:</w:t>
      </w:r>
      <w:r>
        <w:t xml:space="preserve"> you may get an “Access Denied” error if you are not running on a Windows Server and don’t have Administrator privileges because Windows blocks attempts at listening to all domains (*).</w:t>
      </w:r>
      <w:r w:rsidR="00DB155F">
        <w:t xml:space="preserve"> In which case add “-</w:t>
      </w:r>
      <w:proofErr w:type="spellStart"/>
      <w:r w:rsidR="00DB155F">
        <w:t>d:localhost</w:t>
      </w:r>
      <w:proofErr w:type="spellEnd"/>
      <w:r w:rsidR="00DB155F">
        <w:t>” to accept local connections, or run as administration.</w:t>
      </w:r>
    </w:p>
    <w:p w:rsidR="008651BF" w:rsidRDefault="00B7661C" w:rsidP="00B7661C">
      <w:pPr>
        <w:pStyle w:val="Heading2"/>
      </w:pPr>
      <w:r>
        <w:t>Command Line Arguments</w:t>
      </w:r>
    </w:p>
    <w:p w:rsidR="00B7661C" w:rsidRPr="00B7661C" w:rsidRDefault="00B7661C" w:rsidP="00B7661C"/>
    <w:tbl>
      <w:tblPr>
        <w:tblStyle w:val="GridTable1Light-Accent3"/>
        <w:tblW w:w="0" w:type="auto"/>
        <w:tblLook w:val="04A0" w:firstRow="1" w:lastRow="0" w:firstColumn="1" w:lastColumn="0" w:noHBand="0" w:noVBand="1"/>
      </w:tblPr>
      <w:tblGrid>
        <w:gridCol w:w="4675"/>
        <w:gridCol w:w="4675"/>
      </w:tblGrid>
      <w:tr w:rsidR="002D20D0" w:rsidTr="002D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Argument</w:t>
            </w:r>
          </w:p>
        </w:tc>
        <w:tc>
          <w:tcPr>
            <w:tcW w:w="4675" w:type="dxa"/>
          </w:tcPr>
          <w:p w:rsidR="002D20D0" w:rsidRDefault="002D20D0" w:rsidP="008651BF">
            <w:pPr>
              <w:cnfStyle w:val="100000000000" w:firstRow="1" w:lastRow="0" w:firstColumn="0" w:lastColumn="0" w:oddVBand="0" w:evenVBand="0" w:oddHBand="0" w:evenHBand="0" w:firstRowFirstColumn="0" w:firstRowLastColumn="0" w:lastRowFirstColumn="0" w:lastRowLastColumn="0"/>
            </w:pPr>
            <w:r>
              <w:t>Description</w:t>
            </w:r>
          </w:p>
        </w:tc>
      </w:tr>
      <w:tr w:rsidR="002D20D0" w:rsidTr="009621D7">
        <w:trPr>
          <w:trHeight w:val="681"/>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(none) or -start</w:t>
            </w:r>
          </w:p>
        </w:tc>
        <w:tc>
          <w:tcPr>
            <w:tcW w:w="4675" w:type="dxa"/>
          </w:tcPr>
          <w:p w:rsidR="002D20D0" w:rsidRDefault="009621D7" w:rsidP="008651BF">
            <w:pPr>
              <w:cnfStyle w:val="000000000000" w:firstRow="0" w:lastRow="0" w:firstColumn="0" w:lastColumn="0" w:oddVBand="0" w:evenVBand="0" w:oddHBand="0" w:evenHBand="0" w:firstRowFirstColumn="0" w:firstRowLastColumn="0" w:lastRowFirstColumn="0" w:lastRowLastColumn="0"/>
            </w:pPr>
            <w:r>
              <w:t>Starts the host process for the current Wisej application: where the process is located.</w:t>
            </w:r>
          </w:p>
        </w:tc>
      </w:tr>
      <w:tr w:rsidR="002D20D0" w:rsidTr="009621D7">
        <w:trPr>
          <w:trHeight w:val="710"/>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-stop</w:t>
            </w:r>
          </w:p>
        </w:tc>
        <w:tc>
          <w:tcPr>
            <w:tcW w:w="4675" w:type="dxa"/>
          </w:tcPr>
          <w:p w:rsidR="002D20D0" w:rsidRDefault="009621D7" w:rsidP="008651BF">
            <w:pPr>
              <w:cnfStyle w:val="000000000000" w:firstRow="0" w:lastRow="0" w:firstColumn="0" w:lastColumn="0" w:oddVBand="0" w:evenVBand="0" w:oddHBand="0" w:evenHBand="0" w:firstRowFirstColumn="0" w:firstRowLastColumn="0" w:lastRowFirstColumn="0" w:lastRowLastColumn="0"/>
            </w:pPr>
            <w:r>
              <w:t>Stops the process for the current Wisej application.</w:t>
            </w:r>
          </w:p>
        </w:tc>
      </w:tr>
      <w:tr w:rsidR="002D20D0" w:rsidTr="009621D7">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-p:{port} or -port:{port}</w:t>
            </w:r>
          </w:p>
        </w:tc>
        <w:tc>
          <w:tcPr>
            <w:tcW w:w="4675" w:type="dxa"/>
          </w:tcPr>
          <w:p w:rsidR="002D20D0" w:rsidRDefault="009621D7" w:rsidP="008651BF">
            <w:pPr>
              <w:cnfStyle w:val="000000000000" w:firstRow="0" w:lastRow="0" w:firstColumn="0" w:lastColumn="0" w:oddVBand="0" w:evenVBand="0" w:oddHBand="0" w:evenHBand="0" w:firstRowFirstColumn="0" w:firstRowLastColumn="0" w:lastRowFirstColumn="0" w:lastRowLastColumn="0"/>
            </w:pPr>
            <w:r>
              <w:t>Changes the port.</w:t>
            </w:r>
            <w:r w:rsidR="00611704">
              <w:t xml:space="preserve"> The default port is 8080.</w:t>
            </w:r>
          </w:p>
        </w:tc>
      </w:tr>
      <w:tr w:rsidR="00434974" w:rsidTr="009621D7">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434974" w:rsidRDefault="00434974" w:rsidP="008651BF">
            <w:r>
              <w:t>-d:{domain name} or -domain:{domain name}</w:t>
            </w:r>
          </w:p>
        </w:tc>
        <w:tc>
          <w:tcPr>
            <w:tcW w:w="4675" w:type="dxa"/>
          </w:tcPr>
          <w:p w:rsidR="00434974" w:rsidRDefault="00DE12C1" w:rsidP="008651BF">
            <w:pPr>
              <w:cnfStyle w:val="000000000000" w:firstRow="0" w:lastRow="0" w:firstColumn="0" w:lastColumn="0" w:oddVBand="0" w:evenVBand="0" w:oddHBand="0" w:evenHBand="0" w:firstRowFirstColumn="0" w:firstRowLastColumn="0" w:lastRowFirstColumn="0" w:lastRowLastColumn="0"/>
            </w:pPr>
            <w:r>
              <w:t>Limits the domain: i.e. * = all, or localhost to accept local connections only.</w:t>
            </w:r>
            <w:r w:rsidR="00611704">
              <w:t xml:space="preserve"> The default is *.</w:t>
            </w:r>
          </w:p>
          <w:p w:rsidR="00611704" w:rsidRDefault="00611704" w:rsidP="008651BF">
            <w:pPr>
              <w:cnfStyle w:val="000000000000" w:firstRow="0" w:lastRow="0" w:firstColumn="0" w:lastColumn="0" w:oddVBand="0" w:evenVBand="0" w:oddHBand="0" w:evenHBand="0" w:firstRowFirstColumn="0" w:firstRowLastColumn="0" w:lastRowFirstColumn="0" w:lastRowLastColumn="0"/>
            </w:pPr>
          </w:p>
        </w:tc>
      </w:tr>
      <w:tr w:rsidR="002D20D0" w:rsidTr="00221DBC">
        <w:trPr>
          <w:trHeight w:val="1160"/>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w:t>
            </w:r>
            <w:proofErr w:type="spellStart"/>
            <w:r>
              <w:t>i</w:t>
            </w:r>
            <w:proofErr w:type="spellEnd"/>
            <w:r>
              <w:t xml:space="preserve"> or -install</w:t>
            </w:r>
          </w:p>
        </w:tc>
        <w:tc>
          <w:tcPr>
            <w:tcW w:w="4675" w:type="dxa"/>
          </w:tcPr>
          <w:p w:rsidR="002D20D0" w:rsidRDefault="009621D7" w:rsidP="008651BF">
            <w:pPr>
              <w:cnfStyle w:val="000000000000" w:firstRow="0" w:lastRow="0" w:firstColumn="0" w:lastColumn="0" w:oddVBand="0" w:evenVBand="0" w:oddHBand="0" w:evenHBand="0" w:firstRowFirstColumn="0" w:firstRowLastColumn="0" w:lastRowFirstColumn="0" w:lastRowLastColumn="0"/>
            </w:pPr>
            <w:r>
              <w:t xml:space="preserve">Installs </w:t>
            </w:r>
            <w:proofErr w:type="spellStart"/>
            <w:r>
              <w:t>Wisej.HostService</w:t>
            </w:r>
            <w:proofErr w:type="spellEnd"/>
            <w:r>
              <w:t xml:space="preserve"> as a Windows service for the current Wisej application.</w:t>
            </w:r>
          </w:p>
          <w:p w:rsidR="00600360" w:rsidRDefault="00600360" w:rsidP="008651BF">
            <w:pPr>
              <w:cnfStyle w:val="000000000000" w:firstRow="0" w:lastRow="0" w:firstColumn="0" w:lastColumn="0" w:oddVBand="0" w:evenVBand="0" w:oddHBand="0" w:evenHBand="0" w:firstRowFirstColumn="0" w:firstRowLastColumn="0" w:lastRowFirstColumn="0" w:lastRowLastColumn="0"/>
            </w:pPr>
          </w:p>
          <w:p w:rsidR="00600360" w:rsidRDefault="00221DBC" w:rsidP="008651BF">
            <w:pPr>
              <w:cnfStyle w:val="000000000000" w:firstRow="0" w:lastRow="0" w:firstColumn="0" w:lastColumn="0" w:oddVBand="0" w:evenVBand="0" w:oddHBand="0" w:evenHBand="0" w:firstRowFirstColumn="0" w:firstRowLastColumn="0" w:lastRowFirstColumn="0" w:lastRowLastColumn="0"/>
            </w:pPr>
            <w:r>
              <w:t xml:space="preserve">You can </w:t>
            </w:r>
            <w:r w:rsidR="00A376B5">
              <w:t xml:space="preserve">mix </w:t>
            </w:r>
            <w:r>
              <w:t>“-</w:t>
            </w:r>
            <w:proofErr w:type="spellStart"/>
            <w:r>
              <w:t>i</w:t>
            </w:r>
            <w:proofErr w:type="spellEnd"/>
            <w:r>
              <w:t>” with “-p:” and “-n:”</w:t>
            </w:r>
            <w:r w:rsidR="00A376B5">
              <w:t xml:space="preserve"> and “-d:”</w:t>
            </w:r>
            <w:r>
              <w:t>.</w:t>
            </w:r>
          </w:p>
        </w:tc>
      </w:tr>
      <w:tr w:rsidR="002D20D0" w:rsidTr="009621D7">
        <w:trPr>
          <w:trHeight w:val="710"/>
        </w:trPr>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t>-u or -uninstall</w:t>
            </w:r>
          </w:p>
        </w:tc>
        <w:tc>
          <w:tcPr>
            <w:tcW w:w="4675" w:type="dxa"/>
          </w:tcPr>
          <w:p w:rsidR="002D20D0" w:rsidRDefault="009621D7" w:rsidP="008651BF">
            <w:pPr>
              <w:cnfStyle w:val="000000000000" w:firstRow="0" w:lastRow="0" w:firstColumn="0" w:lastColumn="0" w:oddVBand="0" w:evenVBand="0" w:oddHBand="0" w:evenHBand="0" w:firstRowFirstColumn="0" w:firstRowLastColumn="0" w:lastRowFirstColumn="0" w:lastRowLastColumn="0"/>
            </w:pPr>
            <w:r>
              <w:t xml:space="preserve">Uninstalls </w:t>
            </w:r>
            <w:proofErr w:type="spellStart"/>
            <w:r>
              <w:t>Wisej.HostService</w:t>
            </w:r>
            <w:proofErr w:type="spellEnd"/>
            <w:r>
              <w:t xml:space="preserve"> from the Windows services.</w:t>
            </w:r>
          </w:p>
        </w:tc>
      </w:tr>
      <w:tr w:rsidR="002D20D0" w:rsidTr="002D20D0">
        <w:tc>
          <w:tcPr>
            <w:cnfStyle w:val="001000000000" w:firstRow="0" w:lastRow="0" w:firstColumn="1" w:lastColumn="0" w:oddVBand="0" w:evenVBand="0" w:oddHBand="0" w:evenHBand="0" w:firstRowFirstColumn="0" w:firstRowLastColumn="0" w:lastRowFirstColumn="0" w:lastRowLastColumn="0"/>
            <w:tcW w:w="4675" w:type="dxa"/>
          </w:tcPr>
          <w:p w:rsidR="002D20D0" w:rsidRDefault="002D20D0" w:rsidP="008651BF">
            <w:r>
              <w:lastRenderedPageBreak/>
              <w:t>-n:{name} or -name:{}</w:t>
            </w:r>
          </w:p>
        </w:tc>
        <w:tc>
          <w:tcPr>
            <w:tcW w:w="4675" w:type="dxa"/>
          </w:tcPr>
          <w:p w:rsidR="002D20D0" w:rsidRDefault="009621D7" w:rsidP="009621D7">
            <w:pPr>
              <w:cnfStyle w:val="000000000000" w:firstRow="0" w:lastRow="0" w:firstColumn="0" w:lastColumn="0" w:oddVBand="0" w:evenVBand="0" w:oddHBand="0" w:evenHBand="0" w:firstRowFirstColumn="0" w:firstRowLastColumn="0" w:lastRowFirstColumn="0" w:lastRowLastColumn="0"/>
            </w:pPr>
            <w:r>
              <w:t>Changes the name of the service, otherwise Wisej sets the name to “</w:t>
            </w:r>
            <w:proofErr w:type="spellStart"/>
            <w:r>
              <w:t>Wisej.HostService</w:t>
            </w:r>
            <w:proofErr w:type="spellEnd"/>
            <w:r>
              <w:t xml:space="preserve">: </w:t>
            </w:r>
            <w:proofErr w:type="gramStart"/>
            <w:r>
              <w:t>“ +</w:t>
            </w:r>
            <w:proofErr w:type="gramEnd"/>
            <w:r>
              <w:t xml:space="preserve"> {Name of Wisej Application Folder}</w:t>
            </w:r>
          </w:p>
          <w:p w:rsidR="00611704" w:rsidRDefault="00611704" w:rsidP="009621D7">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rsidR="008651BF" w:rsidRDefault="008651BF" w:rsidP="008651BF"/>
    <w:p w:rsidR="003A6B63" w:rsidRPr="008651BF" w:rsidRDefault="003A6B63" w:rsidP="008651BF">
      <w:r>
        <w:t xml:space="preserve">You can run several instances of </w:t>
      </w:r>
      <w:proofErr w:type="spellStart"/>
      <w:r>
        <w:t>Wisej.HostService</w:t>
      </w:r>
      <w:proofErr w:type="spellEnd"/>
      <w:r>
        <w:t xml:space="preserve"> to host multiple Wisej applications, as long as each instance listens to a different port.</w:t>
      </w:r>
    </w:p>
    <w:p w:rsidR="00DB4242" w:rsidRDefault="00DB4242" w:rsidP="008651BF">
      <w:pPr>
        <w:pStyle w:val="Heading1"/>
        <w:numPr>
          <w:ilvl w:val="0"/>
          <w:numId w:val="1"/>
        </w:numPr>
      </w:pPr>
      <w:r>
        <w:t>Customization</w:t>
      </w:r>
    </w:p>
    <w:p w:rsidR="00DB4242" w:rsidRDefault="00DB4242" w:rsidP="00DB4242">
      <w:r>
        <w:t xml:space="preserve">We provide the full source code for the </w:t>
      </w:r>
      <w:proofErr w:type="spellStart"/>
      <w:r w:rsidRPr="00AD13C6">
        <w:rPr>
          <w:i/>
        </w:rPr>
        <w:t>Wisej.</w:t>
      </w:r>
      <w:r>
        <w:rPr>
          <w:i/>
        </w:rPr>
        <w:t>HostService</w:t>
      </w:r>
      <w:proofErr w:type="spellEnd"/>
      <w:r>
        <w:rPr>
          <w:i/>
        </w:rPr>
        <w:t xml:space="preserve"> project</w:t>
      </w:r>
      <w:r>
        <w:t>. You can modify and customize the host configuration however you like and create a custom service.</w:t>
      </w:r>
    </w:p>
    <w:p w:rsidR="00DB4242" w:rsidRDefault="00DB4242" w:rsidP="00DB4242">
      <w:r>
        <w:t xml:space="preserve">The place to customize the web server is in </w:t>
      </w:r>
      <w:proofErr w:type="spellStart"/>
      <w:r w:rsidRPr="00DB4242">
        <w:rPr>
          <w:i/>
        </w:rPr>
        <w:t>WisejHost.Start</w:t>
      </w:r>
      <w:proofErr w:type="spellEnd"/>
      <w:r w:rsidRPr="00DB4242">
        <w:rPr>
          <w:i/>
        </w:rPr>
        <w:t>()</w:t>
      </w:r>
      <w: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WebApp</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(options, (builder) =&gt;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B4242" w:rsidRDefault="00DB4242" w:rsidP="00DB4242">
      <w:pPr>
        <w:autoSpaceDE w:val="0"/>
        <w:autoSpaceDN w:val="0"/>
        <w:adjustRightInd w:val="0"/>
        <w:spacing w:after="0" w:line="240" w:lineRule="auto"/>
        <w:ind w:firstLine="708"/>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TODO: Add additional middleware handlers here. </w:t>
      </w:r>
      <w:r>
        <w:rPr>
          <w:rFonts w:ascii="Consolas" w:hAnsi="Consolas" w:cs="Consolas"/>
          <w:color w:val="808080"/>
          <w:sz w:val="19"/>
          <w:szCs w:val="19"/>
          <w:highlight w:val="white"/>
        </w:rPr>
        <w:t>*/</w:t>
      </w:r>
    </w:p>
    <w:p w:rsidR="00DB4242" w:rsidRDefault="00DB4242" w:rsidP="00DB4242">
      <w:pPr>
        <w:autoSpaceDE w:val="0"/>
        <w:autoSpaceDN w:val="0"/>
        <w:adjustRightInd w:val="0"/>
        <w:spacing w:after="0" w:line="240" w:lineRule="auto"/>
        <w:ind w:firstLine="708"/>
        <w:rPr>
          <w:rFonts w:ascii="Consolas" w:hAnsi="Consolas" w:cs="Consolas"/>
          <w:color w:val="000000"/>
          <w:sz w:val="19"/>
          <w:szCs w:val="19"/>
          <w:highlight w:val="white"/>
        </w:rPr>
      </w:pP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FileServer</w:t>
      </w:r>
      <w:proofErr w:type="spellEnd"/>
      <w:r>
        <w:rPr>
          <w:rFonts w:ascii="Consolas" w:hAnsi="Consolas" w:cs="Consolas"/>
          <w:color w:val="008000"/>
          <w:sz w:val="19"/>
          <w:szCs w:val="19"/>
          <w:highlight w:val="white"/>
        </w:rPr>
        <w:t xml:space="preserve"> middleware processes all static</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resources: html, </w:t>
      </w:r>
      <w:proofErr w:type="spellStart"/>
      <w:r>
        <w:rPr>
          <w:rFonts w:ascii="Consolas" w:hAnsi="Consolas" w:cs="Consolas"/>
          <w:color w:val="008000"/>
          <w:sz w:val="19"/>
          <w:szCs w:val="19"/>
          <w:highlight w:val="white"/>
        </w:rPr>
        <w:t>png</w:t>
      </w:r>
      <w:proofErr w:type="spellEnd"/>
      <w:r>
        <w:rPr>
          <w:rFonts w:ascii="Consolas" w:hAnsi="Consolas" w:cs="Consolas"/>
          <w:color w:val="008000"/>
          <w:sz w:val="19"/>
          <w:szCs w:val="19"/>
          <w:highlight w:val="white"/>
        </w:rPr>
        <w:t>, etc...</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It should run before the Wisej middleware to</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serve known static files.</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builder.UseFileServer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FileServerOptions</w:t>
      </w:r>
      <w:proofErr w:type="spellEnd"/>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EnableDefaultFiles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EnableDirectoryBrowsing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FileSystem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PhysicalFileSystem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HttpRuntime</w:t>
      </w:r>
      <w:r>
        <w:rPr>
          <w:rFonts w:ascii="Consolas" w:hAnsi="Consolas" w:cs="Consolas"/>
          <w:color w:val="000000"/>
          <w:sz w:val="19"/>
          <w:szCs w:val="19"/>
          <w:highlight w:val="white"/>
        </w:rPr>
        <w:t>.AppDomainAppPath</w:t>
      </w:r>
      <w:proofErr w:type="spellEnd"/>
      <w:r>
        <w:rPr>
          <w:rFonts w:ascii="Consolas" w:hAnsi="Consolas" w:cs="Consolas"/>
          <w:color w:val="000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C07" w:rsidRDefault="00F50C07" w:rsidP="00DB4242">
      <w:pPr>
        <w:autoSpaceDE w:val="0"/>
        <w:autoSpaceDN w:val="0"/>
        <w:adjustRightInd w:val="0"/>
        <w:spacing w:after="0" w:line="240" w:lineRule="auto"/>
        <w:rPr>
          <w:rFonts w:ascii="Consolas" w:hAnsi="Consolas" w:cs="Consolas"/>
          <w:color w:val="000000"/>
          <w:sz w:val="19"/>
          <w:szCs w:val="19"/>
          <w:highlight w:val="white"/>
        </w:rPr>
      </w:pP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Wisej Middleware processes all .</w:t>
      </w:r>
      <w:proofErr w:type="spellStart"/>
      <w:r>
        <w:rPr>
          <w:rFonts w:ascii="Consolas" w:hAnsi="Consolas" w:cs="Consolas"/>
          <w:color w:val="008000"/>
          <w:sz w:val="19"/>
          <w:szCs w:val="19"/>
          <w:highlight w:val="white"/>
        </w:rPr>
        <w:t>wx</w:t>
      </w:r>
      <w:proofErr w:type="spell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aspx</w:t>
      </w:r>
      <w:proofErr w:type="spellEnd"/>
      <w:r>
        <w:rPr>
          <w:rFonts w:ascii="Consolas" w:hAnsi="Consolas" w:cs="Consolas"/>
          <w:color w:val="008000"/>
          <w:sz w:val="19"/>
          <w:szCs w:val="19"/>
          <w:highlight w:val="white"/>
        </w:rPr>
        <w:t xml:space="preserve"> requests</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through the </w:t>
      </w:r>
      <w:proofErr w:type="spellStart"/>
      <w:r>
        <w:rPr>
          <w:rFonts w:ascii="Consolas" w:hAnsi="Consolas" w:cs="Consolas"/>
          <w:color w:val="008000"/>
          <w:sz w:val="19"/>
          <w:szCs w:val="19"/>
          <w:highlight w:val="white"/>
        </w:rPr>
        <w:t>System.Web</w:t>
      </w:r>
      <w:proofErr w:type="spellEnd"/>
      <w:r>
        <w:rPr>
          <w:rFonts w:ascii="Consolas" w:hAnsi="Consolas" w:cs="Consolas"/>
          <w:color w:val="008000"/>
          <w:sz w:val="19"/>
          <w:szCs w:val="19"/>
          <w:highlight w:val="white"/>
        </w:rPr>
        <w:t xml:space="preserve"> pipeline.</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It will process all files not handled by the</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FileServer</w:t>
      </w:r>
      <w:proofErr w:type="spellEnd"/>
      <w:r>
        <w:rPr>
          <w:rFonts w:ascii="Consolas" w:hAnsi="Consolas" w:cs="Consolas"/>
          <w:color w:val="008000"/>
          <w:sz w:val="19"/>
          <w:szCs w:val="19"/>
          <w:highlight w:val="white"/>
        </w:rPr>
        <w:t xml:space="preserve"> middleware using the classic</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pipeline and any handler/module added to</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web.config</w:t>
      </w:r>
      <w:proofErr w:type="spellEnd"/>
      <w:r>
        <w:rPr>
          <w:rFonts w:ascii="Consolas" w:hAnsi="Consolas" w:cs="Consolas"/>
          <w:color w:val="008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builder.UseWisej</w:t>
      </w:r>
      <w:proofErr w:type="spellEnd"/>
      <w:r>
        <w:rPr>
          <w:rFonts w:ascii="Consolas" w:hAnsi="Consolas" w:cs="Consolas"/>
          <w:color w:val="000000"/>
          <w:sz w:val="19"/>
          <w:szCs w:val="19"/>
          <w:highlight w:val="white"/>
        </w:rPr>
        <w:t>();</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t>
      </w: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p>
    <w:p w:rsidR="00DB4242" w:rsidRDefault="00DB4242" w:rsidP="00DB42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TODO: Add additional middleware handlers here. </w:t>
      </w:r>
      <w:r>
        <w:rPr>
          <w:rFonts w:ascii="Consolas" w:hAnsi="Consolas" w:cs="Consolas"/>
          <w:color w:val="808080"/>
          <w:sz w:val="19"/>
          <w:szCs w:val="19"/>
          <w:highlight w:val="white"/>
        </w:rPr>
        <w:t>*/</w:t>
      </w:r>
    </w:p>
    <w:p w:rsidR="00DB4242" w:rsidRDefault="00DB4242" w:rsidP="00DB4242">
      <w:pPr>
        <w:rPr>
          <w:rFonts w:ascii="Consolas" w:hAnsi="Consolas" w:cs="Consolas"/>
          <w:color w:val="000000"/>
          <w:sz w:val="19"/>
          <w:szCs w:val="19"/>
        </w:rPr>
      </w:pPr>
      <w:r>
        <w:rPr>
          <w:rFonts w:ascii="Consolas" w:hAnsi="Consolas" w:cs="Consolas"/>
          <w:color w:val="000000"/>
          <w:sz w:val="19"/>
          <w:szCs w:val="19"/>
          <w:highlight w:val="white"/>
        </w:rPr>
        <w:t>});</w:t>
      </w:r>
    </w:p>
    <w:p w:rsidR="00DB4242" w:rsidRPr="00DB4242" w:rsidRDefault="00DB4242" w:rsidP="00DB4242">
      <w:r>
        <w:lastRenderedPageBreak/>
        <w:t>You can add any additional OWIN middleware that you may want in your hosting service. There are middleware modules for authentication, logging, tracing, caching, redirecting. And, course, you can add your own middleware.</w:t>
      </w:r>
    </w:p>
    <w:p w:rsidR="008651BF" w:rsidRPr="002A0F13" w:rsidRDefault="008651BF" w:rsidP="008651BF">
      <w:pPr>
        <w:pStyle w:val="Heading1"/>
        <w:numPr>
          <w:ilvl w:val="0"/>
          <w:numId w:val="1"/>
        </w:numPr>
      </w:pPr>
      <w:r>
        <w:t>How Does it Work</w:t>
      </w:r>
    </w:p>
    <w:p w:rsidR="008651BF" w:rsidRDefault="008651BF" w:rsidP="008651BF">
      <w:r>
        <w:t>We didn’t recreate a new web server to replace IIS, nor we used Cassini.</w:t>
      </w:r>
    </w:p>
    <w:p w:rsidR="008651BF" w:rsidRDefault="008651BF" w:rsidP="008651BF">
      <w:r>
        <w:t>Wisej Standalone and Wisej Self Hosting features use the Microsoft implementation of OWIN (</w:t>
      </w:r>
      <w:r w:rsidRPr="00D6300F">
        <w:t>Open Web Interface for .NET</w:t>
      </w:r>
      <w:r>
        <w:t xml:space="preserve">), called Katana: </w:t>
      </w:r>
      <w:hyperlink r:id="rId7" w:history="1">
        <w:r w:rsidRPr="003445CE">
          <w:rPr>
            <w:rStyle w:val="Hyperlink"/>
          </w:rPr>
          <w:t>https://www.asp.net/aspnet/overview/owin-and-katana</w:t>
        </w:r>
      </w:hyperlink>
      <w:r>
        <w:t>.</w:t>
      </w:r>
    </w:p>
    <w:p w:rsidR="008651BF" w:rsidRDefault="008651BF" w:rsidP="008651BF">
      <w:r>
        <w:t xml:space="preserve">Wisej added a </w:t>
      </w:r>
      <w:proofErr w:type="spellStart"/>
      <w:r>
        <w:t>WisejMiddleware</w:t>
      </w:r>
      <w:proofErr w:type="spellEnd"/>
      <w:r>
        <w:t xml:space="preserve"> implementation to route requests to the Wisej Handler and you can add any OWIN middleware and recompile the project.</w:t>
      </w:r>
    </w:p>
    <w:p w:rsidR="008651BF" w:rsidRDefault="008651BF" w:rsidP="008651BF">
      <w:r>
        <w:t xml:space="preserve">However, Wisej also added full support for ASP.NET/MVC applications, including all ASP.NET controls, </w:t>
      </w:r>
      <w:proofErr w:type="spellStart"/>
      <w:r>
        <w:t>WebForms</w:t>
      </w:r>
      <w:proofErr w:type="spellEnd"/>
      <w:r>
        <w:t xml:space="preserve">, etc. Basically, our implementation can fully replace IIS in a </w:t>
      </w:r>
      <w:r w:rsidRPr="002179C2">
        <w:rPr>
          <w:b/>
        </w:rPr>
        <w:t>single executable</w:t>
      </w:r>
      <w:r>
        <w:t>.</w:t>
      </w:r>
    </w:p>
    <w:p w:rsidR="00CB3A7B" w:rsidRDefault="00CB3A7B" w:rsidP="00CB3A7B">
      <w:pPr>
        <w:pStyle w:val="Heading2"/>
        <w:numPr>
          <w:ilvl w:val="1"/>
          <w:numId w:val="1"/>
        </w:numPr>
        <w:spacing w:after="120"/>
      </w:pPr>
      <w:r>
        <w:t>Single Executable</w:t>
      </w:r>
    </w:p>
    <w:p w:rsidR="00CB3A7B" w:rsidRDefault="00CB3A7B" w:rsidP="00CB3A7B">
      <w:r>
        <w:t xml:space="preserve">We like simplicity. The </w:t>
      </w:r>
      <w:proofErr w:type="spellStart"/>
      <w:r w:rsidRPr="002179C2">
        <w:rPr>
          <w:i/>
        </w:rPr>
        <w:t>Wisej.HostService</w:t>
      </w:r>
      <w:proofErr w:type="spellEnd"/>
      <w:r>
        <w:t xml:space="preserve"> projects are configured to merge all the OWIN and Katana assemblies into a single executable using </w:t>
      </w:r>
      <w:proofErr w:type="spellStart"/>
      <w:r w:rsidRPr="002179C2">
        <w:rPr>
          <w:i/>
        </w:rPr>
        <w:t>ILMerge</w:t>
      </w:r>
      <w:proofErr w:type="spellEnd"/>
      <w:r>
        <w:t xml:space="preserve"> and some code we added to let the host know where to load its classes.</w:t>
      </w:r>
    </w:p>
    <w:p w:rsidR="00900690" w:rsidRDefault="00900690" w:rsidP="00900690">
      <w:pPr>
        <w:pStyle w:val="Heading1"/>
        <w:numPr>
          <w:ilvl w:val="0"/>
          <w:numId w:val="1"/>
        </w:numPr>
      </w:pPr>
      <w:r>
        <w:t>Conclusion</w:t>
      </w:r>
    </w:p>
    <w:p w:rsidR="00900690" w:rsidRDefault="00900690" w:rsidP="00900690">
      <w:r>
        <w:t>Wisej Self Hosting is an easy and inexpensive way to host Wisej applications on machines of any size.</w:t>
      </w:r>
    </w:p>
    <w:p w:rsidR="00E70FA3" w:rsidRPr="00E70FA3" w:rsidRDefault="00900690" w:rsidP="00E70FA3">
      <w:r>
        <w:t xml:space="preserve">Last, you can use it to host pure ASP.NET/MVC (including </w:t>
      </w:r>
      <w:proofErr w:type="spellStart"/>
      <w:r>
        <w:t>WebForms</w:t>
      </w:r>
      <w:proofErr w:type="spellEnd"/>
      <w:r>
        <w:t>) applications.</w:t>
      </w:r>
    </w:p>
    <w:sectPr w:rsidR="00E70FA3" w:rsidRPr="00E70F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58A" w:rsidRDefault="00CD758A" w:rsidP="000D6A77">
      <w:pPr>
        <w:spacing w:after="0" w:line="240" w:lineRule="auto"/>
      </w:pPr>
      <w:r>
        <w:separator/>
      </w:r>
    </w:p>
  </w:endnote>
  <w:endnote w:type="continuationSeparator" w:id="0">
    <w:p w:rsidR="00CD758A" w:rsidRDefault="00CD758A"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E6" w:rsidRDefault="00107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E6" w:rsidRDefault="00107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E6" w:rsidRDefault="0010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58A" w:rsidRDefault="00CD758A" w:rsidP="000D6A77">
      <w:pPr>
        <w:spacing w:after="0" w:line="240" w:lineRule="auto"/>
      </w:pPr>
      <w:r>
        <w:separator/>
      </w:r>
    </w:p>
  </w:footnote>
  <w:footnote w:type="continuationSeparator" w:id="0">
    <w:p w:rsidR="00CD758A" w:rsidRDefault="00CD758A"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E6" w:rsidRDefault="00107C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 xml:space="preserve">Wisej </w:t>
    </w:r>
    <w:r w:rsidR="00782A23">
      <w:rPr>
        <w:rFonts w:ascii="Arial" w:hAnsi="Arial" w:cs="Arial"/>
        <w:b/>
        <w:color w:val="595959" w:themeColor="text1" w:themeTint="A6"/>
        <w:sz w:val="52"/>
        <w:szCs w:val="52"/>
      </w:rPr>
      <w:t>Self Hosting</w:t>
    </w:r>
  </w:p>
  <w:p w:rsidR="000D6A77" w:rsidRPr="000D6A77" w:rsidRDefault="000D6A77">
    <w:pPr>
      <w:pStyle w:val="Header"/>
      <w:rPr>
        <w:rFonts w:ascii="Arial" w:hAnsi="Arial" w:cs="Arial"/>
        <w:b/>
        <w:color w:val="595959" w:themeColor="text1" w:themeTint="A6"/>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E6" w:rsidRDefault="00107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9A0320B"/>
    <w:multiLevelType w:val="hybridMultilevel"/>
    <w:tmpl w:val="121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04C33"/>
    <w:rsid w:val="000A4478"/>
    <w:rsid w:val="000A7DFA"/>
    <w:rsid w:val="000D6A77"/>
    <w:rsid w:val="000E5EB4"/>
    <w:rsid w:val="00107CE6"/>
    <w:rsid w:val="0017592B"/>
    <w:rsid w:val="00212919"/>
    <w:rsid w:val="00221DBC"/>
    <w:rsid w:val="002535E8"/>
    <w:rsid w:val="00262876"/>
    <w:rsid w:val="002D20D0"/>
    <w:rsid w:val="00317F48"/>
    <w:rsid w:val="00354B53"/>
    <w:rsid w:val="003A6B63"/>
    <w:rsid w:val="00417123"/>
    <w:rsid w:val="00434974"/>
    <w:rsid w:val="00473076"/>
    <w:rsid w:val="004D6D58"/>
    <w:rsid w:val="004E4561"/>
    <w:rsid w:val="00505474"/>
    <w:rsid w:val="00531E76"/>
    <w:rsid w:val="0054458E"/>
    <w:rsid w:val="005558F6"/>
    <w:rsid w:val="005560C1"/>
    <w:rsid w:val="005E019C"/>
    <w:rsid w:val="00600360"/>
    <w:rsid w:val="00611704"/>
    <w:rsid w:val="006861EE"/>
    <w:rsid w:val="006D0B03"/>
    <w:rsid w:val="006D3EFC"/>
    <w:rsid w:val="00782A23"/>
    <w:rsid w:val="008651BF"/>
    <w:rsid w:val="0088347A"/>
    <w:rsid w:val="00884DF5"/>
    <w:rsid w:val="00900690"/>
    <w:rsid w:val="009621D7"/>
    <w:rsid w:val="00966DAD"/>
    <w:rsid w:val="00972983"/>
    <w:rsid w:val="00A376B5"/>
    <w:rsid w:val="00A376FE"/>
    <w:rsid w:val="00AA3887"/>
    <w:rsid w:val="00AC4214"/>
    <w:rsid w:val="00B10265"/>
    <w:rsid w:val="00B14164"/>
    <w:rsid w:val="00B16B46"/>
    <w:rsid w:val="00B543E6"/>
    <w:rsid w:val="00B7661C"/>
    <w:rsid w:val="00C6673B"/>
    <w:rsid w:val="00C90CE5"/>
    <w:rsid w:val="00CB3A7B"/>
    <w:rsid w:val="00CD758A"/>
    <w:rsid w:val="00D20529"/>
    <w:rsid w:val="00D4140A"/>
    <w:rsid w:val="00DB155F"/>
    <w:rsid w:val="00DB4242"/>
    <w:rsid w:val="00DE12C1"/>
    <w:rsid w:val="00DE3A8A"/>
    <w:rsid w:val="00DE585D"/>
    <w:rsid w:val="00E315D1"/>
    <w:rsid w:val="00E70FA3"/>
    <w:rsid w:val="00EF030B"/>
    <w:rsid w:val="00F50C07"/>
    <w:rsid w:val="00F749F4"/>
    <w:rsid w:val="00FB2B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71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 w:type="character" w:styleId="Hyperlink">
    <w:name w:val="Hyperlink"/>
    <w:basedOn w:val="DefaultParagraphFont"/>
    <w:uiPriority w:val="99"/>
    <w:unhideWhenUsed/>
    <w:rsid w:val="00262876"/>
    <w:rPr>
      <w:color w:val="6B9F25" w:themeColor="hyperlink"/>
      <w:u w:val="single"/>
    </w:rPr>
  </w:style>
  <w:style w:type="table" w:styleId="TableGrid">
    <w:name w:val="Table Grid"/>
    <w:basedOn w:val="TableNormal"/>
    <w:uiPriority w:val="39"/>
    <w:rsid w:val="002D2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2D20D0"/>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20D0"/>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sp.net/aspnet/overview/owin-and-katan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2017-05-05T20:11:00Z</dcterms:created>
  <dcterms:modified xsi:type="dcterms:W3CDTF">2017-05-30T15:04:00Z</dcterms:modified>
  <cp:version/>
</cp:coreProperties>
</file>