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Rho Nutrition</w:t>
      </w:r>
    </w:p>
    <w:p>
      <w:r>
        <w:t>Post Purchase Flow — Email Briefs v1</w:t>
      </w:r>
    </w:p>
    <w:p>
      <w:r>
        <w:t>DigitsUp x Rho Nutrition  |  All 6 Personas  |  Day 21: Reorder + Subscription Conversion</w:t>
      </w:r>
    </w:p>
    <w:p>
      <w:pPr>
        <w:pStyle w:val="Heading2"/>
      </w:pPr>
      <w:r>
        <w:t>P1: The High-Performance Executive</w:t>
      </w:r>
    </w:p>
    <w:tbl>
      <w:tblPr>
        <w:tblStyle w:val="TableGrid"/>
        <w:tblW w:type="auto" w:w="0"/>
        <w:tblLook w:firstColumn="1" w:firstRow="1" w:lastColumn="0" w:lastRow="0" w:noHBand="0" w:noVBand="1" w:val="04A0"/>
      </w:tblPr>
      <w:tblGrid>
        <w:gridCol w:w="4320"/>
        <w:gridCol w:w="4320"/>
      </w:tblGrid>
      <w:tr>
        <w:tc>
          <w:tcPr>
            <w:tcW w:type="dxa" w:w="4320"/>
          </w:tcPr>
          <w:p>
            <w:r>
              <w:t>EMAIL 3 — DAY 21  |  THE HIGH-PERFORMANCE EXECUTIVE</w:t>
            </w:r>
          </w:p>
        </w:tc>
        <w:tc>
          <w:tcPr>
            <w:tcW w:type="dxa" w:w="4320"/>
          </w:tcPr>
          <w:p>
            <w:r>
              <w:t>EMAIL 3 — DAY 21  |  THE HIGH-PERFORMANCE EXECUTIVE</w:t>
            </w:r>
          </w:p>
        </w:tc>
      </w:tr>
      <w:tr>
        <w:tc>
          <w:tcPr>
            <w:tcW w:type="dxa" w:w="4320"/>
          </w:tcPr>
          <w:p>
            <w:r>
              <w:t>Email Objective</w:t>
            </w:r>
          </w:p>
        </w:tc>
        <w:tc>
          <w:tcPr>
            <w:tcW w:type="dxa" w:w="4320"/>
          </w:tcPr>
          <w:p>
            <w:r>
              <w:t>Frame consistency as a protocol, not a habit. Cost-per-day logic. Prevent a gap in the stack.</w:t>
            </w:r>
          </w:p>
        </w:tc>
      </w:tr>
      <w:tr>
        <w:tc>
          <w:tcPr>
            <w:tcW w:type="dxa" w:w="4320"/>
          </w:tcPr>
          <w:p>
            <w:r>
              <w:t>Subject Line Directions</w:t>
            </w:r>
          </w:p>
        </w:tc>
        <w:tc>
          <w:tcPr>
            <w:tcW w:type="dxa" w:w="4320"/>
          </w:tcPr>
          <w:p>
            <w:r>
              <w:t>Do not let your results reset</w:t>
              <w:br/>
              <w:t>The protocol only works if you do not stop</w:t>
              <w:br/>
              <w:t>Your next supply. Before you need it.</w:t>
            </w:r>
          </w:p>
        </w:tc>
      </w:tr>
      <w:tr>
        <w:tc>
          <w:tcPr>
            <w:tcW w:type="dxa" w:w="4320"/>
          </w:tcPr>
          <w:p>
            <w:r>
              <w:t>Preview Text Direction</w:t>
            </w:r>
          </w:p>
        </w:tc>
        <w:tc>
          <w:tcPr>
            <w:tcW w:type="dxa" w:w="4320"/>
          </w:tcPr>
          <w:p>
            <w:r>
              <w:t>Logical and outcome-focused. Example: "Three weeks of cellular optimization. The ROI compounds only if the protocol continues."</w:t>
            </w:r>
          </w:p>
        </w:tc>
      </w:tr>
      <w:tr>
        <w:tc>
          <w:tcPr>
            <w:tcW w:type="dxa" w:w="4320"/>
          </w:tcPr>
          <w:p>
            <w:r>
              <w:t>Primary Message</w:t>
            </w:r>
          </w:p>
        </w:tc>
        <w:tc>
          <w:tcPr>
            <w:tcW w:type="dxa" w:w="4320"/>
          </w:tcPr>
          <w:p>
            <w:r>
              <w:t>Three weeks of consistent NAD+ and liposomal nutrition is the baseline, not the destination. The results compound with time. Stopping resets the cellular work. Cost-per-day framing: compare to a single business lunch. The protocol is the competitive edge. Do not interrupt it.</w:t>
            </w:r>
          </w:p>
        </w:tc>
      </w:tr>
      <w:tr>
        <w:tc>
          <w:tcPr>
            <w:tcW w:type="dxa" w:w="4320"/>
          </w:tcPr>
          <w:p>
            <w:r>
              <w:t>Content Block Structure</w:t>
            </w:r>
          </w:p>
        </w:tc>
        <w:tc>
          <w:tcPr>
            <w:tcW w:type="dxa" w:w="4320"/>
          </w:tcPr>
          <w:p>
            <w:r>
              <w:t>Hero: Three weeks in. Brief data-driven acknowledgment of progress. Tone: boardroom, not celebratory.</w:t>
              <w:br/>
              <w:br/>
              <w:t>DYNAMIC BLOCK (Secondary):</w:t>
              <w:br/>
              <w:t>SUBSCRIBER VERSION: Acknowledge they are locked in. Reinforce the decision with one line about compounding results. CTA to account dashboard.</w:t>
              <w:br/>
              <w:t>NON-SUBSCRIBER VERSION: Cost-per-day math. Compare to cost of a single business lunch. Never run out. Skip or cancel anytime. CTA to subscribe.</w:t>
              <w:br/>
              <w:br/>
              <w:t>Tertiary: One short paragraph on what happens when you stop. NAD+ depletion timeline. Urgency through logic, not hype.</w:t>
            </w:r>
          </w:p>
        </w:tc>
      </w:tr>
      <w:tr>
        <w:tc>
          <w:tcPr>
            <w:tcW w:type="dxa" w:w="4320"/>
          </w:tcPr>
          <w:p>
            <w:r>
              <w:t>CTA Direction</w:t>
            </w:r>
          </w:p>
        </w:tc>
        <w:tc>
          <w:tcPr>
            <w:tcW w:type="dxa" w:w="4320"/>
          </w:tcPr>
          <w:p>
            <w:r>
              <w:t>"Secure Your Next Supply" (non-subscriber) / "You Are Locked In" (subscriber)</w:t>
            </w:r>
          </w:p>
        </w:tc>
      </w:tr>
      <w:tr>
        <w:tc>
          <w:tcPr>
            <w:tcW w:type="dxa" w:w="4320"/>
          </w:tcPr>
          <w:p>
            <w:r>
              <w:t>Tone Notes</w:t>
            </w:r>
          </w:p>
        </w:tc>
        <w:tc>
          <w:tcPr>
            <w:tcW w:type="dxa" w:w="4320"/>
          </w:tcPr>
          <w:p>
            <w:r>
              <w:t>Logical, outcome-focused. Boardroom throughout. Zero sentiment.</w:t>
            </w:r>
          </w:p>
        </w:tc>
      </w:tr>
    </w:tbl>
    <w:p/>
    <w:p>
      <w:pPr>
        <w:pStyle w:val="Heading2"/>
      </w:pPr>
      <w:r>
        <w:t>P2: The Creative Entrepreneur</w:t>
      </w:r>
    </w:p>
    <w:tbl>
      <w:tblPr>
        <w:tblStyle w:val="TableGrid"/>
        <w:tblW w:type="auto" w:w="0"/>
        <w:tblLook w:firstColumn="1" w:firstRow="1" w:lastColumn="0" w:lastRow="0" w:noHBand="0" w:noVBand="1" w:val="04A0"/>
      </w:tblPr>
      <w:tblGrid>
        <w:gridCol w:w="4320"/>
        <w:gridCol w:w="4320"/>
      </w:tblGrid>
      <w:tr>
        <w:tc>
          <w:tcPr>
            <w:tcW w:type="dxa" w:w="4320"/>
          </w:tcPr>
          <w:p>
            <w:r>
              <w:t>EMAIL 3 — DAY 21  |  THE CREATIVE ENTREPRENEUR</w:t>
            </w:r>
          </w:p>
        </w:tc>
        <w:tc>
          <w:tcPr>
            <w:tcW w:type="dxa" w:w="4320"/>
          </w:tcPr>
          <w:p>
            <w:r>
              <w:t>EMAIL 3 — DAY 21  |  THE CREATIVE ENTREPRENEUR</w:t>
            </w:r>
          </w:p>
        </w:tc>
      </w:tr>
      <w:tr>
        <w:tc>
          <w:tcPr>
            <w:tcW w:type="dxa" w:w="4320"/>
          </w:tcPr>
          <w:p>
            <w:r>
              <w:t>Email Objective</w:t>
            </w:r>
          </w:p>
        </w:tc>
        <w:tc>
          <w:tcPr>
            <w:tcW w:type="dxa" w:w="4320"/>
          </w:tcPr>
          <w:p>
            <w:r>
              <w:t>Protect the ritual. Frame subscription as never having to think about it again. Identity-affirming.</w:t>
            </w:r>
          </w:p>
        </w:tc>
      </w:tr>
      <w:tr>
        <w:tc>
          <w:tcPr>
            <w:tcW w:type="dxa" w:w="4320"/>
          </w:tcPr>
          <w:p>
            <w:r>
              <w:t>Subject Line Directions</w:t>
            </w:r>
          </w:p>
        </w:tc>
        <w:tc>
          <w:tcPr>
            <w:tcW w:type="dxa" w:w="4320"/>
          </w:tcPr>
          <w:p>
            <w:r>
              <w:t>Keep the ritual going</w:t>
              <w:br/>
              <w:t>Your routine is worth protecting</w:t>
              <w:br/>
              <w:t>Never run out of what is working</w:t>
            </w:r>
          </w:p>
        </w:tc>
      </w:tr>
      <w:tr>
        <w:tc>
          <w:tcPr>
            <w:tcW w:type="dxa" w:w="4320"/>
          </w:tcPr>
          <w:p>
            <w:r>
              <w:t>Preview Text Direction</w:t>
            </w:r>
          </w:p>
        </w:tc>
        <w:tc>
          <w:tcPr>
            <w:tcW w:type="dxa" w:w="4320"/>
          </w:tcPr>
          <w:p>
            <w:r>
              <w:t>Gentle and identity-affirming. Example: "Three weeks of something that is just yours. Here is how to keep it."</w:t>
            </w:r>
          </w:p>
        </w:tc>
      </w:tr>
      <w:tr>
        <w:tc>
          <w:tcPr>
            <w:tcW w:type="dxa" w:w="4320"/>
          </w:tcPr>
          <w:p>
            <w:r>
              <w:t>Primary Message</w:t>
            </w:r>
          </w:p>
        </w:tc>
        <w:tc>
          <w:tcPr>
            <w:tcW w:type="dxa" w:w="4320"/>
          </w:tcPr>
          <w:p>
            <w:r>
              <w:t>The ritual is working. Do not let it lapse because of logistics. Subscription is the simplest version of self-care: the thing that works shows up when it should. Frame it as removing friction from something worth protecting.</w:t>
            </w:r>
          </w:p>
        </w:tc>
      </w:tr>
      <w:tr>
        <w:tc>
          <w:tcPr>
            <w:tcW w:type="dxa" w:w="4320"/>
          </w:tcPr>
          <w:p>
            <w:r>
              <w:t>Content Block Structure</w:t>
            </w:r>
          </w:p>
        </w:tc>
        <w:tc>
          <w:tcPr>
            <w:tcW w:type="dxa" w:w="4320"/>
          </w:tcPr>
          <w:p>
            <w:r>
              <w:t>Hero: Three weeks in. Warm acknowledgment. "This has become part of how you start your day."</w:t>
              <w:br/>
              <w:br/>
              <w:t>DYNAMIC BLOCK (Secondary):</w:t>
              <w:br/>
              <w:t>SUBSCRIBER VERSION: Warm affirmation. You are already set. The ritual continues effortlessly. Reinforce the decision gently. CTA to account.</w:t>
              <w:br/>
              <w:t>NON-SUBSCRIBER VERSION: Subscription as ritual protection. Never run out framing. Skip or cancel anytime note. Single clear CTA.</w:t>
              <w:br/>
              <w:br/>
              <w:t>Tertiary: One short line connecting consistent clean nutrition to sustained creative clarity. Gentle close.</w:t>
            </w:r>
          </w:p>
        </w:tc>
      </w:tr>
      <w:tr>
        <w:tc>
          <w:tcPr>
            <w:tcW w:type="dxa" w:w="4320"/>
          </w:tcPr>
          <w:p>
            <w:r>
              <w:t>CTA Direction</w:t>
            </w:r>
          </w:p>
        </w:tc>
        <w:tc>
          <w:tcPr>
            <w:tcW w:type="dxa" w:w="4320"/>
          </w:tcPr>
          <w:p>
            <w:r>
              <w:t>"Never Run Out" (non-subscriber) / "Your Ritual Continues" (subscriber)</w:t>
            </w:r>
          </w:p>
        </w:tc>
      </w:tr>
      <w:tr>
        <w:tc>
          <w:tcPr>
            <w:tcW w:type="dxa" w:w="4320"/>
          </w:tcPr>
          <w:p>
            <w:r>
              <w:t>Tone Notes</w:t>
            </w:r>
          </w:p>
        </w:tc>
        <w:tc>
          <w:tcPr>
            <w:tcW w:type="dxa" w:w="4320"/>
          </w:tcPr>
          <w:p>
            <w:r>
              <w:t>Warm, gentle, identity-affirming. No urgency. No discount language.</w:t>
            </w:r>
          </w:p>
        </w:tc>
      </w:tr>
    </w:tbl>
    <w:p/>
    <w:p>
      <w:pPr>
        <w:pStyle w:val="Heading2"/>
      </w:pPr>
      <w:r>
        <w:t>P3: The Community Educator and Parent</w:t>
      </w:r>
    </w:p>
    <w:tbl>
      <w:tblPr>
        <w:tblStyle w:val="TableGrid"/>
        <w:tblW w:type="auto" w:w="0"/>
        <w:tblLook w:firstColumn="1" w:firstRow="1" w:lastColumn="0" w:lastRow="0" w:noHBand="0" w:noVBand="1" w:val="04A0"/>
      </w:tblPr>
      <w:tblGrid>
        <w:gridCol w:w="4320"/>
        <w:gridCol w:w="4320"/>
      </w:tblGrid>
      <w:tr>
        <w:tc>
          <w:tcPr>
            <w:tcW w:type="dxa" w:w="4320"/>
          </w:tcPr>
          <w:p>
            <w:r>
              <w:t>EMAIL 3 — DAY 21  |  THE COMMUNITY EDUCATOR AND PARENT</w:t>
            </w:r>
          </w:p>
        </w:tc>
        <w:tc>
          <w:tcPr>
            <w:tcW w:type="dxa" w:w="4320"/>
          </w:tcPr>
          <w:p>
            <w:r>
              <w:t>EMAIL 3 — DAY 21  |  THE COMMUNITY EDUCATOR AND PARENT</w:t>
            </w:r>
          </w:p>
        </w:tc>
      </w:tr>
      <w:tr>
        <w:tc>
          <w:tcPr>
            <w:tcW w:type="dxa" w:w="4320"/>
          </w:tcPr>
          <w:p>
            <w:r>
              <w:t>Email Objective</w:t>
            </w:r>
          </w:p>
        </w:tc>
        <w:tc>
          <w:tcPr>
            <w:tcW w:type="dxa" w:w="4320"/>
          </w:tcPr>
          <w:p>
            <w:r>
              <w:t>Reliability for the people who count on them. Frame consistency as showing up for others. Low-pressure.</w:t>
            </w:r>
          </w:p>
        </w:tc>
      </w:tr>
      <w:tr>
        <w:tc>
          <w:tcPr>
            <w:tcW w:type="dxa" w:w="4320"/>
          </w:tcPr>
          <w:p>
            <w:r>
              <w:t>Subject Line Directions</w:t>
            </w:r>
          </w:p>
        </w:tc>
        <w:tc>
          <w:tcPr>
            <w:tcW w:type="dxa" w:w="4320"/>
          </w:tcPr>
          <w:p>
            <w:r>
              <w:t>Stay consistent for the people who count on you</w:t>
              <w:br/>
              <w:t>Three weeks in. Keep going.</w:t>
              <w:br/>
              <w:t>Your routine is working. Do not let it lapse.</w:t>
            </w:r>
          </w:p>
        </w:tc>
      </w:tr>
      <w:tr>
        <w:tc>
          <w:tcPr>
            <w:tcW w:type="dxa" w:w="4320"/>
          </w:tcPr>
          <w:p>
            <w:r>
              <w:t>Preview Text Direction</w:t>
            </w:r>
          </w:p>
        </w:tc>
        <w:tc>
          <w:tcPr>
            <w:tcW w:type="dxa" w:w="4320"/>
          </w:tcPr>
          <w:p>
            <w:r>
              <w:t>Warm and community-centered. Example: "You show up for everyone else. This is one way to show up for yourself, consistently."</w:t>
            </w:r>
          </w:p>
        </w:tc>
      </w:tr>
      <w:tr>
        <w:tc>
          <w:tcPr>
            <w:tcW w:type="dxa" w:w="4320"/>
          </w:tcPr>
          <w:p>
            <w:r>
              <w:t>Primary Message</w:t>
            </w:r>
          </w:p>
        </w:tc>
        <w:tc>
          <w:tcPr>
            <w:tcW w:type="dxa" w:w="4320"/>
          </w:tcPr>
          <w:p>
            <w:r>
              <w:t>Three weeks is real progress. Immune support and sustained energy do not stop building. They compound with time. The people around you benefit when you stay consistent. Keep the supply going. This is not a luxury. It is maintenance.</w:t>
            </w:r>
          </w:p>
        </w:tc>
      </w:tr>
      <w:tr>
        <w:tc>
          <w:tcPr>
            <w:tcW w:type="dxa" w:w="4320"/>
          </w:tcPr>
          <w:p>
            <w:r>
              <w:t>Content Block Structure</w:t>
            </w:r>
          </w:p>
        </w:tc>
        <w:tc>
          <w:tcPr>
            <w:tcW w:type="dxa" w:w="4320"/>
          </w:tcPr>
          <w:p>
            <w:r>
              <w:t>Hero: Warm three-week acknowledgment. "You have been consistent. That matters."</w:t>
              <w:br/>
              <w:br/>
              <w:t>DYNAMIC BLOCK (Secondary):</w:t>
              <w:br/>
              <w:t>SUBSCRIBER VERSION: Warm affirmation. Reinforce they are already set. Thank them. CTA to account.</w:t>
              <w:br/>
              <w:t>NON-SUBSCRIBER VERSION: Never run out framing. Skip or cancel note. Framed around reliability for family and community. CTA to subscribe.</w:t>
              <w:br/>
              <w:br/>
              <w:t>Tertiary: Gentle closing. "You deserve this too." Short and warm. One or two sentences.</w:t>
            </w:r>
          </w:p>
        </w:tc>
      </w:tr>
      <w:tr>
        <w:tc>
          <w:tcPr>
            <w:tcW w:type="dxa" w:w="4320"/>
          </w:tcPr>
          <w:p>
            <w:r>
              <w:t>CTA Direction</w:t>
            </w:r>
          </w:p>
        </w:tc>
        <w:tc>
          <w:tcPr>
            <w:tcW w:type="dxa" w:w="4320"/>
          </w:tcPr>
          <w:p>
            <w:r>
              <w:t>"Keep Your Supply Going" (non-subscriber) / "You Are All Set" (subscriber)</w:t>
            </w:r>
          </w:p>
        </w:tc>
      </w:tr>
      <w:tr>
        <w:tc>
          <w:tcPr>
            <w:tcW w:type="dxa" w:w="4320"/>
          </w:tcPr>
          <w:p>
            <w:r>
              <w:t>Tone Notes</w:t>
            </w:r>
          </w:p>
        </w:tc>
        <w:tc>
          <w:tcPr>
            <w:tcW w:type="dxa" w:w="4320"/>
          </w:tcPr>
          <w:p>
            <w:r>
              <w:t>Nurturing, community-first. No performance language. No urgency. Simple and warm throughout.</w:t>
            </w:r>
          </w:p>
        </w:tc>
      </w:tr>
    </w:tbl>
    <w:p/>
    <w:p>
      <w:pPr>
        <w:pStyle w:val="Heading2"/>
      </w:pPr>
      <w:r>
        <w:t>P4: The Clinical Wellness Advocate</w:t>
      </w:r>
    </w:p>
    <w:tbl>
      <w:tblPr>
        <w:tblStyle w:val="TableGrid"/>
        <w:tblW w:type="auto" w:w="0"/>
        <w:tblLook w:firstColumn="1" w:firstRow="1" w:lastColumn="0" w:lastRow="0" w:noHBand="0" w:noVBand="1" w:val="04A0"/>
      </w:tblPr>
      <w:tblGrid>
        <w:gridCol w:w="4320"/>
        <w:gridCol w:w="4320"/>
      </w:tblGrid>
      <w:tr>
        <w:tc>
          <w:tcPr>
            <w:tcW w:type="dxa" w:w="4320"/>
          </w:tcPr>
          <w:p>
            <w:r>
              <w:t>EMAIL 3 — DAY 21  |  THE CLINICAL WELLNESS ADVOCATE</w:t>
            </w:r>
          </w:p>
        </w:tc>
        <w:tc>
          <w:tcPr>
            <w:tcW w:type="dxa" w:w="4320"/>
          </w:tcPr>
          <w:p>
            <w:r>
              <w:t>EMAIL 3 — DAY 21  |  THE CLINICAL WELLNESS ADVOCATE</w:t>
            </w:r>
          </w:p>
        </w:tc>
      </w:tr>
      <w:tr>
        <w:tc>
          <w:tcPr>
            <w:tcW w:type="dxa" w:w="4320"/>
          </w:tcPr>
          <w:p>
            <w:r>
              <w:t>Email Objective</w:t>
            </w:r>
          </w:p>
        </w:tc>
        <w:tc>
          <w:tcPr>
            <w:tcW w:type="dxa" w:w="4320"/>
          </w:tcPr>
          <w:p>
            <w:r>
              <w:t>Clinical consistency as protocol. Uninterrupted supplementation produces measurable outcomes. Professional, outcome-driven.</w:t>
            </w:r>
          </w:p>
        </w:tc>
      </w:tr>
      <w:tr>
        <w:tc>
          <w:tcPr>
            <w:tcW w:type="dxa" w:w="4320"/>
          </w:tcPr>
          <w:p>
            <w:r>
              <w:t>Subject Line Directions</w:t>
            </w:r>
          </w:p>
        </w:tc>
        <w:tc>
          <w:tcPr>
            <w:tcW w:type="dxa" w:w="4320"/>
          </w:tcPr>
          <w:p>
            <w:r>
              <w:t>Clinical consistency drives clinical results</w:t>
              <w:br/>
              <w:t>Do not interrupt the protocol</w:t>
              <w:br/>
              <w:t>Three weeks in. Maintain the regimen.</w:t>
            </w:r>
          </w:p>
        </w:tc>
      </w:tr>
      <w:tr>
        <w:tc>
          <w:tcPr>
            <w:tcW w:type="dxa" w:w="4320"/>
          </w:tcPr>
          <w:p>
            <w:r>
              <w:t>Preview Text Direction</w:t>
            </w:r>
          </w:p>
        </w:tc>
        <w:tc>
          <w:tcPr>
            <w:tcW w:type="dxa" w:w="4320"/>
          </w:tcPr>
          <w:p>
            <w:r>
              <w:t>Clinical and direct. Example: "Interrupted supplementation resets cellular baseline. Maintaining the protocol is the clinical decision."</w:t>
            </w:r>
          </w:p>
        </w:tc>
      </w:tr>
      <w:tr>
        <w:tc>
          <w:tcPr>
            <w:tcW w:type="dxa" w:w="4320"/>
          </w:tcPr>
          <w:p>
            <w:r>
              <w:t>Primary Message</w:t>
            </w:r>
          </w:p>
        </w:tc>
        <w:tc>
          <w:tcPr>
            <w:tcW w:type="dxa" w:w="4320"/>
          </w:tcPr>
          <w:p>
            <w:r>
              <w:t>Liposomal supplementation requires consistent dosing to maintain cellular saturation. A gap in the protocol means reestablishing baseline. For patients you may recommend this to, the message is the same: uninterrupted use produces measurable outcomes. Maintain the protocol.</w:t>
            </w:r>
          </w:p>
        </w:tc>
      </w:tr>
      <w:tr>
        <w:tc>
          <w:tcPr>
            <w:tcW w:type="dxa" w:w="4320"/>
          </w:tcPr>
          <w:p>
            <w:r>
              <w:t>Content Block Structure</w:t>
            </w:r>
          </w:p>
        </w:tc>
        <w:tc>
          <w:tcPr>
            <w:tcW w:type="dxa" w:w="4320"/>
          </w:tcPr>
          <w:p>
            <w:r>
              <w:t>Hero: Clinical three-week milestone. Brief acknowledgment. Tone: peer, not congratulatory.</w:t>
              <w:br/>
              <w:br/>
              <w:t>DYNAMIC BLOCK (Secondary):</w:t>
              <w:br/>
              <w:t>SUBSCRIBER VERSION: Acknowledge protocol maintained. Confirm cellular work is uninterrupted. CTA to account dashboard.</w:t>
              <w:br/>
              <w:t>NON-SUBSCRIBER VERSION: Interrupted supplementation data point. Cost of stopping and restarting. Skip or cancel framing. CTA to subscribe.</w:t>
              <w:br/>
              <w:br/>
              <w:t>Tertiary: Patient recommendation framing. Consistent liposomal use over 90 days is where outcomes become measurable. Builds recommendation confidence.</w:t>
            </w:r>
          </w:p>
        </w:tc>
      </w:tr>
      <w:tr>
        <w:tc>
          <w:tcPr>
            <w:tcW w:type="dxa" w:w="4320"/>
          </w:tcPr>
          <w:p>
            <w:r>
              <w:t>CTA Direction</w:t>
            </w:r>
          </w:p>
        </w:tc>
        <w:tc>
          <w:tcPr>
            <w:tcW w:type="dxa" w:w="4320"/>
          </w:tcPr>
          <w:p>
            <w:r>
              <w:t>"Maintain Your Protocol" (non-subscriber) / "Protocol Maintained" (subscriber)</w:t>
            </w:r>
          </w:p>
        </w:tc>
      </w:tr>
      <w:tr>
        <w:tc>
          <w:tcPr>
            <w:tcW w:type="dxa" w:w="4320"/>
          </w:tcPr>
          <w:p>
            <w:r>
              <w:t>Tone Notes</w:t>
            </w:r>
          </w:p>
        </w:tc>
        <w:tc>
          <w:tcPr>
            <w:tcW w:type="dxa" w:w="4320"/>
          </w:tcPr>
          <w:p>
            <w:r>
              <w:t>Professional, clinical, outcome-driven. No warmth. No lifestyle framing. Peer-level throughout.</w:t>
            </w:r>
          </w:p>
        </w:tc>
      </w:tr>
    </w:tbl>
    <w:p/>
    <w:p>
      <w:pPr>
        <w:pStyle w:val="Heading2"/>
      </w:pPr>
      <w:r>
        <w:t>P5: The Active Performance Optimizer</w:t>
      </w:r>
    </w:p>
    <w:tbl>
      <w:tblPr>
        <w:tblStyle w:val="TableGrid"/>
        <w:tblW w:type="auto" w:w="0"/>
        <w:tblLook w:firstColumn="1" w:firstRow="1" w:lastColumn="0" w:lastRow="0" w:noHBand="0" w:noVBand="1" w:val="04A0"/>
      </w:tblPr>
      <w:tblGrid>
        <w:gridCol w:w="4320"/>
        <w:gridCol w:w="4320"/>
      </w:tblGrid>
      <w:tr>
        <w:tc>
          <w:tcPr>
            <w:tcW w:type="dxa" w:w="4320"/>
          </w:tcPr>
          <w:p>
            <w:r>
              <w:t>EMAIL 3 — DAY 21  |  THE ACTIVE PERFORMANCE OPTIMIZER</w:t>
            </w:r>
          </w:p>
        </w:tc>
        <w:tc>
          <w:tcPr>
            <w:tcW w:type="dxa" w:w="4320"/>
          </w:tcPr>
          <w:p>
            <w:r>
              <w:t>EMAIL 3 — DAY 21  |  THE ACTIVE PERFORMANCE OPTIMIZER</w:t>
            </w:r>
          </w:p>
        </w:tc>
      </w:tr>
      <w:tr>
        <w:tc>
          <w:tcPr>
            <w:tcW w:type="dxa" w:w="4320"/>
          </w:tcPr>
          <w:p>
            <w:r>
              <w:t>Email Objective</w:t>
            </w:r>
          </w:p>
        </w:tc>
        <w:tc>
          <w:tcPr>
            <w:tcW w:type="dxa" w:w="4320"/>
          </w:tcPr>
          <w:p>
            <w:r>
              <w:t>Consistency is compounding recovery. Do not lose the progress built over three weeks. Coach-like energy.</w:t>
            </w:r>
          </w:p>
        </w:tc>
      </w:tr>
      <w:tr>
        <w:tc>
          <w:tcPr>
            <w:tcW w:type="dxa" w:w="4320"/>
          </w:tcPr>
          <w:p>
            <w:r>
              <w:t>Subject Line Directions</w:t>
            </w:r>
          </w:p>
        </w:tc>
        <w:tc>
          <w:tcPr>
            <w:tcW w:type="dxa" w:w="4320"/>
          </w:tcPr>
          <w:p>
            <w:r>
              <w:t>Do not lose the progress you have built</w:t>
              <w:br/>
              <w:t>Three weeks in. The compounding starts now.</w:t>
              <w:br/>
              <w:t>Stay in the stack.</w:t>
            </w:r>
          </w:p>
        </w:tc>
      </w:tr>
      <w:tr>
        <w:tc>
          <w:tcPr>
            <w:tcW w:type="dxa" w:w="4320"/>
          </w:tcPr>
          <w:p>
            <w:r>
              <w:t>Preview Text Direction</w:t>
            </w:r>
          </w:p>
        </w:tc>
        <w:tc>
          <w:tcPr>
            <w:tcW w:type="dxa" w:w="4320"/>
          </w:tcPr>
          <w:p>
            <w:r>
              <w:t>Motivating and direct. Example: "Three weeks of Curcumin and Resveratrol building in your system. Week four is where it compounds."</w:t>
            </w:r>
          </w:p>
        </w:tc>
      </w:tr>
      <w:tr>
        <w:tc>
          <w:tcPr>
            <w:tcW w:type="dxa" w:w="4320"/>
          </w:tcPr>
          <w:p>
            <w:r>
              <w:t>Primary Message</w:t>
            </w:r>
          </w:p>
        </w:tc>
        <w:tc>
          <w:tcPr>
            <w:tcW w:type="dxa" w:w="4320"/>
          </w:tcPr>
          <w:p>
            <w:r>
              <w:t>Three weeks of consistent anti-inflammatory support is not the peak. It is the foundation. The compounds are building in your system. Week four and beyond is where compounding recovery becomes measurable. A gap means starting over. Stay in the stack.</w:t>
            </w:r>
          </w:p>
        </w:tc>
      </w:tr>
      <w:tr>
        <w:tc>
          <w:tcPr>
            <w:tcW w:type="dxa" w:w="4320"/>
          </w:tcPr>
          <w:p>
            <w:r>
              <w:t>Content Block Structure</w:t>
            </w:r>
          </w:p>
        </w:tc>
        <w:tc>
          <w:tcPr>
            <w:tcW w:type="dxa" w:w="4320"/>
          </w:tcPr>
          <w:p>
            <w:r>
              <w:t>Hero: Three weeks. Performance validation. "You are building something. Do not stop now."</w:t>
              <w:br/>
              <w:br/>
              <w:t>DYNAMIC BLOCK (Secondary):</w:t>
              <w:br/>
              <w:t>SUBSCRIBER VERSION: You are locked in. Compounding continues. Brief acknowledgment. CTA to account.</w:t>
              <w:br/>
              <w:t>NON-SUBSCRIBER VERSION: What stops when you stop. Curcumin and Resveratrol leave the system in 1-2 weeks. Skip or cancel note. CTA to subscribe.</w:t>
              <w:br/>
              <w:br/>
              <w:t>Tertiary: Week 4-8 timeline. What to expect next. Performance framing. Bridges to long-term commitment.</w:t>
            </w:r>
          </w:p>
        </w:tc>
      </w:tr>
      <w:tr>
        <w:tc>
          <w:tcPr>
            <w:tcW w:type="dxa" w:w="4320"/>
          </w:tcPr>
          <w:p>
            <w:r>
              <w:t>CTA Direction</w:t>
            </w:r>
          </w:p>
        </w:tc>
        <w:tc>
          <w:tcPr>
            <w:tcW w:type="dxa" w:w="4320"/>
          </w:tcPr>
          <w:p>
            <w:r>
              <w:t>"Stay in the Stack" (non-subscriber) / "Locked In. Keep Going." (subscriber)</w:t>
            </w:r>
          </w:p>
        </w:tc>
      </w:tr>
      <w:tr>
        <w:tc>
          <w:tcPr>
            <w:tcW w:type="dxa" w:w="4320"/>
          </w:tcPr>
          <w:p>
            <w:r>
              <w:t>Tone Notes</w:t>
            </w:r>
          </w:p>
        </w:tc>
        <w:tc>
          <w:tcPr>
            <w:tcW w:type="dxa" w:w="4320"/>
          </w:tcPr>
          <w:p>
            <w:r>
              <w:t>Coach-like, motivating, direct. Performance language only. No lifestyle or ritual framing.</w:t>
            </w:r>
          </w:p>
        </w:tc>
      </w:tr>
    </w:tbl>
    <w:p/>
    <w:p>
      <w:pPr>
        <w:pStyle w:val="Heading2"/>
      </w:pPr>
      <w:r>
        <w:t>P6: The Skilled Trade and Industry Leader</w:t>
      </w:r>
    </w:p>
    <w:tbl>
      <w:tblPr>
        <w:tblStyle w:val="TableGrid"/>
        <w:tblW w:type="auto" w:w="0"/>
        <w:tblLook w:firstColumn="1" w:firstRow="1" w:lastColumn="0" w:lastRow="0" w:noHBand="0" w:noVBand="1" w:val="04A0"/>
      </w:tblPr>
      <w:tblGrid>
        <w:gridCol w:w="4320"/>
        <w:gridCol w:w="4320"/>
      </w:tblGrid>
      <w:tr>
        <w:tc>
          <w:tcPr>
            <w:tcW w:type="dxa" w:w="4320"/>
          </w:tcPr>
          <w:p>
            <w:r>
              <w:t>EMAIL 3 — DAY 21  |  THE SKILLED TRADE AND INDUSTRY LEADER</w:t>
            </w:r>
          </w:p>
        </w:tc>
        <w:tc>
          <w:tcPr>
            <w:tcW w:type="dxa" w:w="4320"/>
          </w:tcPr>
          <w:p>
            <w:r>
              <w:t>EMAIL 3 — DAY 21  |  THE SKILLED TRADE AND INDUSTRY LEADER</w:t>
            </w:r>
          </w:p>
        </w:tc>
      </w:tr>
      <w:tr>
        <w:tc>
          <w:tcPr>
            <w:tcW w:type="dxa" w:w="4320"/>
          </w:tcPr>
          <w:p>
            <w:r>
              <w:t>Email Objective</w:t>
            </w:r>
          </w:p>
        </w:tc>
        <w:tc>
          <w:tcPr>
            <w:tcW w:type="dxa" w:w="4320"/>
          </w:tcPr>
          <w:p>
            <w:r>
              <w:t>Running low? Simple. Do not let it run out. No restart needed. Lock it in.</w:t>
            </w:r>
          </w:p>
        </w:tc>
      </w:tr>
      <w:tr>
        <w:tc>
          <w:tcPr>
            <w:tcW w:type="dxa" w:w="4320"/>
          </w:tcPr>
          <w:p>
            <w:r>
              <w:t>Subject Line Directions</w:t>
            </w:r>
          </w:p>
        </w:tc>
        <w:tc>
          <w:tcPr>
            <w:tcW w:type="dxa" w:w="4320"/>
          </w:tcPr>
          <w:p>
            <w:r>
              <w:t>Running low? Do not let it run out.</w:t>
              <w:br/>
              <w:t>Three weeks in. Lock it in.</w:t>
              <w:br/>
              <w:t>Simple. Keep it going.</w:t>
            </w:r>
          </w:p>
        </w:tc>
      </w:tr>
      <w:tr>
        <w:tc>
          <w:tcPr>
            <w:tcW w:type="dxa" w:w="4320"/>
          </w:tcPr>
          <w:p>
            <w:r>
              <w:t>Preview Text Direction</w:t>
            </w:r>
          </w:p>
        </w:tc>
        <w:tc>
          <w:tcPr>
            <w:tcW w:type="dxa" w:w="4320"/>
          </w:tcPr>
          <w:p>
            <w:r>
              <w:t>Blunt and practical. Example: "You are three weeks in. Do not start over."</w:t>
            </w:r>
          </w:p>
        </w:tc>
      </w:tr>
      <w:tr>
        <w:tc>
          <w:tcPr>
            <w:tcW w:type="dxa" w:w="4320"/>
          </w:tcPr>
          <w:p>
            <w:r>
              <w:t>Primary Message</w:t>
            </w:r>
          </w:p>
        </w:tc>
        <w:tc>
          <w:tcPr>
            <w:tcW w:type="dxa" w:w="4320"/>
          </w:tcPr>
          <w:p>
            <w:r>
              <w:t>You are three weeks in. The joint support is building. Do not let it run out and start over. Lock in a subscription and forget about it. Skip or cancel anytime. Just do not let it reset.</w:t>
            </w:r>
          </w:p>
        </w:tc>
      </w:tr>
      <w:tr>
        <w:tc>
          <w:tcPr>
            <w:tcW w:type="dxa" w:w="4320"/>
          </w:tcPr>
          <w:p>
            <w:r>
              <w:t>Content Block Structure</w:t>
            </w:r>
          </w:p>
        </w:tc>
        <w:tc>
          <w:tcPr>
            <w:tcW w:type="dxa" w:w="4320"/>
          </w:tcPr>
          <w:p>
            <w:r>
              <w:t>Hero: Three weeks. Short, direct. "Good. Keep going."</w:t>
              <w:br/>
              <w:br/>
              <w:t>DYNAMIC BLOCK (Secondary):</w:t>
              <w:br/>
              <w:t>SUBSCRIBER VERSION: You are sorted. Keep going. CTA to account. Two sentences maximum.</w:t>
              <w:br/>
              <w:t>NON-SUBSCRIBER VERSION: Do not start over framing. Subscription means locked in. Skip or cancel note. Cost-per-day in plain language. CTA to subscribe.</w:t>
              <w:br/>
              <w:br/>
              <w:t>Tertiary: One line only. No extra content needed for this persona.</w:t>
            </w:r>
          </w:p>
        </w:tc>
      </w:tr>
      <w:tr>
        <w:tc>
          <w:tcPr>
            <w:tcW w:type="dxa" w:w="4320"/>
          </w:tcPr>
          <w:p>
            <w:r>
              <w:t>CTA Direction</w:t>
            </w:r>
          </w:p>
        </w:tc>
        <w:tc>
          <w:tcPr>
            <w:tcW w:type="dxa" w:w="4320"/>
          </w:tcPr>
          <w:p>
            <w:r>
              <w:t>"Lock It In" (non-subscriber) / "You Are Sorted" (subscriber)</w:t>
            </w:r>
          </w:p>
        </w:tc>
      </w:tr>
      <w:tr>
        <w:tc>
          <w:tcPr>
            <w:tcW w:type="dxa" w:w="4320"/>
          </w:tcPr>
          <w:p>
            <w:r>
              <w:t>Tone Notes</w:t>
            </w:r>
          </w:p>
        </w:tc>
        <w:tc>
          <w:tcPr>
            <w:tcW w:type="dxa" w:w="4320"/>
          </w:tcPr>
          <w:p>
            <w:r>
              <w:t>Blunt, short, zero decoration. Straight talk. If it sounds like a wellness newsletter, rewrite it.</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