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t>Post Purchase Flow — Email Briefs v1</w:t>
      </w:r>
    </w:p>
    <w:p>
      <w:r>
        <w:t>DigitsUp x Rho Nutrition  |  All 6 Personas  |  Day 8: Product Education + Results Timeline</w:t>
      </w:r>
    </w:p>
    <w:p>
      <w:pPr>
        <w:pStyle w:val="Heading2"/>
      </w:pPr>
      <w:r>
        <w:t>P1: The High-Performance Executive</w:t>
      </w:r>
    </w:p>
    <w:tbl>
      <w:tblPr>
        <w:tblStyle w:val="TableGrid"/>
        <w:tblW w:type="auto" w:w="0"/>
        <w:tblLook w:firstColumn="1" w:firstRow="1" w:lastColumn="0" w:lastRow="0" w:noHBand="0" w:noVBand="1" w:val="04A0"/>
      </w:tblPr>
      <w:tblGrid>
        <w:gridCol w:w="4320"/>
        <w:gridCol w:w="4320"/>
      </w:tblGrid>
      <w:tr>
        <w:tc>
          <w:tcPr>
            <w:tcW w:type="dxa" w:w="4320"/>
          </w:tcPr>
          <w:p>
            <w:r>
              <w:t>EMAIL 2 — DAY 8  |  THE HIGH-PERFORMANCE EXECUTIVE</w:t>
            </w:r>
          </w:p>
        </w:tc>
        <w:tc>
          <w:tcPr>
            <w:tcW w:type="dxa" w:w="4320"/>
          </w:tcPr>
          <w:p>
            <w:r>
              <w:t>EMAIL 2 — DAY 8  |  THE HIGH-PERFORMANCE EXECUTIVE</w:t>
            </w:r>
          </w:p>
        </w:tc>
      </w:tr>
      <w:tr>
        <w:tc>
          <w:tcPr>
            <w:tcW w:type="dxa" w:w="4320"/>
          </w:tcPr>
          <w:p>
            <w:r>
              <w:t>Email Objective</w:t>
            </w:r>
          </w:p>
        </w:tc>
        <w:tc>
          <w:tcPr>
            <w:tcW w:type="dxa" w:w="4320"/>
          </w:tcPr>
          <w:p>
            <w:r>
              <w:t>Validate the decision with data. One week in, explain what NAD+ is doing at the cellular level. Build belief through science, not testimonials.</w:t>
            </w:r>
          </w:p>
        </w:tc>
      </w:tr>
      <w:tr>
        <w:tc>
          <w:tcPr>
            <w:tcW w:type="dxa" w:w="4320"/>
          </w:tcPr>
          <w:p>
            <w:r>
              <w:t>Subject Line Directions</w:t>
            </w:r>
          </w:p>
        </w:tc>
        <w:tc>
          <w:tcPr>
            <w:tcW w:type="dxa" w:w="4320"/>
          </w:tcPr>
          <w:p>
            <w:r>
              <w:t>What NAD+ is doing right now</w:t>
              <w:br/>
              <w:t>The cellular results you cannot see yet</w:t>
              <w:br/>
              <w:t>One week in. Here is what is happening.</w:t>
            </w:r>
          </w:p>
        </w:tc>
      </w:tr>
      <w:tr>
        <w:tc>
          <w:tcPr>
            <w:tcW w:type="dxa" w:w="4320"/>
          </w:tcPr>
          <w:p>
            <w:r>
              <w:t>Preview Text Direction</w:t>
            </w:r>
          </w:p>
        </w:tc>
        <w:tc>
          <w:tcPr>
            <w:tcW w:type="dxa" w:w="4320"/>
          </w:tcPr>
          <w:p>
            <w:r>
              <w:t>Direct, data-led. Example: "Cellular energy, cognitive clarity, compounding results. The science behind what you are feeling."</w:t>
            </w:r>
          </w:p>
        </w:tc>
      </w:tr>
      <w:tr>
        <w:tc>
          <w:tcPr>
            <w:tcW w:type="dxa" w:w="4320"/>
          </w:tcPr>
          <w:p>
            <w:r>
              <w:t>Primary Message</w:t>
            </w:r>
          </w:p>
        </w:tc>
        <w:tc>
          <w:tcPr>
            <w:tcW w:type="dxa" w:w="4320"/>
          </w:tcPr>
          <w:p>
            <w:r>
              <w:t>At the cellular level, NAD+ is repairing DNA, fueling mitochondria, and supporting cognitive function. The results compound. Explain the mechanism briefly, confirm they are ahead of most people, and reinforce daily consistency as the performance variable.</w:t>
            </w:r>
          </w:p>
        </w:tc>
      </w:tr>
      <w:tr>
        <w:tc>
          <w:tcPr>
            <w:tcW w:type="dxa" w:w="4320"/>
          </w:tcPr>
          <w:p>
            <w:r>
              <w:t>Content Block Structure</w:t>
            </w:r>
          </w:p>
        </w:tc>
        <w:tc>
          <w:tcPr>
            <w:tcW w:type="dxa" w:w="4320"/>
          </w:tcPr>
          <w:p>
            <w:r>
              <w:t>Hero: Week one validation, data-led. Brief acknowledgment of decision quality.</w:t>
              <w:br/>
              <w:t>Secondary: What NAD+ does at the cellular level. 2-3 sentences, precise. Mitochondrial function, DNA repair, cognitive support.</w:t>
              <w:br/>
              <w:t>Secondary: Liposomal delivery vs capsules. Why absorption matters and what they chose over standard formats.</w:t>
              <w:br/>
              <w:t>Tertiary: Compounding timeline. Week 2, 4, 8. Frame as ROI curve. Ends with: consistency is the protocol.</w:t>
            </w:r>
          </w:p>
        </w:tc>
      </w:tr>
      <w:tr>
        <w:tc>
          <w:tcPr>
            <w:tcW w:type="dxa" w:w="4320"/>
          </w:tcPr>
          <w:p>
            <w:r>
              <w:t>CTA Direction</w:t>
            </w:r>
          </w:p>
        </w:tc>
        <w:tc>
          <w:tcPr>
            <w:tcW w:type="dxa" w:w="4320"/>
          </w:tcPr>
          <w:p>
            <w:r>
              <w:t>"Read the Science" or "See the Research" — evidence-driven, no urgency.</w:t>
            </w:r>
          </w:p>
        </w:tc>
      </w:tr>
      <w:tr>
        <w:tc>
          <w:tcPr>
            <w:tcW w:type="dxa" w:w="4320"/>
          </w:tcPr>
          <w:p>
            <w:r>
              <w:t>Tone Notes</w:t>
            </w:r>
          </w:p>
        </w:tc>
        <w:tc>
          <w:tcPr>
            <w:tcW w:type="dxa" w:w="4320"/>
          </w:tcPr>
          <w:p>
            <w:r>
              <w:t>Data-led, efficient, precise. No enthusiasm. No wellness language. Boardroom voice throughout.</w:t>
            </w:r>
          </w:p>
        </w:tc>
      </w:tr>
    </w:tbl>
    <w:p/>
    <w:p>
      <w:pPr>
        <w:pStyle w:val="Heading2"/>
      </w:pPr>
      <w:r>
        <w:t>P2: The Creative Entrepreneur</w:t>
      </w:r>
    </w:p>
    <w:tbl>
      <w:tblPr>
        <w:tblStyle w:val="TableGrid"/>
        <w:tblW w:type="auto" w:w="0"/>
        <w:tblLook w:firstColumn="1" w:firstRow="1" w:lastColumn="0" w:lastRow="0" w:noHBand="0" w:noVBand="1" w:val="04A0"/>
      </w:tblPr>
      <w:tblGrid>
        <w:gridCol w:w="4320"/>
        <w:gridCol w:w="4320"/>
      </w:tblGrid>
      <w:tr>
        <w:tc>
          <w:tcPr>
            <w:tcW w:type="dxa" w:w="4320"/>
          </w:tcPr>
          <w:p>
            <w:r>
              <w:t>EMAIL 2 — DAY 8  |  THE CREATIVE ENTREPRENEUR</w:t>
            </w:r>
          </w:p>
        </w:tc>
        <w:tc>
          <w:tcPr>
            <w:tcW w:type="dxa" w:w="4320"/>
          </w:tcPr>
          <w:p>
            <w:r>
              <w:t>EMAIL 2 — DAY 8  |  THE CREATIVE ENTREPRENEUR</w:t>
            </w:r>
          </w:p>
        </w:tc>
      </w:tr>
      <w:tr>
        <w:tc>
          <w:tcPr>
            <w:tcW w:type="dxa" w:w="4320"/>
          </w:tcPr>
          <w:p>
            <w:r>
              <w:t>Email Objective</w:t>
            </w:r>
          </w:p>
        </w:tc>
        <w:tc>
          <w:tcPr>
            <w:tcW w:type="dxa" w:w="4320"/>
          </w:tcPr>
          <w:p>
            <w:r>
              <w:t>Connect clean ingredients to mental clarity and creative output. One week in — validate what they may be noticing. Build ingredient transparency as a brand value.</w:t>
            </w:r>
          </w:p>
        </w:tc>
      </w:tr>
      <w:tr>
        <w:tc>
          <w:tcPr>
            <w:tcW w:type="dxa" w:w="4320"/>
          </w:tcPr>
          <w:p>
            <w:r>
              <w:t>Subject Line Directions</w:t>
            </w:r>
          </w:p>
        </w:tc>
        <w:tc>
          <w:tcPr>
            <w:tcW w:type="dxa" w:w="4320"/>
          </w:tcPr>
          <w:p>
            <w:r>
              <w:t>Clean ingredients for a clear mind</w:t>
              <w:br/>
              <w:t>One week in. What are you noticing?</w:t>
              <w:br/>
              <w:t>The label that says exactly what it is.</w:t>
            </w:r>
          </w:p>
        </w:tc>
      </w:tr>
      <w:tr>
        <w:tc>
          <w:tcPr>
            <w:tcW w:type="dxa" w:w="4320"/>
          </w:tcPr>
          <w:p>
            <w:r>
              <w:t>Preview Text Direction</w:t>
            </w:r>
          </w:p>
        </w:tc>
        <w:tc>
          <w:tcPr>
            <w:tcW w:type="dxa" w:w="4320"/>
          </w:tcPr>
          <w:p>
            <w:r>
              <w:t>Warm and reflective. Example: "What is inside, why it matters, and what a week of clean nutrition can quietly shift."</w:t>
            </w:r>
          </w:p>
        </w:tc>
      </w:tr>
      <w:tr>
        <w:tc>
          <w:tcPr>
            <w:tcW w:type="dxa" w:w="4320"/>
          </w:tcPr>
          <w:p>
            <w:r>
              <w:t>Primary Message</w:t>
            </w:r>
          </w:p>
        </w:tc>
        <w:tc>
          <w:tcPr>
            <w:tcW w:type="dxa" w:w="4320"/>
          </w:tcPr>
          <w:p>
            <w:r>
              <w:t>Clean label. No fillers, no synthetics, no surprises. Walk through the key ingredients in a way that feels like brand storytelling, not a clinical breakdown. NAD+ for mental sharpness. Glutathione for cellular clarity. It fits the way they live.</w:t>
            </w:r>
          </w:p>
        </w:tc>
      </w:tr>
      <w:tr>
        <w:tc>
          <w:tcPr>
            <w:tcW w:type="dxa" w:w="4320"/>
          </w:tcPr>
          <w:p>
            <w:r>
              <w:t>Content Block Structure</w:t>
            </w:r>
          </w:p>
        </w:tc>
        <w:tc>
          <w:tcPr>
            <w:tcW w:type="dxa" w:w="4320"/>
          </w:tcPr>
          <w:p>
            <w:r>
              <w:t>Hero: One week check-in. Warm, curious. "What are you noticing?" Gentle, not clinical.</w:t>
              <w:br/>
              <w:t>Secondary: Ingredient transparency. Key compounds named, one line each, lifestyle framing. NAD+, Glutathione, Vitamin C.</w:t>
              <w:br/>
              <w:t>Secondary: Clean label philosophy. What is not in Rho is as important as what is. No fillers, no synthetics.</w:t>
              <w:br/>
              <w:t>Tertiary: Connection to creative work. Mental clarity, sustained energy, no crash. Short and reflective.</w:t>
            </w:r>
          </w:p>
        </w:tc>
      </w:tr>
      <w:tr>
        <w:tc>
          <w:tcPr>
            <w:tcW w:type="dxa" w:w="4320"/>
          </w:tcPr>
          <w:p>
            <w:r>
              <w:t>CTA Direction</w:t>
            </w:r>
          </w:p>
        </w:tc>
        <w:tc>
          <w:tcPr>
            <w:tcW w:type="dxa" w:w="4320"/>
          </w:tcPr>
          <w:p>
            <w:r>
              <w:t>"See What Is Inside" — feels like an invitation, not an instruction.</w:t>
            </w:r>
          </w:p>
        </w:tc>
      </w:tr>
      <w:tr>
        <w:tc>
          <w:tcPr>
            <w:tcW w:type="dxa" w:w="4320"/>
          </w:tcPr>
          <w:p>
            <w:r>
              <w:t>Tone Notes</w:t>
            </w:r>
          </w:p>
        </w:tc>
        <w:tc>
          <w:tcPr>
            <w:tcW w:type="dxa" w:w="4320"/>
          </w:tcPr>
          <w:p>
            <w:r>
              <w:t>Considered, honest, artisan. Reads like a brand they already love. No clinical language. No mass-market wellness.</w:t>
            </w:r>
          </w:p>
        </w:tc>
      </w:tr>
    </w:tbl>
    <w:p/>
    <w:p>
      <w:pPr>
        <w:pStyle w:val="Heading2"/>
      </w:pPr>
      <w:r>
        <w:t>P3: The Community Educator and Parent</w:t>
      </w:r>
    </w:p>
    <w:tbl>
      <w:tblPr>
        <w:tblStyle w:val="TableGrid"/>
        <w:tblW w:type="auto" w:w="0"/>
        <w:tblLook w:firstColumn="1" w:firstRow="1" w:lastColumn="0" w:lastRow="0" w:noHBand="0" w:noVBand="1" w:val="04A0"/>
      </w:tblPr>
      <w:tblGrid>
        <w:gridCol w:w="4320"/>
        <w:gridCol w:w="4320"/>
      </w:tblGrid>
      <w:tr>
        <w:tc>
          <w:tcPr>
            <w:tcW w:type="dxa" w:w="4320"/>
          </w:tcPr>
          <w:p>
            <w:r>
              <w:t>EMAIL 2 — DAY 8  |  THE COMMUNITY EDUCATOR AND PARENT</w:t>
            </w:r>
          </w:p>
        </w:tc>
        <w:tc>
          <w:tcPr>
            <w:tcW w:type="dxa" w:w="4320"/>
          </w:tcPr>
          <w:p>
            <w:r>
              <w:t>EMAIL 2 — DAY 8  |  THE COMMUNITY EDUCATOR AND PARENT</w:t>
            </w:r>
          </w:p>
        </w:tc>
      </w:tr>
      <w:tr>
        <w:tc>
          <w:tcPr>
            <w:tcW w:type="dxa" w:w="4320"/>
          </w:tcPr>
          <w:p>
            <w:r>
              <w:t>Email Objective</w:t>
            </w:r>
          </w:p>
        </w:tc>
        <w:tc>
          <w:tcPr>
            <w:tcW w:type="dxa" w:w="4320"/>
          </w:tcPr>
          <w:p>
            <w:r>
              <w:t>Reinforce immune support and safety. One week in — acknowledge the high-demand environment they work in. Build trust through ingredient transparency and founder mission.</w:t>
            </w:r>
          </w:p>
        </w:tc>
      </w:tr>
      <w:tr>
        <w:tc>
          <w:tcPr>
            <w:tcW w:type="dxa" w:w="4320"/>
          </w:tcPr>
          <w:p>
            <w:r>
              <w:t>Subject Line Directions</w:t>
            </w:r>
          </w:p>
        </w:tc>
        <w:tc>
          <w:tcPr>
            <w:tcW w:type="dxa" w:w="4320"/>
          </w:tcPr>
          <w:p>
            <w:r>
              <w:t>Immune support built for your world</w:t>
              <w:br/>
              <w:t>One week in. Keep going.</w:t>
              <w:br/>
              <w:t>The ingredients you can trust.</w:t>
            </w:r>
          </w:p>
        </w:tc>
      </w:tr>
      <w:tr>
        <w:tc>
          <w:tcPr>
            <w:tcW w:type="dxa" w:w="4320"/>
          </w:tcPr>
          <w:p>
            <w:r>
              <w:t>Preview Text Direction</w:t>
            </w:r>
          </w:p>
        </w:tc>
        <w:tc>
          <w:tcPr>
            <w:tcW w:type="dxa" w:w="4320"/>
          </w:tcPr>
          <w:p>
            <w:r>
              <w:t>Warm and affirming. Example: "You are around a lot of people every day. Here is what Rho is doing on your behalf."</w:t>
            </w:r>
          </w:p>
        </w:tc>
      </w:tr>
      <w:tr>
        <w:tc>
          <w:tcPr>
            <w:tcW w:type="dxa" w:w="4320"/>
          </w:tcPr>
          <w:p>
            <w:r>
              <w:t>Primary Message</w:t>
            </w:r>
          </w:p>
        </w:tc>
        <w:tc>
          <w:tcPr>
            <w:tcW w:type="dxa" w:w="4320"/>
          </w:tcPr>
          <w:p>
            <w:r>
              <w:t>High-contact environments demand stronger immune support. Glutathione is the body's master antioxidant. Vitamin C supports immune response. This is not about performance. It is about staying well so you can keep showing up. Founder mission reinforces trust.</w:t>
            </w:r>
          </w:p>
        </w:tc>
      </w:tr>
      <w:tr>
        <w:tc>
          <w:tcPr>
            <w:tcW w:type="dxa" w:w="4320"/>
          </w:tcPr>
          <w:p>
            <w:r>
              <w:t>Content Block Structure</w:t>
            </w:r>
          </w:p>
        </w:tc>
        <w:tc>
          <w:tcPr>
            <w:tcW w:type="dxa" w:w="4320"/>
          </w:tcPr>
          <w:p>
            <w:r>
              <w:t>Hero: One week warm check-in. "You are doing it. Keep going." Acknowledges effort, not performance.</w:t>
              <w:br/>
              <w:t>Secondary: Immune support callout. Glutathione + Vitamin C, explained simply and warmly. No jargon.</w:t>
              <w:br/>
              <w:t>Secondary: Clean and safe ingredients. No harmful additives. Founder story in 2 sentences. Trust-building, human.</w:t>
              <w:br/>
              <w:t>Tertiary: Gentle encouragement to stick with the routine for cumulative benefit. Framed around showing up for others.</w:t>
            </w:r>
          </w:p>
        </w:tc>
      </w:tr>
      <w:tr>
        <w:tc>
          <w:tcPr>
            <w:tcW w:type="dxa" w:w="4320"/>
          </w:tcPr>
          <w:p>
            <w:r>
              <w:t>CTA Direction</w:t>
            </w:r>
          </w:p>
        </w:tc>
        <w:tc>
          <w:tcPr>
            <w:tcW w:type="dxa" w:w="4320"/>
          </w:tcPr>
          <w:p>
            <w:r>
              <w:t>"Learn What Is Inside" — warm, reassuring, low-pressure.</w:t>
            </w:r>
          </w:p>
        </w:tc>
      </w:tr>
      <w:tr>
        <w:tc>
          <w:tcPr>
            <w:tcW w:type="dxa" w:w="4320"/>
          </w:tcPr>
          <w:p>
            <w:r>
              <w:t>Tone Notes</w:t>
            </w:r>
          </w:p>
        </w:tc>
        <w:tc>
          <w:tcPr>
            <w:tcW w:type="dxa" w:w="4320"/>
          </w:tcPr>
          <w:p>
            <w:r>
              <w:t>Community, care, trust. No performance framing. Simple language throughout. Human first.</w:t>
            </w:r>
          </w:p>
        </w:tc>
      </w:tr>
    </w:tbl>
    <w:p/>
    <w:p>
      <w:pPr>
        <w:pStyle w:val="Heading2"/>
      </w:pPr>
      <w:r>
        <w:t>P4: The Clinical Wellness Advocate</w:t>
      </w:r>
    </w:p>
    <w:tbl>
      <w:tblPr>
        <w:tblStyle w:val="TableGrid"/>
        <w:tblW w:type="auto" w:w="0"/>
        <w:tblLook w:firstColumn="1" w:firstRow="1" w:lastColumn="0" w:lastRow="0" w:noHBand="0" w:noVBand="1" w:val="04A0"/>
      </w:tblPr>
      <w:tblGrid>
        <w:gridCol w:w="4320"/>
        <w:gridCol w:w="4320"/>
      </w:tblGrid>
      <w:tr>
        <w:tc>
          <w:tcPr>
            <w:tcW w:type="dxa" w:w="4320"/>
          </w:tcPr>
          <w:p>
            <w:r>
              <w:t>EMAIL 2 — DAY 8  |  THE CLINICAL WELLNESS ADVOCATE</w:t>
            </w:r>
          </w:p>
        </w:tc>
        <w:tc>
          <w:tcPr>
            <w:tcW w:type="dxa" w:w="4320"/>
          </w:tcPr>
          <w:p>
            <w:r>
              <w:t>EMAIL 2 — DAY 8  |  THE CLINICAL WELLNESS ADVOCATE</w:t>
            </w:r>
          </w:p>
        </w:tc>
      </w:tr>
      <w:tr>
        <w:tc>
          <w:tcPr>
            <w:tcW w:type="dxa" w:w="4320"/>
          </w:tcPr>
          <w:p>
            <w:r>
              <w:t>Email Objective</w:t>
            </w:r>
          </w:p>
        </w:tc>
        <w:tc>
          <w:tcPr>
            <w:tcW w:type="dxa" w:w="4320"/>
          </w:tcPr>
          <w:p>
            <w:r>
              <w:t>Go deep on the bioavailability science. Peer-level education on liposomal delivery vs standard oral supplements. Validate their recommendation confidence.</w:t>
            </w:r>
          </w:p>
        </w:tc>
      </w:tr>
      <w:tr>
        <w:tc>
          <w:tcPr>
            <w:tcW w:type="dxa" w:w="4320"/>
          </w:tcPr>
          <w:p>
            <w:r>
              <w:t>Subject Line Directions</w:t>
            </w:r>
          </w:p>
        </w:tc>
        <w:tc>
          <w:tcPr>
            <w:tcW w:type="dxa" w:w="4320"/>
          </w:tcPr>
          <w:p>
            <w:r>
              <w:t>The bioavailability difference, by the numbers</w:t>
              <w:br/>
              <w:t>Liposomal delivery: what the research shows</w:t>
              <w:br/>
              <w:t>One week in. The mechanism is working.</w:t>
            </w:r>
          </w:p>
        </w:tc>
      </w:tr>
      <w:tr>
        <w:tc>
          <w:tcPr>
            <w:tcW w:type="dxa" w:w="4320"/>
          </w:tcPr>
          <w:p>
            <w:r>
              <w:t>Preview Text Direction</w:t>
            </w:r>
          </w:p>
        </w:tc>
        <w:tc>
          <w:tcPr>
            <w:tcW w:type="dxa" w:w="4320"/>
          </w:tcPr>
          <w:p>
            <w:r>
              <w:t>Clinical and precise. Example: "Phospholipid encapsulation, absorption rates, and why liposomal is the standard your patients deserve."</w:t>
            </w:r>
          </w:p>
        </w:tc>
      </w:tr>
      <w:tr>
        <w:tc>
          <w:tcPr>
            <w:tcW w:type="dxa" w:w="4320"/>
          </w:tcPr>
          <w:p>
            <w:r>
              <w:t>Primary Message</w:t>
            </w:r>
          </w:p>
        </w:tc>
        <w:tc>
          <w:tcPr>
            <w:tcW w:type="dxa" w:w="4320"/>
          </w:tcPr>
          <w:p>
            <w:r>
              <w:t>Standard oral supplements lose significant potency before reaching target cells. Liposomal encapsulation using phospholipid bilayers protects active compounds through the GI tract and delivers them at the cellular level. The data is clear. This is the formulation worth recommending.</w:t>
            </w:r>
          </w:p>
        </w:tc>
      </w:tr>
      <w:tr>
        <w:tc>
          <w:tcPr>
            <w:tcW w:type="dxa" w:w="4320"/>
          </w:tcPr>
          <w:p>
            <w:r>
              <w:t>Content Block Structure</w:t>
            </w:r>
          </w:p>
        </w:tc>
        <w:tc>
          <w:tcPr>
            <w:tcW w:type="dxa" w:w="4320"/>
          </w:tcPr>
          <w:p>
            <w:r>
              <w:t>Hero: Peer acknowledgment. "One week in. The mechanism is active." Clinical, no congratulations.</w:t>
              <w:br/>
              <w:t>Secondary: Liposomal vs standard. Absorption comparison, mechanism explained with correct terminology: phospholipid bilayer, hepatic bypass, cellular uptake.</w:t>
              <w:br/>
              <w:t>Secondary: Key compounds and clinical significance. Glutathione (antioxidant capacity, detoxification), NAD+ (mitochondrial function, DNA repair), Curcumin (NF-kB pathway, anti-inflammatory).</w:t>
              <w:br/>
              <w:t>Tertiary: Patient recommendation framing. What to tell patients. Why this formulation supports clinical outcomes. Confidence-building for the clinician.</w:t>
            </w:r>
          </w:p>
        </w:tc>
      </w:tr>
      <w:tr>
        <w:tc>
          <w:tcPr>
            <w:tcW w:type="dxa" w:w="4320"/>
          </w:tcPr>
          <w:p>
            <w:r>
              <w:t>CTA Direction</w:t>
            </w:r>
          </w:p>
        </w:tc>
        <w:tc>
          <w:tcPr>
            <w:tcW w:type="dxa" w:w="4320"/>
          </w:tcPr>
          <w:p>
            <w:r>
              <w:t>"Read the Research" — evidence-driven, peer-appropriate.</w:t>
            </w:r>
          </w:p>
        </w:tc>
      </w:tr>
      <w:tr>
        <w:tc>
          <w:tcPr>
            <w:tcW w:type="dxa" w:w="4320"/>
          </w:tcPr>
          <w:p>
            <w:r>
              <w:t>Tone Notes</w:t>
            </w:r>
          </w:p>
        </w:tc>
        <w:tc>
          <w:tcPr>
            <w:tcW w:type="dxa" w:w="4320"/>
          </w:tcPr>
          <w:p>
            <w:r>
              <w:t>Peer-level throughout. Correct terminology only. No simplification. No enthusiasm. Precise and confident.</w:t>
            </w:r>
          </w:p>
        </w:tc>
      </w:tr>
    </w:tbl>
    <w:p/>
    <w:p>
      <w:pPr>
        <w:pStyle w:val="Heading2"/>
      </w:pPr>
      <w:r>
        <w:t>P5: The Active Performance Optimizer</w:t>
      </w:r>
    </w:p>
    <w:tbl>
      <w:tblPr>
        <w:tblStyle w:val="TableGrid"/>
        <w:tblW w:type="auto" w:w="0"/>
        <w:tblLook w:firstColumn="1" w:firstRow="1" w:lastColumn="0" w:lastRow="0" w:noHBand="0" w:noVBand="1" w:val="04A0"/>
      </w:tblPr>
      <w:tblGrid>
        <w:gridCol w:w="4320"/>
        <w:gridCol w:w="4320"/>
      </w:tblGrid>
      <w:tr>
        <w:tc>
          <w:tcPr>
            <w:tcW w:type="dxa" w:w="4320"/>
          </w:tcPr>
          <w:p>
            <w:r>
              <w:t>EMAIL 2 — DAY 8  |  THE ACTIVE PERFORMANCE OPTIMIZER</w:t>
            </w:r>
          </w:p>
        </w:tc>
        <w:tc>
          <w:tcPr>
            <w:tcW w:type="dxa" w:w="4320"/>
          </w:tcPr>
          <w:p>
            <w:r>
              <w:t>EMAIL 2 — DAY 8  |  THE ACTIVE PERFORMANCE OPTIMIZER</w:t>
            </w:r>
          </w:p>
        </w:tc>
      </w:tr>
      <w:tr>
        <w:tc>
          <w:tcPr>
            <w:tcW w:type="dxa" w:w="4320"/>
          </w:tcPr>
          <w:p>
            <w:r>
              <w:t>Email Objective</w:t>
            </w:r>
          </w:p>
        </w:tc>
        <w:tc>
          <w:tcPr>
            <w:tcW w:type="dxa" w:w="4320"/>
          </w:tcPr>
          <w:p>
            <w:r>
              <w:t>Validate the physical signals they may be noticing. Explain what Curcumin and Resveratrol are doing inside joints and muscles. Build belief through mechanism, not testimonial.</w:t>
            </w:r>
          </w:p>
        </w:tc>
      </w:tr>
      <w:tr>
        <w:tc>
          <w:tcPr>
            <w:tcW w:type="dxa" w:w="4320"/>
          </w:tcPr>
          <w:p>
            <w:r>
              <w:t>Subject Line Directions</w:t>
            </w:r>
          </w:p>
        </w:tc>
        <w:tc>
          <w:tcPr>
            <w:tcW w:type="dxa" w:w="4320"/>
          </w:tcPr>
          <w:p>
            <w:r>
              <w:t>What Curcumin is doing inside your joints</w:t>
              <w:br/>
              <w:t>One week in. Here is what is happening.</w:t>
              <w:br/>
              <w:t>The anti-inflammatory science behind your recovery.</w:t>
            </w:r>
          </w:p>
        </w:tc>
      </w:tr>
      <w:tr>
        <w:tc>
          <w:tcPr>
            <w:tcW w:type="dxa" w:w="4320"/>
          </w:tcPr>
          <w:p>
            <w:r>
              <w:t>Preview Text Direction</w:t>
            </w:r>
          </w:p>
        </w:tc>
        <w:tc>
          <w:tcPr>
            <w:tcW w:type="dxa" w:w="4320"/>
          </w:tcPr>
          <w:p>
            <w:r>
              <w:t>Active and direct. Example: "Curcumin, Resveratrol, inflammation pathways, and what consistent use means for your next session."</w:t>
            </w:r>
          </w:p>
        </w:tc>
      </w:tr>
      <w:tr>
        <w:tc>
          <w:tcPr>
            <w:tcW w:type="dxa" w:w="4320"/>
          </w:tcPr>
          <w:p>
            <w:r>
              <w:t>Primary Message</w:t>
            </w:r>
          </w:p>
        </w:tc>
        <w:tc>
          <w:tcPr>
            <w:tcW w:type="dxa" w:w="4320"/>
          </w:tcPr>
          <w:p>
            <w:r>
              <w:t>Curcumin inhibits inflammatory pathways at the molecular level. Resveratrol supports mitochondrial function and reduces oxidative stress. In a liposomal format, these compounds actually reach the tissues where you need them. One week is not the peak. It is the start of compounding recovery.</w:t>
            </w:r>
          </w:p>
        </w:tc>
      </w:tr>
      <w:tr>
        <w:tc>
          <w:tcPr>
            <w:tcW w:type="dxa" w:w="4320"/>
          </w:tcPr>
          <w:p>
            <w:r>
              <w:t>Content Block Structure</w:t>
            </w:r>
          </w:p>
        </w:tc>
        <w:tc>
          <w:tcPr>
            <w:tcW w:type="dxa" w:w="4320"/>
          </w:tcPr>
          <w:p>
            <w:r>
              <w:t>Hero: One week in validation. "You might be noticing something. Here is the science behind it." Direct, no fluff.</w:t>
              <w:br/>
              <w:t>Secondary: Curcumin mechanism. NF-kB pathway, joint inflammation, why liposomal matters for bioavailability. Performance-first framing.</w:t>
              <w:br/>
              <w:t>Secondary: Resveratrol. Mitochondrial function, oxidative stress, recovery speed. Active, coach-like language.</w:t>
              <w:br/>
              <w:t>Tertiary: Compounding recovery timeline. Week 2, 4, 8. What to expect physically. Validates what they are already feeling.</w:t>
            </w:r>
          </w:p>
        </w:tc>
      </w:tr>
      <w:tr>
        <w:tc>
          <w:tcPr>
            <w:tcW w:type="dxa" w:w="4320"/>
          </w:tcPr>
          <w:p>
            <w:r>
              <w:t>CTA Direction</w:t>
            </w:r>
          </w:p>
        </w:tc>
        <w:tc>
          <w:tcPr>
            <w:tcW w:type="dxa" w:w="4320"/>
          </w:tcPr>
          <w:p>
            <w:r>
              <w:t>"See the Science Behind Recovery" — active and peer-level.</w:t>
            </w:r>
          </w:p>
        </w:tc>
      </w:tr>
      <w:tr>
        <w:tc>
          <w:tcPr>
            <w:tcW w:type="dxa" w:w="4320"/>
          </w:tcPr>
          <w:p>
            <w:r>
              <w:t>Tone Notes</w:t>
            </w:r>
          </w:p>
        </w:tc>
        <w:tc>
          <w:tcPr>
            <w:tcW w:type="dxa" w:w="4320"/>
          </w:tcPr>
          <w:p>
            <w:r>
              <w:t>Knowledgeable, energetic, direct. Results and recovery are the only currencies. No lifestyle language.</w:t>
            </w:r>
          </w:p>
        </w:tc>
      </w:tr>
    </w:tbl>
    <w:p/>
    <w:p>
      <w:pPr>
        <w:pStyle w:val="Heading2"/>
      </w:pPr>
      <w:r>
        <w:t>P6: The Skilled Trade and Industry Leader</w:t>
      </w:r>
    </w:p>
    <w:tbl>
      <w:tblPr>
        <w:tblStyle w:val="TableGrid"/>
        <w:tblW w:type="auto" w:w="0"/>
        <w:tblLook w:firstColumn="1" w:firstRow="1" w:lastColumn="0" w:lastRow="0" w:noHBand="0" w:noVBand="1" w:val="04A0"/>
      </w:tblPr>
      <w:tblGrid>
        <w:gridCol w:w="4320"/>
        <w:gridCol w:w="4320"/>
      </w:tblGrid>
      <w:tr>
        <w:tc>
          <w:tcPr>
            <w:tcW w:type="dxa" w:w="4320"/>
          </w:tcPr>
          <w:p>
            <w:r>
              <w:t>EMAIL 2 — DAY 8  |  THE SKILLED TRADE AND INDUSTRY LEADER</w:t>
            </w:r>
          </w:p>
        </w:tc>
        <w:tc>
          <w:tcPr>
            <w:tcW w:type="dxa" w:w="4320"/>
          </w:tcPr>
          <w:p>
            <w:r>
              <w:t>EMAIL 2 — DAY 8  |  THE SKILLED TRADE AND INDUSTRY LEADER</w:t>
            </w:r>
          </w:p>
        </w:tc>
      </w:tr>
      <w:tr>
        <w:tc>
          <w:tcPr>
            <w:tcW w:type="dxa" w:w="4320"/>
          </w:tcPr>
          <w:p>
            <w:r>
              <w:t>Email Objective</w:t>
            </w:r>
          </w:p>
        </w:tc>
        <w:tc>
          <w:tcPr>
            <w:tcW w:type="dxa" w:w="4320"/>
          </w:tcPr>
          <w:p>
            <w:r>
              <w:t>Explain why this works when other supplements did not. Liposomal vs standard in plain money language. Validate joint health support for physical demands. Keep it short and credible.</w:t>
            </w:r>
          </w:p>
        </w:tc>
      </w:tr>
      <w:tr>
        <w:tc>
          <w:tcPr>
            <w:tcW w:type="dxa" w:w="4320"/>
          </w:tcPr>
          <w:p>
            <w:r>
              <w:t>Subject Line Directions</w:t>
            </w:r>
          </w:p>
        </w:tc>
        <w:tc>
          <w:tcPr>
            <w:tcW w:type="dxa" w:w="4320"/>
          </w:tcPr>
          <w:p>
            <w:r>
              <w:t>Why this works when others do not</w:t>
              <w:br/>
              <w:t>One week in. Here is what to expect next.</w:t>
              <w:br/>
              <w:t>The difference you paid for, explained plainly.</w:t>
            </w:r>
          </w:p>
        </w:tc>
      </w:tr>
      <w:tr>
        <w:tc>
          <w:tcPr>
            <w:tcW w:type="dxa" w:w="4320"/>
          </w:tcPr>
          <w:p>
            <w:r>
              <w:t>Preview Text Direction</w:t>
            </w:r>
          </w:p>
        </w:tc>
        <w:tc>
          <w:tcPr>
            <w:tcW w:type="dxa" w:w="4320"/>
          </w:tcPr>
          <w:p>
            <w:r>
              <w:t>Blunt and practical. Example: "Most supplements never make it to where you need them. Here is why Rho does."</w:t>
            </w:r>
          </w:p>
        </w:tc>
      </w:tr>
      <w:tr>
        <w:tc>
          <w:tcPr>
            <w:tcW w:type="dxa" w:w="4320"/>
          </w:tcPr>
          <w:p>
            <w:r>
              <w:t>Primary Message</w:t>
            </w:r>
          </w:p>
        </w:tc>
        <w:tc>
          <w:tcPr>
            <w:tcW w:type="dxa" w:w="4320"/>
          </w:tcPr>
          <w:p>
            <w:r>
              <w:t>Most supplements pass through without absorbing. Liposomal means the nutrients actually get into your bloodstream. Joint support from Curcumin takes a few weeks to build. That is normal. Keep going. You are not wasting your money.</w:t>
            </w:r>
          </w:p>
        </w:tc>
      </w:tr>
      <w:tr>
        <w:tc>
          <w:tcPr>
            <w:tcW w:type="dxa" w:w="4320"/>
          </w:tcPr>
          <w:p>
            <w:r>
              <w:t>Content Block Structure</w:t>
            </w:r>
          </w:p>
        </w:tc>
        <w:tc>
          <w:tcPr>
            <w:tcW w:type="dxa" w:w="4320"/>
          </w:tcPr>
          <w:p>
            <w:r>
              <w:t>Hero: Straight talk. "One week in. Here is what is happening." Short. No buildup.</w:t>
              <w:br/>
              <w:t>Secondary: Liposomal explained simply. One short paragraph. Framed as: your money is actually working. No scientific jargon.</w:t>
              <w:br/>
              <w:t>Secondary: Joint health timeline. Curcumin takes 2-4 weeks to feel it. Honest, no hype. Sets expectations accurately.</w:t>
              <w:br/>
              <w:t>Tertiary: Simple encouragement. Stick with it. That is the whole message. One or two sentences maximum.</w:t>
            </w:r>
          </w:p>
        </w:tc>
      </w:tr>
      <w:tr>
        <w:tc>
          <w:tcPr>
            <w:tcW w:type="dxa" w:w="4320"/>
          </w:tcPr>
          <w:p>
            <w:r>
              <w:t>CTA Direction</w:t>
            </w:r>
          </w:p>
        </w:tc>
        <w:tc>
          <w:tcPr>
            <w:tcW w:type="dxa" w:w="4320"/>
          </w:tcPr>
          <w:p>
            <w:r>
              <w:t>"See Why It Is Different" — plain, direct.</w:t>
            </w:r>
          </w:p>
        </w:tc>
      </w:tr>
      <w:tr>
        <w:tc>
          <w:tcPr>
            <w:tcW w:type="dxa" w:w="4320"/>
          </w:tcPr>
          <w:p>
            <w:r>
              <w:t>Tone Notes</w:t>
            </w:r>
          </w:p>
        </w:tc>
        <w:tc>
          <w:tcPr>
            <w:tcW w:type="dxa" w:w="4320"/>
          </w:tcPr>
          <w:p>
            <w:r>
              <w:t>Straight, credible, practical. Zero lifestyle language. Short sentences. No wellness newsletter energy.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