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A1A1A"/>
          <w:sz w:val="52"/>
        </w:rPr>
        <w:t>Rho Nutrition</w:t>
      </w:r>
    </w:p>
    <w:p>
      <w:pPr>
        <w:spacing w:before="0" w:after="40"/>
      </w:pPr>
      <w:r>
        <w:rPr>
          <w:rFonts w:ascii="Calibri" w:hAnsi="Calibri"/>
          <w:b/>
          <w:color w:val="333333"/>
          <w:sz w:val="26"/>
        </w:rPr>
        <w:t>Post Purchase Flow Briefs  |  The Community Educator and Parent</w:t>
      </w:r>
    </w:p>
    <w:p>
      <w:pPr>
        <w:spacing w:before="0" w:after="40"/>
      </w:pPr>
      <w:r>
        <w:rPr>
          <w:rFonts w:ascii="Calibri" w:hAnsi="Calibri"/>
          <w:color w:val="666666"/>
          <w:sz w:val="22"/>
        </w:rPr>
        <w:t>Emails 1, 2 + 3  |  Day 3 / Day 8 / Day 21</w:t>
      </w:r>
    </w:p>
    <w:p>
      <w:pPr>
        <w:spacing w:before="0" w:after="400"/>
      </w:pPr>
      <w:r>
        <w:rPr>
          <w:rFonts w:ascii="Calibri" w:hAnsi="Calibri"/>
          <w:i/>
          <w:color w:val="666666"/>
          <w:sz w:val="20"/>
        </w:rPr>
        <w:t>DigitsUp x Rho Nutrition  |  Outersignal Project</w:t>
      </w: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1 — DAY 3  |  THE COMMUNITY EDUCATOR AND PARENT</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Make the customer feel good about their decision. Reassuring usage instructions. Reinforce that this is a safe, trusted product built for real people with full lives.</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You made a good choice for yourself / Here is how to get started with Rho / Simple steps for your new daily routine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Warm and affirming. Example: 'You deserve this. Here is how to make it work for your day.'</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Between students, family, and everything else they carry, this is one thing that is just for them. Lead with warmth. Reinforce safety, simplicity, and the founder mission. One serving. That is all.</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Warm welcome. Acknowledge how much they give. This is for them.</w:t>
              <w:br/>
              <w:br/>
              <w:t>Secondary: Simple usage instructions — broad and universal. One serving in the morning, with or without food. No jargon. Tone is warm and encouraging, not clinical or product-specific.</w:t>
              <w:br/>
              <w:br/>
              <w:t>Secondary: Safety and trust block. Clean ingredients. Founder mission (2 sentences). Built for real families.</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Encouraging and low-pressure. 'Start Your Routine Today.' Feels like a nudge from a trusted friend.</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Human, warm, reassuring. No science-heavy language. No performance framing. This persona responds to trust and community.</w:t>
            </w:r>
          </w:p>
        </w:tc>
      </w:tr>
    </w:tbl>
    <w:p>
      <w:pPr>
        <w:spacing w:before="0" w:after="160"/>
      </w:pPr>
    </w:p>
    <w:p>
      <w:pPr>
        <w:spacing w:before="200" w:after="200"/>
        <w:pBdr>
          <w:bottom w:val="single" w:sz="6" w:space="1" w:color="CCCCCC"/>
        </w:pBdr>
      </w:pPr>
    </w:p>
    <w:p>
      <w:pPr>
        <w:spacing w:before="80"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2 — DAY 8  |  THE COMMUNITY EDUCATOR AND PARENT</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Reinforce immune support and safety. One week in — acknowledge the high-demand environment they work in. Build trust through ingredient transparency and founder mission.</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Immune support built for your world / One week in. Keep going. / The ingredients you can trust.</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Warm and affirming. Example: "You are around a lot of people every day. Here is what Rho is doing on your behalf."</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High-contact environments demand stronger immune support. Glutathione is the body's master antioxidant. Vitamin C supports immune response. This is not about performance. It is about staying well so you can keep showing up. Founder mission reinforces trust.</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One week warm check-in. "You are doing it. Keep going." Acknowledges effort, not performance.</w:t>
              <w:br/>
              <w:br/>
              <w:t>Secondary: Immune support callout. Glutathione + Vitamin C, explained simply and warmly. No jargon.</w:t>
              <w:br/>
              <w:br/>
              <w:t>Secondary: Clean and safe ingredients. No harmful additives. Founder story in 2 sentences. Trust-building.</w:t>
              <w:br/>
              <w:br/>
              <w:t>Secondary: Gentle consistency encouragement.</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"Learn What Is Inside" — warm, reassuring, low-pressure.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Community, care, trust. No performance framing. Simple language throughout. Human first.</w:t>
            </w:r>
          </w:p>
        </w:tc>
      </w:tr>
    </w:tbl>
    <w:p>
      <w:pPr>
        <w:spacing w:before="0" w:after="160"/>
      </w:pPr>
    </w:p>
    <w:p>
      <w:pPr>
        <w:spacing w:before="200" w:after="200"/>
        <w:pBdr>
          <w:bottom w:val="single" w:sz="6" w:space="1" w:color="CCCCCC"/>
        </w:pBdr>
      </w:pPr>
    </w:p>
    <w:p>
      <w:pPr>
        <w:spacing w:before="80" w:after="80"/>
      </w:pPr>
    </w:p>
    <w:tbl>
      <w:tblPr>
        <w:tblStyle w:val="TableGrid"/>
        <w:tblW w:type="auto" w:w="0"/>
        <w:jc w:val="left"/>
        <w:tblLook w:firstColumn="1" w:firstRow="1" w:lastColumn="0" w:lastRow="0" w:noHBand="0" w:noVBand="1" w:val="04A0"/>
      </w:tblPr>
      <w:tblGrid>
        <w:gridCol w:w="9406"/>
      </w:tblGrid>
      <w:tr>
        <w:tc>
          <w:tcPr>
            <w:tcW w:type="dxa" w:w="9406"/>
            <w:shd w:val="clear" w:color="auto" w:fill="1A1A1A"/>
            <w:tcBorders>
              <w:top w:val="single" w:sz="4" w:space="0" w:color="1A1A1A"/>
              <w:bottom w:val="single" w:sz="4" w:space="0" w:color="1A1A1A"/>
              <w:left w:val="single" w:sz="4" w:space="0" w:color="1A1A1A"/>
              <w:right w:val="single" w:sz="4" w:space="0" w:color="1A1A1A"/>
            </w:tcBorders>
          </w:tcPr>
          <w:p>
            <w:pPr>
              <w:spacing w:before="120" w:after="120"/>
              <w:ind w:left="160"/>
            </w:pPr>
            <w:r>
              <w:rPr>
                <w:rFonts w:ascii="Calibri" w:hAnsi="Calibri"/>
                <w:b/>
                <w:color w:val="FFFFFF"/>
                <w:sz w:val="22"/>
              </w:rPr>
              <w:t>EMAIL 3 — DAY 21  |  THE COMMUNITY EDUCATOR AND PARENT</w:t>
            </w:r>
          </w:p>
        </w:tc>
      </w:tr>
    </w:tbl>
    <w:p>
      <w:pPr>
        <w:spacing w:before="0" w:after="120"/>
      </w:pPr>
    </w:p>
    <w:tbl>
      <w:tblPr>
        <w:tblStyle w:val="TableGrid"/>
        <w:tblW w:type="auto" w:w="0"/>
        <w:jc w:val="left"/>
        <w:tblLook w:firstColumn="1" w:firstRow="1" w:lastColumn="0" w:lastRow="0" w:noHBand="0" w:noVBand="1" w:val="04A0"/>
      </w:tblPr>
      <w:tblGrid>
        <w:gridCol w:w="4703"/>
        <w:gridCol w:w="4703"/>
      </w:tblGrid>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Email Objective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Reliability for the people who count on them. Frame consistency as showing up for others. Low-pressure.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Subject Line Directions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Stay consistent for the people who count on you / Three weeks in. Keep going. / Your routine is working. Do not let it lapse.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Preview Text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Warm and community-centered. Example: "You show up for everyone else. This is one way to show up for yourself, consistently."</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Primary Message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Three weeks is real progress. Immune support and sustained energy do not stop building. They compound with time. The people around you benefit when you stay consistent. Keep the supply going. This is not a luxury. It is maintenance.</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Content Block Structure</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Hero: Warm three-week acknowledgment. "You have been consistent. That matters."</w:t>
              <w:br/>
              <w:br/>
              <w:t>DYNAMIC BLOCK (Secondary):</w:t>
              <w:br/>
              <w:br/>
              <w:t>SUBSCRIBER VERSION: Warm affirmation. Reinforce they are already set. Thank them. CTA to account.</w:t>
              <w:br/>
              <w:br/>
              <w:t>NON-SUBSCRIBER VERSION: Never run out framing. Skip or cancel note. Framed around reliability and showing up for others. Warm, not transactional.</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CTA Direction</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"Keep Your Supply Going" (non-subscriber) / "You Are All Set" (subscriber)</w:t>
            </w:r>
          </w:p>
        </w:tc>
      </w:tr>
      <w:tr>
        <w:trPr/>
        <w:tc>
          <w:tcPr>
            <w:tcW w:type="dxa" w:w="2736"/>
            <w:shd w:val="clear" w:color="auto" w:fill="F2F2F2"/>
            <w:tcBorders>
              <w:top w:val="single" w:sz="4" w:space="0" w:color="CCCCCC"/>
              <w:bottom w:val="single" w:sz="4" w:space="0" w:color="CCCCCC"/>
              <w:left w:val="single" w:sz="4" w:space="0" w:color="CCCCCC"/>
              <w:right w:val="single" w:sz="4" w:space="0" w:color="CCCCCC"/>
            </w:tcBorders>
          </w:tcPr>
          <w:p>
            <w:pPr>
              <w:spacing w:before="80" w:after="80"/>
              <w:ind w:left="120"/>
            </w:pPr>
            <w:r>
              <w:rPr>
                <w:rFonts w:ascii="Calibri" w:hAnsi="Calibri"/>
                <w:b/>
                <w:color w:val="1A1A1A"/>
                <w:sz w:val="19"/>
              </w:rPr>
              <w:t>Tone Notes</w:t>
            </w:r>
          </w:p>
        </w:tc>
        <w:tc>
          <w:tcPr>
            <w:tcW w:type="dxa" w:w="6768"/>
            <w:tcBorders>
              <w:top w:val="single" w:sz="4" w:space="0" w:color="CCCCCC"/>
              <w:bottom w:val="single" w:sz="4" w:space="0" w:color="CCCCCC"/>
              <w:left w:val="single" w:sz="4" w:space="0" w:color="CCCCCC"/>
              <w:right w:val="single" w:sz="4" w:space="0" w:color="CCCCCC"/>
            </w:tcBorders>
          </w:tcPr>
          <w:p>
            <w:pPr>
              <w:spacing w:before="80" w:after="80"/>
              <w:ind w:left="120" w:right="120"/>
            </w:pPr>
            <w:r>
              <w:rPr>
                <w:rFonts w:ascii="Calibri" w:hAnsi="Calibri"/>
                <w:color w:val="333333"/>
                <w:sz w:val="19"/>
              </w:rPr>
              <w:t>Nurturing, community-first. No performance language. No urgency. Simple and warm throughout.</w:t>
            </w:r>
          </w:p>
        </w:tc>
      </w:tr>
    </w:tbl>
    <w:p>
      <w:pPr>
        <w:spacing w:before="0" w:after="160"/>
      </w:pP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