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1A1A"/>
          <w:sz w:val="52"/>
        </w:rPr>
        <w:t>Rho Nutrition</w:t>
      </w:r>
    </w:p>
    <w:p>
      <w:pPr>
        <w:spacing w:before="0" w:after="40"/>
      </w:pPr>
      <w:r>
        <w:rPr>
          <w:rFonts w:ascii="Calibri" w:hAnsi="Calibri"/>
          <w:b/>
          <w:color w:val="333333"/>
          <w:sz w:val="26"/>
        </w:rPr>
        <w:t>Post Purchase Flow Briefs  |  The Clinical Wellness Advocate</w:t>
      </w:r>
    </w:p>
    <w:p>
      <w:pPr>
        <w:spacing w:before="0" w:after="40"/>
      </w:pPr>
      <w:r>
        <w:rPr>
          <w:rFonts w:ascii="Calibri" w:hAnsi="Calibri"/>
          <w:color w:val="666666"/>
          <w:sz w:val="22"/>
        </w:rPr>
        <w:t>Emails 1, 2 + 3  |  Day 3 / Day 8 / Day 21</w:t>
      </w:r>
    </w:p>
    <w:p>
      <w:pPr>
        <w:spacing w:before="0" w:after="400"/>
      </w:pPr>
      <w:r>
        <w:rPr>
          <w:rFonts w:ascii="Calibri" w:hAnsi="Calibri"/>
          <w:i/>
          <w:color w:val="666666"/>
          <w:sz w:val="20"/>
        </w:rPr>
        <w:t>DigitsUp x Rho Nutrition  |  Outersignal Project</w:t>
      </w: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1 — DAY 3  |  THE CLINICAL WELLNESS ADVOCATE</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Confirm the clinical rationale for their purchase. Provide precise dosing and timing guidance. Acknowledge their expertise. Confirm they made the right call.</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Your liposomal protocol is active / Dosing, timing, and what to expect from day one / The formulation you chose. Here is how to use it correctly.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Clinical and direct. Example: 'Optimal absorption window, full formulation breakdown, and what to monitor.'</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They understand bioavailability. They chose liposomal for a reason. Confirm they were right and give them the clinical detail they expect: dosing, timing, absorption, key compounds. Peer-level throughout.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Peer-level acknowledgment. 'You already know what liposomal means. Here is how to use Rho correctly.'</w:t>
              <w:br/>
              <w:br/>
              <w:t>Secondary: Dosing and timing — broad and universal. Morning timing, consistency, absorption window. Do not prescribe product-specific instructions since formulations vary. Stay at the protocol level.</w:t>
              <w:br/>
              <w:br/>
              <w:t>Secondary: Liposomal delivery brief callout. 2 sentences. Correct terminology.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Evidence-driven. 'View the Full Formulation.' Invites them deeper without overselling.</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Peer-level. Use correct terminology: bioavailability, liposomal, phospholipid, cellular absorption. Confident and precise. Never dumbed down. Never enthusiastic.</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2 — DAY 8  |  THE CLINICAL WELLNESS ADVOCATE</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Go deep on the bioavailability science. Peer-level education on liposomal delivery vs standard oral supplements. Validate their recommendation confidence.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The bioavailability difference, by the numbers / Liposomal delivery: what the research shows / One week in. The mechanism is working.</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Clinical and precise. Example: "Phospholipid encapsulation, absorption rates, and why liposomal is the standard your patients deserve."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Standard oral supplements lose significant potency before reaching target cells. Liposomal encapsulation using phospholipid bilayers protects active compounds through the GI tract and delivers them at the cellular level. The data is clear. This is the formulation worth recommending.</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Peer acknowledgment. "One week in. The mechanism is active." Clinical, no congratulations.</w:t>
              <w:br/>
              <w:br/>
              <w:t>Secondary: Liposomal vs standard. Absorption comparison, mechanism explained with correct terminology: phospholipid bilayer, hepatic bypass, cellular uptake.</w:t>
              <w:br/>
              <w:br/>
              <w:t>Secondary: Key compounds and clinical significance. Brief, precise, named correctly.</w:t>
              <w:br/>
              <w:br/>
              <w:t>Secondary: Consistency framing. Uninterrupted dosing maintains cellular saturation.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"Read the Research" — evidence-driven, peer-appropriate.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Peer-level throughout. Correct terminology only. No simplification. No enthusiasm. Precise and confident.</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3 — DAY 21  |  THE CLINICAL WELLNESS ADVOCATE</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Clinical consistency as protocol. Uninterrupted supplementation produces measurable outcomes. Professional, outcome-driven.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Clinical consistency drives clinical results / Do not interrupt the protocol / Three weeks in. Maintain the regimen.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Clinical and direct. Example: "Interrupted supplementation resets cellular baseline. Maintaining the protocol is the clinical decision."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Liposomal supplementation requires consistent dosing to maintain cellular saturation. A gap in the protocol means reestablishing baseline. For patients you may recommend this to, the message is the same: uninterrupted use produces measurable outcomes. Maintain the protocol.</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Clinical three-week milestone. Brief acknowledgment. Tone: peer, not congratulatory.</w:t>
              <w:br/>
              <w:br/>
              <w:t>DYNAMIC BLOCK (Secondary):</w:t>
              <w:br/>
              <w:br/>
              <w:t>SUBSCRIBER VERSION: Acknowledge protocol maintained. Confirm cellular work is uninterrupted. CTA to account dashboard.</w:t>
              <w:br/>
              <w:br/>
              <w:t>NON-SUBSCRIBER VERSION: Interrupted supplementation data point. What resets when dosing stops. Subscription = protocol continuity. Clinical rationale for uninterrupted supply. Skip or cancel framed clinically.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"Maintain Your Protocol" (non-subscriber) / "Protocol Maintained" (subscriber)</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Professional, clinical, outcome-driven. No warmth. No lifestyle framing. Peer-level throughout.</w:t>
            </w:r>
          </w:p>
        </w:tc>
      </w:tr>
    </w:tbl>
    <w:p>
      <w:pPr>
        <w:spacing w:before="0" w:after="16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