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1A1A"/>
          <w:sz w:val="52"/>
        </w:rPr>
        <w:t>Rho Nutrition</w:t>
      </w:r>
    </w:p>
    <w:p>
      <w:pPr>
        <w:spacing w:before="0" w:after="40"/>
      </w:pPr>
      <w:r>
        <w:rPr>
          <w:rFonts w:ascii="Calibri" w:hAnsi="Calibri"/>
          <w:b/>
          <w:color w:val="333333"/>
          <w:sz w:val="26"/>
        </w:rPr>
        <w:t>Post Purchase Flow Briefs  |  The Active Performance Optimizer</w:t>
      </w:r>
    </w:p>
    <w:p>
      <w:pPr>
        <w:spacing w:before="0" w:after="40"/>
      </w:pPr>
      <w:r>
        <w:rPr>
          <w:rFonts w:ascii="Calibri" w:hAnsi="Calibri"/>
          <w:color w:val="666666"/>
          <w:sz w:val="22"/>
        </w:rPr>
        <w:t>Emails 1, 2 + 3  |  Day 3 / Day 8 / Day 21</w:t>
      </w:r>
    </w:p>
    <w:p>
      <w:pPr>
        <w:spacing w:before="0" w:after="400"/>
      </w:pPr>
      <w:r>
        <w:rPr>
          <w:rFonts w:ascii="Calibri" w:hAnsi="Calibri"/>
          <w:i/>
          <w:color w:val="666666"/>
          <w:sz w:val="20"/>
        </w:rPr>
        <w:t>DigitsUp x Rho Nutrition  |  Outersignal Project</w:t>
      </w: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1 — DAY 3  |  THE ACTIVE PERFORMANCE OPTIMIZER</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Connect Rho directly to their training and recovery routine. Frame day one as the start of a performance system. Give them a clear, actionable stacking protocol.</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Recovery starts with day one / Here is how to stack Rho into your routine / Day one. The protocol begins.</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Action-oriented. Example: 'Morning timing, anti-inflammatory support, and what you should start noticing by week two.'</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Recovery is not what happens after training. It is the system built before the next session. Rho fits into that system. Morning timing, consistent daily use, Curcumin and Resveratrol doing their work.</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Performance framing. 'Recovery does not start after the session. It starts here.'</w:t>
              <w:br/>
              <w:br/>
              <w:t>Secondary: Stacking protocol — broad and universal. When to take it, why morning timing matters for anti-inflammatory support. Do not prescribe product-specific usage since formulations vary across the Rho line. Keep it at the system level.</w:t>
              <w:br/>
              <w:br/>
              <w:t>Secondary: Brief ingredient callout. Curcumin + Resveratrol for recovery framing. 2-3 sentences.</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Active and peer-level. 'Add It to Your Stack.' Sounds like advice from a trusted coach, not a brand.</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Knowledgeable, direct, energetic. Results and recovery are the only currencies. No lifestyle language. No ritual framing.</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2 — DAY 8  |  THE ACTIVE PERFORMANCE OPTIMIZER</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Validate the physical signals they may be noticing. Explain what Curcumin and Resveratrol are doing inside joints and muscles. Build belief through mechanism, not testimonial.</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What Curcumin is doing inside your joints / One week in. Here is what is happening. / The anti-inflammatory science behind your recovery.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Active and direct. Example: "Curcumin, Resveratrol, inflammation pathways, and what consistent use means for your next session."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Curcumin inhibits inflammatory pathways at the molecular level. Resveratrol supports mitochondrial function and reduces oxidative stress. In a liposomal format, these compounds actually reach the tissues where you need them. One week is not the peak. It is the start of compounding recovery.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One week in validation. "You might be noticing something. Here is the science behind it." Direct, no fluff.</w:t>
              <w:br/>
              <w:br/>
              <w:t>Secondary: Curcumin mechanism. NF-kB pathway, joint inflammation, why liposomal matters for bioavailability. Performance-first framing.</w:t>
              <w:br/>
              <w:br/>
              <w:t>Secondary: Resveratrol. Mitochondrial function, oxidative stress, energy for training.</w:t>
              <w:br/>
              <w:br/>
              <w:t>Secondary: Consistency framing. Week four is where compounding becomes measurable.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"See the Science Behind Recovery" — active and peer-level.</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Knowledgeable, energetic, direct. Results and recovery are the only currencies. No lifestyle language.</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3 — DAY 21  |  THE ACTIVE PERFORMANCE OPTIMIZER</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Consistency is compounding recovery. Do not lose the progress built over three weeks. Coach-like energy.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Do not lose the progress you have built / Three weeks in. The compounding starts now. / Stay in the stack.</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Motivating and direct. Example: "Three weeks of Curcumin and Resveratrol building in your system. Week four is where it compounds."</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Three weeks of consistent anti-inflammatory support is not the peak. It is the foundation. The compounds are building in your system. Week four and beyond is where compounding recovery becomes measurable. A gap means starting over. Stay in the stack.</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Three weeks. Performance validation. "You are building something. Do not stop now."</w:t>
              <w:br/>
              <w:br/>
              <w:t>DYNAMIC BLOCK (Secondary):</w:t>
              <w:br/>
              <w:br/>
              <w:t>SUBSCRIBER VERSION: You are locked in. Compounding continues. Brief acknowledgment. CTA to account.</w:t>
              <w:br/>
              <w:br/>
              <w:t>NON-SUBSCRIBER VERSION: What stops when you stop. Curcumin and Resveratrol leave the system. The progress resets. Subscription = staying in the stack without thinking about it. Skip or cancel anytime.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"Stay in the Stack" (non-subscriber) / "Locked In. Keep Going." (subscriber)</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Coach-like, motivating, direct. Performance language only. No lifestyle or ritual framing.</w:t>
            </w:r>
          </w:p>
        </w:tc>
      </w:tr>
    </w:tbl>
    <w:p>
      <w:pPr>
        <w:spacing w:before="0" w:after="16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