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1A1A"/>
          <w:sz w:val="52"/>
        </w:rPr>
        <w:t>Rho Nutrition</w:t>
      </w:r>
    </w:p>
    <w:p>
      <w:pPr>
        <w:spacing w:before="0" w:after="40"/>
      </w:pPr>
      <w:r>
        <w:rPr>
          <w:rFonts w:ascii="Calibri" w:hAnsi="Calibri"/>
          <w:b/>
          <w:color w:val="333333"/>
          <w:sz w:val="26"/>
        </w:rPr>
        <w:t>Post Purchase Flow Briefs  |  The Skilled Trade and Industry Leader</w:t>
      </w:r>
    </w:p>
    <w:p>
      <w:pPr>
        <w:spacing w:before="0" w:after="40"/>
      </w:pPr>
      <w:r>
        <w:rPr>
          <w:rFonts w:ascii="Calibri" w:hAnsi="Calibri"/>
          <w:color w:val="666666"/>
          <w:sz w:val="22"/>
        </w:rPr>
        <w:t>Emails 1, 2 + 3  |  Day 3 / Day 8 / Day 21</w:t>
      </w:r>
    </w:p>
    <w:p>
      <w:pPr>
        <w:spacing w:before="0" w:after="400"/>
      </w:pPr>
      <w:r>
        <w:rPr>
          <w:rFonts w:ascii="Calibri" w:hAnsi="Calibri"/>
          <w:i/>
          <w:color w:val="666666"/>
          <w:sz w:val="20"/>
        </w:rPr>
        <w:t>DigitsUp x Rho Nutrition  |  Outersignal Project</w:t>
      </w:r>
    </w:p>
    <w:tbl>
      <w:tblPr>
        <w:tblStyle w:val="TableGrid"/>
        <w:tblW w:type="auto" w:w="0"/>
        <w:jc w:val="left"/>
        <w:tblLook w:firstColumn="1" w:firstRow="1" w:lastColumn="0" w:lastRow="0" w:noHBand="0" w:noVBand="1" w:val="04A0"/>
      </w:tblPr>
      <w:tblGrid>
        <w:gridCol w:w="9406"/>
      </w:tblGrid>
      <w:tr>
        <w:tc>
          <w:tcPr>
            <w:tcW w:type="dxa" w:w="9406"/>
            <w:shd w:val="clear" w:color="auto" w:fill="1A1A1A"/>
            <w:tcBorders>
              <w:top w:val="single" w:sz="4" w:space="0" w:color="1A1A1A"/>
              <w:bottom w:val="single" w:sz="4" w:space="0" w:color="1A1A1A"/>
              <w:left w:val="single" w:sz="4" w:space="0" w:color="1A1A1A"/>
              <w:right w:val="single" w:sz="4" w:space="0" w:color="1A1A1A"/>
            </w:tcBorders>
          </w:tcPr>
          <w:p>
            <w:pPr>
              <w:spacing w:before="120" w:after="120"/>
              <w:ind w:left="160"/>
            </w:pPr>
            <w:r>
              <w:rPr>
                <w:rFonts w:ascii="Calibri" w:hAnsi="Calibri"/>
                <w:b/>
                <w:color w:val="FFFFFF"/>
                <w:sz w:val="22"/>
              </w:rPr>
              <w:t>EMAIL 1 — DAY 3  |  THE SKILLED TRADE AND INDUSTRY LEADER</w:t>
            </w:r>
          </w:p>
        </w:tc>
      </w:tr>
    </w:tbl>
    <w:p>
      <w:pPr>
        <w:spacing w:before="0" w:after="120"/>
      </w:pPr>
    </w:p>
    <w:tbl>
      <w:tblPr>
        <w:tblStyle w:val="TableGrid"/>
        <w:tblW w:type="auto" w:w="0"/>
        <w:jc w:val="left"/>
        <w:tblLook w:firstColumn="1" w:firstRow="1" w:lastColumn="0" w:lastRow="0" w:noHBand="0" w:noVBand="1" w:val="04A0"/>
      </w:tblPr>
      <w:tblGrid>
        <w:gridCol w:w="4703"/>
        <w:gridCol w:w="4703"/>
      </w:tblGrid>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Email Objective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Get straight to it. How to take it and what to expect. No story. No ritual. Practical instructions from someone who respects their time.</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Subject Line Directions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Here is how to get the most out of it / Simple. Consistent. Effective. Your guide to Rho. / You bought it. Here is exactly how to use it.</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Preview Text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Blunt and practical. Example: 'One serving a day. Morning is best. Here is what consistent use does.'</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Primary Message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Take one serving in the morning. Do it every day. Explain liposomal vs standard in one paragraph using money language. Joint support and energy take weeks. No hype. Stick with it.</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Content Block Structure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Hero: No-fluff welcome. 'You made a solid decision. Here is how to use it right.'</w:t>
              <w:br/>
              <w:br/>
              <w:t>Secondary: Usage instructions — broad and universal. Bullet format. One serving, morning timing, with or without food. No product-specific detail. Blunt and practical.</w:t>
              <w:br/>
              <w:br/>
              <w:t>Secondary: Why liposomal works. One short paragraph. Money language: your money is actually absorbing. No jargon.</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CTA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Blunt and direct. 'Start Today.' No decoration.</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Tone Notes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Straight talk. Short sentences. Zero lifestyle or wellness language. If it sounds like a wellness newsletter, rewrite it.</w:t>
            </w:r>
          </w:p>
        </w:tc>
      </w:tr>
    </w:tbl>
    <w:p>
      <w:pPr>
        <w:spacing w:before="0" w:after="160"/>
      </w:pPr>
    </w:p>
    <w:p>
      <w:pPr>
        <w:spacing w:before="200" w:after="200"/>
        <w:pBdr>
          <w:bottom w:val="single" w:sz="6" w:space="1" w:color="CCCCCC"/>
        </w:pBdr>
      </w:pPr>
    </w:p>
    <w:p>
      <w:pPr>
        <w:spacing w:before="80" w:after="80"/>
      </w:pPr>
    </w:p>
    <w:tbl>
      <w:tblPr>
        <w:tblStyle w:val="TableGrid"/>
        <w:tblW w:type="auto" w:w="0"/>
        <w:jc w:val="left"/>
        <w:tblLook w:firstColumn="1" w:firstRow="1" w:lastColumn="0" w:lastRow="0" w:noHBand="0" w:noVBand="1" w:val="04A0"/>
      </w:tblPr>
      <w:tblGrid>
        <w:gridCol w:w="9406"/>
      </w:tblGrid>
      <w:tr>
        <w:tc>
          <w:tcPr>
            <w:tcW w:type="dxa" w:w="9406"/>
            <w:shd w:val="clear" w:color="auto" w:fill="1A1A1A"/>
            <w:tcBorders>
              <w:top w:val="single" w:sz="4" w:space="0" w:color="1A1A1A"/>
              <w:bottom w:val="single" w:sz="4" w:space="0" w:color="1A1A1A"/>
              <w:left w:val="single" w:sz="4" w:space="0" w:color="1A1A1A"/>
              <w:right w:val="single" w:sz="4" w:space="0" w:color="1A1A1A"/>
            </w:tcBorders>
          </w:tcPr>
          <w:p>
            <w:pPr>
              <w:spacing w:before="120" w:after="120"/>
              <w:ind w:left="160"/>
            </w:pPr>
            <w:r>
              <w:rPr>
                <w:rFonts w:ascii="Calibri" w:hAnsi="Calibri"/>
                <w:b/>
                <w:color w:val="FFFFFF"/>
                <w:sz w:val="22"/>
              </w:rPr>
              <w:t>EMAIL 2 — DAY 8  |  THE SKILLED TRADE AND INDUSTRY LEADER</w:t>
            </w:r>
          </w:p>
        </w:tc>
      </w:tr>
    </w:tbl>
    <w:p>
      <w:pPr>
        <w:spacing w:before="0" w:after="120"/>
      </w:pPr>
    </w:p>
    <w:tbl>
      <w:tblPr>
        <w:tblStyle w:val="TableGrid"/>
        <w:tblW w:type="auto" w:w="0"/>
        <w:jc w:val="left"/>
        <w:tblLook w:firstColumn="1" w:firstRow="1" w:lastColumn="0" w:lastRow="0" w:noHBand="0" w:noVBand="1" w:val="04A0"/>
      </w:tblPr>
      <w:tblGrid>
        <w:gridCol w:w="4703"/>
        <w:gridCol w:w="4703"/>
      </w:tblGrid>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Email Objective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Explain why this works when other supplements did not. Liposomal vs standard in plain money language. Validate joint health support for physical demands. Keep it short and credible.</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Subject Line Directions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Why this works when others do not / One week in. Here is what to expect next. / The difference you paid for, explained plainly.</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Preview Text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Blunt and practical. Example: "Most supplements never make it to where you need them. Here is why Rho does."</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Primary Message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Most supplements pass through without absorbing. Liposomal means the nutrients actually get into your bloodstream. Joint support from Curcumin takes a few weeks to build. That is normal. Keep going. You are not wasting your money.</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Content Block Structure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Hero: Straight talk. "One week in. Here is what is happening." Short. No buildup.</w:t>
              <w:br/>
              <w:br/>
              <w:t>Secondary: Liposomal explained simply. One short paragraph. Framed as: your money is actually working. No scientific jargon.</w:t>
              <w:br/>
              <w:br/>
              <w:t>Secondary: Joint health timeline. Curcumin takes 2-4 weeks to feel it. Honest, no hype. Sets expectation.</w:t>
              <w:br/>
              <w:br/>
              <w:t>Secondary: Keep going. Short. Blunt.</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CTA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"See Why It Is Different" — plain, direct.</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Tone Notes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Straight, credible, practical. Zero lifestyle language. Short sentences. No wellness newsletter energy.</w:t>
            </w:r>
          </w:p>
        </w:tc>
      </w:tr>
    </w:tbl>
    <w:p>
      <w:pPr>
        <w:spacing w:before="0" w:after="160"/>
      </w:pPr>
    </w:p>
    <w:p>
      <w:pPr>
        <w:spacing w:before="200" w:after="200"/>
        <w:pBdr>
          <w:bottom w:val="single" w:sz="6" w:space="1" w:color="CCCCCC"/>
        </w:pBdr>
      </w:pPr>
    </w:p>
    <w:p>
      <w:pPr>
        <w:spacing w:before="80" w:after="80"/>
      </w:pPr>
    </w:p>
    <w:tbl>
      <w:tblPr>
        <w:tblStyle w:val="TableGrid"/>
        <w:tblW w:type="auto" w:w="0"/>
        <w:jc w:val="left"/>
        <w:tblLook w:firstColumn="1" w:firstRow="1" w:lastColumn="0" w:lastRow="0" w:noHBand="0" w:noVBand="1" w:val="04A0"/>
      </w:tblPr>
      <w:tblGrid>
        <w:gridCol w:w="9406"/>
      </w:tblGrid>
      <w:tr>
        <w:tc>
          <w:tcPr>
            <w:tcW w:type="dxa" w:w="9406"/>
            <w:shd w:val="clear" w:color="auto" w:fill="1A1A1A"/>
            <w:tcBorders>
              <w:top w:val="single" w:sz="4" w:space="0" w:color="1A1A1A"/>
              <w:bottom w:val="single" w:sz="4" w:space="0" w:color="1A1A1A"/>
              <w:left w:val="single" w:sz="4" w:space="0" w:color="1A1A1A"/>
              <w:right w:val="single" w:sz="4" w:space="0" w:color="1A1A1A"/>
            </w:tcBorders>
          </w:tcPr>
          <w:p>
            <w:pPr>
              <w:spacing w:before="120" w:after="120"/>
              <w:ind w:left="160"/>
            </w:pPr>
            <w:r>
              <w:rPr>
                <w:rFonts w:ascii="Calibri" w:hAnsi="Calibri"/>
                <w:b/>
                <w:color w:val="FFFFFF"/>
                <w:sz w:val="22"/>
              </w:rPr>
              <w:t>EMAIL 3 — DAY 21  |  THE SKILLED TRADE AND INDUSTRY LEADER</w:t>
            </w:r>
          </w:p>
        </w:tc>
      </w:tr>
    </w:tbl>
    <w:p>
      <w:pPr>
        <w:spacing w:before="0" w:after="120"/>
      </w:pPr>
    </w:p>
    <w:tbl>
      <w:tblPr>
        <w:tblStyle w:val="TableGrid"/>
        <w:tblW w:type="auto" w:w="0"/>
        <w:jc w:val="left"/>
        <w:tblLook w:firstColumn="1" w:firstRow="1" w:lastColumn="0" w:lastRow="0" w:noHBand="0" w:noVBand="1" w:val="04A0"/>
      </w:tblPr>
      <w:tblGrid>
        <w:gridCol w:w="4703"/>
        <w:gridCol w:w="4703"/>
      </w:tblGrid>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Email Objective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Running low? Simple. Do not let it run out. No restart needed. Lock it in.</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Subject Line Directions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Running low? Do not let it run out. / Three weeks in. Lock it in. / Simple. Keep it going.</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Preview Text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Blunt and practical. Example: "You are three weeks in. Do not start over."</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Primary Message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You are three weeks in. The joint support is building. Do not let it run out and start over. Lock in a subscription and forget about it. Skip or cancel anytime. Just do not let it reset.</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Content Block Structure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Hero: Three weeks. Short, direct. "Good. Keep going."</w:t>
              <w:br/>
              <w:br/>
              <w:t>DYNAMIC BLOCK (Secondary):</w:t>
              <w:br/>
              <w:br/>
              <w:t>SUBSCRIBER VERSION: You are sorted. Keep going. CTA to account. Two sentences maximum.</w:t>
              <w:br/>
              <w:br/>
              <w:t>NON-SUBSCRIBER VERSION: Do not start over framing. Subscription means locked in. Skip or cancel note. Cost-per-day in plain language. No fluff.</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CTA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"Lock It In" (non-subscriber) / "You Are Sorted" (subscriber)</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Tone Notes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Blunt, short, zero decoration. Straight talk. If it sounds like a wellness newsletter, rewrite it.</w:t>
            </w:r>
          </w:p>
        </w:tc>
      </w:tr>
    </w:tbl>
    <w:p>
      <w:pPr>
        <w:spacing w:before="0" w:after="160"/>
      </w:pP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