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2E"/>
          <w:sz w:val="56"/>
        </w:rPr>
        <w:t>Rho Nutrition</w:t>
      </w:r>
    </w:p>
    <w:p>
      <w:r>
        <w:rPr>
          <w:color w:val="555555"/>
          <w:sz w:val="26"/>
        </w:rPr>
        <w:t>Post Purchase Flow Copy  |  The High-Performance Executive  |  Day 3 / Day 8 / Day 21</w:t>
      </w:r>
    </w:p>
    <w:p>
      <w:r>
        <w:rPr>
          <w:i/>
          <w:color w:val="888888"/>
          <w:sz w:val="20"/>
        </w:rPr>
        <w:t>DigitsUp x Rho Nutrition  |  Outersignal Project</w:t>
      </w:r>
    </w:p>
    <w:p/>
    <w:p>
      <w:pPr>
        <w:spacing w:before="240" w:after="120"/>
      </w:pPr>
      <w:r>
        <w:rPr>
          <w:b/>
          <w:color w:val="1A1A2E"/>
          <w:sz w:val="28"/>
        </w:rPr>
        <w:t>EMAIL 1  --  DAY 3  |  THE HIGH-PERFORMANCE EXECUTIVE</w:t>
      </w:r>
    </w:p>
    <w:tbl>
      <w:tblPr>
        <w:tblStyle w:val="TableGrid"/>
        <w:tblW w:type="auto" w:w="0"/>
        <w:tblLook w:firstColumn="1" w:firstRow="1" w:lastColumn="0" w:lastRow="0" w:noHBand="0" w:noVBand="1" w:val="04A0"/>
      </w:tblPr>
      <w:tblGrid>
        <w:gridCol w:w="4320"/>
        <w:gridCol w:w="4320"/>
      </w:tblGrid>
      <w:tr>
        <w:tc>
          <w:tcPr>
            <w:tcW w:type="dxa" w:w="2304"/>
          </w:tcPr>
          <w:p>
            <w:r>
              <w:rPr>
                <w:b/>
                <w:sz w:val="20"/>
              </w:rPr>
              <w:t>Subject Line</w:t>
            </w:r>
          </w:p>
        </w:tc>
        <w:tc>
          <w:tcPr>
            <w:tcW w:type="dxa" w:w="7200"/>
          </w:tcPr>
          <w:p>
            <w:r>
              <w:rPr>
                <w:sz w:val="20"/>
              </w:rPr>
              <w:t>Your optimization protocol starts now</w:t>
            </w:r>
          </w:p>
        </w:tc>
      </w:tr>
      <w:tr>
        <w:tc>
          <w:tcPr>
            <w:tcW w:type="dxa" w:w="2304"/>
          </w:tcPr>
          <w:p>
            <w:r>
              <w:rPr>
                <w:b/>
                <w:sz w:val="20"/>
              </w:rPr>
              <w:t>Preview Text</w:t>
            </w:r>
          </w:p>
        </w:tc>
        <w:tc>
          <w:tcPr>
            <w:tcW w:type="dxa" w:w="7200"/>
          </w:tcPr>
          <w:p>
            <w:r>
              <w:rPr>
                <w:sz w:val="20"/>
              </w:rPr>
              <w:t>One serving. Every morning. Here is why it matters.</w:t>
            </w:r>
          </w:p>
        </w:tc>
      </w:tr>
      <w:tr>
        <w:tc>
          <w:tcPr>
            <w:tcW w:type="dxa" w:w="2304"/>
          </w:tcPr>
          <w:p>
            <w:r>
              <w:rPr>
                <w:b/>
                <w:sz w:val="20"/>
              </w:rPr>
              <w:t>CTA</w:t>
            </w:r>
          </w:p>
        </w:tc>
        <w:tc>
          <w:tcPr>
            <w:tcW w:type="dxa" w:w="7200"/>
          </w:tcPr>
          <w:p>
            <w:r>
              <w:rPr>
                <w:sz w:val="20"/>
              </w:rPr>
              <w:t>Add to Your Morning Stack</w:t>
            </w:r>
          </w:p>
        </w:tc>
      </w:tr>
    </w:tbl>
    <w:p/>
    <w:p>
      <w:pPr>
        <w:spacing w:before="200" w:after="40"/>
      </w:pPr>
      <w:r>
        <w:rPr>
          <w:b/>
          <w:color w:val="0D47A1"/>
          <w:sz w:val="22"/>
        </w:rPr>
        <w:t>[HERO]</w:t>
      </w:r>
    </w:p>
    <w:p>
      <w:pPr>
        <w:spacing w:before="60" w:after="40"/>
      </w:pPr>
      <w:r>
        <w:rPr>
          <w:b/>
          <w:sz w:val="20"/>
        </w:rPr>
        <w:t>Headline</w:t>
      </w:r>
      <w:r>
        <w:rPr>
          <w:sz w:val="20"/>
        </w:rPr>
        <w:t xml:space="preserve">  Your Optimization Protocol Starts Now</w:t>
      </w:r>
    </w:p>
    <w:p>
      <w:pPr>
        <w:spacing w:before="60" w:after="40"/>
      </w:pPr>
      <w:r>
        <w:rPr>
          <w:b/>
          <w:sz w:val="20"/>
        </w:rPr>
        <w:t>Subheadline</w:t>
      </w:r>
      <w:r>
        <w:rPr>
          <w:sz w:val="20"/>
        </w:rPr>
        <w:t xml:space="preserve">  One decision. Compounding returns.</w:t>
      </w:r>
    </w:p>
    <w:p>
      <w:pPr>
        <w:spacing w:before="60" w:after="40"/>
      </w:pPr>
      <w:r>
        <w:rPr>
          <w:b/>
          <w:sz w:val="20"/>
        </w:rPr>
        <w:t>Intro Copy</w:t>
      </w:r>
    </w:p>
    <w:p>
      <w:pPr>
        <w:spacing w:before="60" w:after="60"/>
        <w:ind w:left="360"/>
      </w:pPr>
      <w:r>
        <w:rPr>
          <w:sz w:val="20"/>
        </w:rPr>
        <w:t>You made a high-ROI investment in your performance. The protocol is simple. The results compound. Here is how to activate it.</w:t>
      </w:r>
    </w:p>
    <w:p/>
    <w:p>
      <w:pPr>
        <w:spacing w:before="200" w:after="40"/>
      </w:pPr>
      <w:r>
        <w:rPr>
          <w:b/>
          <w:color w:val="0D47A1"/>
          <w:sz w:val="22"/>
        </w:rPr>
        <w:t>[SECONDARY]</w:t>
      </w:r>
    </w:p>
    <w:p>
      <w:pPr>
        <w:spacing w:before="60" w:after="40"/>
      </w:pPr>
      <w:r>
        <w:rPr>
          <w:b/>
          <w:sz w:val="20"/>
        </w:rPr>
        <w:t>Step 1</w:t>
      </w:r>
      <w:r>
        <w:rPr>
          <w:sz w:val="20"/>
        </w:rPr>
        <w:t xml:space="preserve">  Take one serving each morning. With or without food. Takes 30 seconds.</w:t>
      </w:r>
    </w:p>
    <w:p>
      <w:pPr>
        <w:spacing w:before="60" w:after="40"/>
      </w:pPr>
      <w:r>
        <w:rPr>
          <w:b/>
          <w:sz w:val="20"/>
        </w:rPr>
        <w:t>Step 2</w:t>
      </w:r>
      <w:r>
        <w:rPr>
          <w:sz w:val="20"/>
        </w:rPr>
        <w:t xml:space="preserve">  Stay consistent. The liposomal delivery system is designed for absorption. Consistency is what drives results.</w:t>
      </w:r>
    </w:p>
    <w:p>
      <w:pPr>
        <w:spacing w:before="60" w:after="40"/>
      </w:pPr>
      <w:r>
        <w:rPr>
          <w:b/>
          <w:sz w:val="20"/>
        </w:rPr>
        <w:t>Step 3</w:t>
      </w:r>
      <w:r>
        <w:rPr>
          <w:sz w:val="20"/>
        </w:rPr>
        <w:t xml:space="preserve">  Stack it into your existing morning routine. Before the first meeting. After the first coffee. It fits.</w:t>
      </w:r>
    </w:p>
    <w:p>
      <w:pPr>
        <w:pBdr>
          <w:bottom w:val="single" w:sz="6" w:space="1" w:color="CCCCCC"/>
        </w:pBdr>
        <w:spacing w:before="120" w:after="120"/>
      </w:pPr>
    </w:p>
    <w:p/>
    <w:p>
      <w:pPr>
        <w:spacing w:before="240" w:after="120"/>
      </w:pPr>
      <w:r>
        <w:rPr>
          <w:b/>
          <w:color w:val="1A1A2E"/>
          <w:sz w:val="28"/>
        </w:rPr>
        <w:t>EMAIL 2  --  DAY 8  |  THE HIGH-PERFORMANCE EXECUTIVE</w:t>
      </w:r>
    </w:p>
    <w:tbl>
      <w:tblPr>
        <w:tblStyle w:val="TableGrid"/>
        <w:tblW w:type="auto" w:w="0"/>
        <w:tblLook w:firstColumn="1" w:firstRow="1" w:lastColumn="0" w:lastRow="0" w:noHBand="0" w:noVBand="1" w:val="04A0"/>
      </w:tblPr>
      <w:tblGrid>
        <w:gridCol w:w="4320"/>
        <w:gridCol w:w="4320"/>
      </w:tblGrid>
      <w:tr>
        <w:tc>
          <w:tcPr>
            <w:tcW w:type="dxa" w:w="2304"/>
          </w:tcPr>
          <w:p>
            <w:r>
              <w:rPr>
                <w:b/>
                <w:sz w:val="20"/>
              </w:rPr>
              <w:t>Subject Line</w:t>
            </w:r>
          </w:p>
        </w:tc>
        <w:tc>
          <w:tcPr>
            <w:tcW w:type="dxa" w:w="7200"/>
          </w:tcPr>
          <w:p>
            <w:r>
              <w:rPr>
                <w:sz w:val="20"/>
              </w:rPr>
              <w:t>What NAD+ is doing right now</w:t>
            </w:r>
          </w:p>
        </w:tc>
      </w:tr>
      <w:tr>
        <w:tc>
          <w:tcPr>
            <w:tcW w:type="dxa" w:w="2304"/>
          </w:tcPr>
          <w:p>
            <w:r>
              <w:rPr>
                <w:b/>
                <w:sz w:val="20"/>
              </w:rPr>
              <w:t>Preview Text</w:t>
            </w:r>
          </w:p>
        </w:tc>
        <w:tc>
          <w:tcPr>
            <w:tcW w:type="dxa" w:w="7200"/>
          </w:tcPr>
          <w:p>
            <w:r>
              <w:rPr>
                <w:sz w:val="20"/>
              </w:rPr>
              <w:t>Cellular energy, cognitive clarity, compounding results -- the science behind what you are feeling.</w:t>
            </w:r>
          </w:p>
        </w:tc>
      </w:tr>
      <w:tr>
        <w:tc>
          <w:tcPr>
            <w:tcW w:type="dxa" w:w="2304"/>
          </w:tcPr>
          <w:p>
            <w:r>
              <w:rPr>
                <w:b/>
                <w:sz w:val="20"/>
              </w:rPr>
              <w:t>CTA</w:t>
            </w:r>
          </w:p>
        </w:tc>
        <w:tc>
          <w:tcPr>
            <w:tcW w:type="dxa" w:w="7200"/>
          </w:tcPr>
          <w:p>
            <w:r>
              <w:rPr>
                <w:sz w:val="20"/>
              </w:rPr>
              <w:t>See the Research</w:t>
            </w:r>
          </w:p>
        </w:tc>
      </w:tr>
    </w:tbl>
    <w:p/>
    <w:p>
      <w:pPr>
        <w:spacing w:before="200" w:after="40"/>
      </w:pPr>
      <w:r>
        <w:rPr>
          <w:b/>
          <w:color w:val="0D47A1"/>
          <w:sz w:val="22"/>
        </w:rPr>
        <w:t>[HERO]</w:t>
      </w:r>
    </w:p>
    <w:p>
      <w:pPr>
        <w:spacing w:before="60" w:after="40"/>
      </w:pPr>
      <w:r>
        <w:rPr>
          <w:b/>
          <w:sz w:val="20"/>
        </w:rPr>
        <w:t>Headline</w:t>
      </w:r>
      <w:r>
        <w:rPr>
          <w:sz w:val="20"/>
        </w:rPr>
        <w:t xml:space="preserve">  One Week In. Here Is What Is Happening.</w:t>
      </w:r>
    </w:p>
    <w:p>
      <w:pPr>
        <w:spacing w:before="60" w:after="40"/>
      </w:pPr>
      <w:r>
        <w:rPr>
          <w:b/>
          <w:sz w:val="20"/>
        </w:rPr>
        <w:t>Subheadline</w:t>
      </w:r>
      <w:r>
        <w:rPr>
          <w:sz w:val="20"/>
        </w:rPr>
        <w:t xml:space="preserve">  The results you cannot see yet are the ones that matter most.</w:t>
      </w:r>
    </w:p>
    <w:p>
      <w:pPr>
        <w:spacing w:before="60" w:after="40"/>
      </w:pPr>
      <w:r>
        <w:rPr>
          <w:b/>
          <w:sz w:val="20"/>
        </w:rPr>
        <w:t>Intro Copy</w:t>
      </w:r>
    </w:p>
    <w:p>
      <w:pPr>
        <w:spacing w:before="60" w:after="60"/>
        <w:ind w:left="360"/>
      </w:pPr>
      <w:r>
        <w:rPr>
          <w:sz w:val="20"/>
        </w:rPr>
        <w:t>NAD+ does not produce instant, visible results. It works at the cellular level. That is exactly where performance is built.</w:t>
      </w:r>
    </w:p>
    <w:p/>
    <w:p>
      <w:pPr>
        <w:spacing w:before="200" w:after="40"/>
      </w:pPr>
      <w:r>
        <w:rPr>
          <w:b/>
          <w:color w:val="0D47A1"/>
          <w:sz w:val="22"/>
        </w:rPr>
        <w:t>[SECONDARY]</w:t>
      </w:r>
    </w:p>
    <w:p>
      <w:pPr>
        <w:spacing w:before="60" w:after="60"/>
      </w:pPr>
      <w:r>
        <w:rPr>
          <w:sz w:val="20"/>
        </w:rPr>
        <w:t>NAD+ is a coenzyme required for three critical functions: DNA repair, mitochondrial energy production, and cognitive function. NAD+ levels decline with age and sustained cognitive demand.</w:t>
      </w:r>
    </w:p>
    <w:p>
      <w:pPr>
        <w:spacing w:before="60" w:after="60"/>
      </w:pPr>
      <w:r>
        <w:rPr>
          <w:sz w:val="20"/>
        </w:rPr>
        <w:t>Standard supplements lose significant potency in the GI tract before reaching target cells. Rho delivers NAD+ via liposomal encapsulation, protecting the compound through digestion and releasing it at the cellular level.</w:t>
      </w:r>
    </w:p>
    <w:p>
      <w:pPr>
        <w:spacing w:before="60" w:after="60"/>
      </w:pPr>
      <w:r>
        <w:rPr>
          <w:sz w:val="20"/>
        </w:rPr>
        <w:t>You are one week into a protocol that most people never start. The results compound. Consistency is the variable.</w:t>
      </w:r>
    </w:p>
    <w:p>
      <w:pPr>
        <w:spacing w:before="60" w:after="60"/>
      </w:pPr>
      <w:r>
        <w:rPr>
          <w:sz w:val="20"/>
        </w:rPr>
        <w:t>Do not stop.</w:t>
      </w:r>
    </w:p>
    <w:p/>
    <w:p>
      <w:pPr>
        <w:spacing w:before="200" w:after="40"/>
      </w:pPr>
      <w:r>
        <w:rPr>
          <w:b/>
          <w:color w:val="0D47A1"/>
          <w:sz w:val="22"/>
        </w:rPr>
        <w:t>[TERTIARY]</w:t>
      </w:r>
    </w:p>
    <w:p>
      <w:pPr>
        <w:spacing w:before="120"/>
        <w:ind w:left="576"/>
      </w:pPr>
      <w:r>
        <w:rPr>
          <w:i/>
          <w:color w:val="333333"/>
          <w:sz w:val="20"/>
        </w:rPr>
        <w:t>"Rho's targeted nutrition and cellular support align perfectly with my functional medicine approach to support healthy aging from the inside out."</w:t>
      </w:r>
    </w:p>
    <w:p>
      <w:pPr>
        <w:spacing w:after="80"/>
        <w:ind w:left="576"/>
      </w:pPr>
      <w:r>
        <w:rPr>
          <w:b/>
          <w:color w:val="555555"/>
          <w:sz w:val="18"/>
        </w:rPr>
        <w:t>-- Dr. Mark Hyman -- Founder, Cleveland Clinic | 16x NYT Bestselling Author | Rho Partner</w:t>
      </w:r>
    </w:p>
    <w:p>
      <w:pPr>
        <w:pBdr>
          <w:bottom w:val="single" w:sz="6" w:space="1" w:color="CCCCCC"/>
        </w:pBdr>
        <w:spacing w:before="120" w:after="120"/>
      </w:pPr>
    </w:p>
    <w:p/>
    <w:p>
      <w:pPr>
        <w:spacing w:before="240" w:after="120"/>
      </w:pPr>
      <w:r>
        <w:rPr>
          <w:b/>
          <w:color w:val="1A1A2E"/>
          <w:sz w:val="28"/>
        </w:rPr>
        <w:t>EMAIL 3  --  DAY 21  |  THE HIGH-PERFORMANCE EXECUTIVE</w:t>
      </w:r>
    </w:p>
    <w:tbl>
      <w:tblPr>
        <w:tblStyle w:val="TableGrid"/>
        <w:tblW w:type="auto" w:w="0"/>
        <w:tblLook w:firstColumn="1" w:firstRow="1" w:lastColumn="0" w:lastRow="0" w:noHBand="0" w:noVBand="1" w:val="04A0"/>
      </w:tblPr>
      <w:tblGrid>
        <w:gridCol w:w="4320"/>
        <w:gridCol w:w="4320"/>
      </w:tblGrid>
      <w:tr>
        <w:tc>
          <w:tcPr>
            <w:tcW w:type="dxa" w:w="2304"/>
          </w:tcPr>
          <w:p>
            <w:r>
              <w:rPr>
                <w:b/>
                <w:sz w:val="20"/>
              </w:rPr>
              <w:t>Subject Line</w:t>
            </w:r>
          </w:p>
        </w:tc>
        <w:tc>
          <w:tcPr>
            <w:tcW w:type="dxa" w:w="7200"/>
          </w:tcPr>
          <w:p>
            <w:r>
              <w:rPr>
                <w:sz w:val="20"/>
              </w:rPr>
              <w:t>The protocol only works if you do not stop</w:t>
            </w:r>
          </w:p>
        </w:tc>
      </w:tr>
      <w:tr>
        <w:tc>
          <w:tcPr>
            <w:tcW w:type="dxa" w:w="2304"/>
          </w:tcPr>
          <w:p>
            <w:r>
              <w:rPr>
                <w:b/>
                <w:sz w:val="20"/>
              </w:rPr>
              <w:t>Preview Text</w:t>
            </w:r>
          </w:p>
        </w:tc>
        <w:tc>
          <w:tcPr>
            <w:tcW w:type="dxa" w:w="7200"/>
          </w:tcPr>
          <w:p>
            <w:r>
              <w:rPr>
                <w:sz w:val="20"/>
              </w:rPr>
              <w:t>Three weeks of cellular optimization. The ROI compounds only if the protocol continues.</w:t>
            </w:r>
          </w:p>
        </w:tc>
      </w:tr>
      <w:tr>
        <w:tc>
          <w:tcPr>
            <w:tcW w:type="dxa" w:w="2304"/>
          </w:tcPr>
          <w:p>
            <w:r>
              <w:rPr>
                <w:b/>
                <w:sz w:val="20"/>
              </w:rPr>
              <w:t>CTA</w:t>
            </w:r>
          </w:p>
        </w:tc>
        <w:tc>
          <w:tcPr>
            <w:tcW w:type="dxa" w:w="7200"/>
          </w:tcPr>
          <w:p>
            <w:r>
              <w:rPr>
                <w:sz w:val="20"/>
              </w:rPr>
              <w:t>Secure Your Next Supply (non-sub)</w:t>
            </w:r>
          </w:p>
        </w:tc>
      </w:tr>
      <w:tr>
        <w:tc>
          <w:tcPr>
            <w:tcW w:type="dxa" w:w="2304"/>
          </w:tcPr>
          <w:p>
            <w:r>
              <w:rPr>
                <w:b/>
                <w:sz w:val="20"/>
              </w:rPr>
              <w:t>CTA</w:t>
            </w:r>
          </w:p>
        </w:tc>
        <w:tc>
          <w:tcPr>
            <w:tcW w:type="dxa" w:w="7200"/>
          </w:tcPr>
          <w:p>
            <w:r>
              <w:rPr>
                <w:sz w:val="20"/>
              </w:rPr>
              <w:t>You Are Locked In (sub)</w:t>
            </w:r>
          </w:p>
        </w:tc>
      </w:tr>
    </w:tbl>
    <w:p/>
    <w:p>
      <w:pPr>
        <w:spacing w:before="200" w:after="40"/>
      </w:pPr>
      <w:r>
        <w:rPr>
          <w:b/>
          <w:color w:val="0D47A1"/>
          <w:sz w:val="22"/>
        </w:rPr>
        <w:t>[HERO]</w:t>
      </w:r>
    </w:p>
    <w:p>
      <w:pPr>
        <w:spacing w:before="60" w:after="40"/>
      </w:pPr>
      <w:r>
        <w:rPr>
          <w:b/>
          <w:sz w:val="20"/>
        </w:rPr>
        <w:t>Headline</w:t>
      </w:r>
      <w:r>
        <w:rPr>
          <w:sz w:val="20"/>
        </w:rPr>
        <w:t xml:space="preserve">  Three Weeks Is the Baseline. Not the Destination.</w:t>
      </w:r>
    </w:p>
    <w:p>
      <w:pPr>
        <w:spacing w:before="60" w:after="40"/>
      </w:pPr>
      <w:r>
        <w:rPr>
          <w:b/>
          <w:sz w:val="20"/>
        </w:rPr>
        <w:t>Subheadline</w:t>
      </w:r>
      <w:r>
        <w:rPr>
          <w:sz w:val="20"/>
        </w:rPr>
        <w:t xml:space="preserve">  The cellular work you have done resets without continued support.</w:t>
      </w:r>
    </w:p>
    <w:p>
      <w:pPr>
        <w:spacing w:before="60" w:after="40"/>
      </w:pPr>
      <w:r>
        <w:rPr>
          <w:b/>
          <w:sz w:val="20"/>
        </w:rPr>
        <w:t>Intro Copy</w:t>
      </w:r>
    </w:p>
    <w:p>
      <w:pPr>
        <w:spacing w:before="60" w:after="60"/>
        <w:ind w:left="360"/>
      </w:pPr>
      <w:r>
        <w:rPr>
          <w:sz w:val="20"/>
        </w:rPr>
        <w:t>Three weeks of consistent NAD+ and liposomal nutrition is where the foundation is set. What comes next is where the compounding begins.</w:t>
      </w:r>
    </w:p>
    <w:p/>
    <w:p>
      <w:pPr>
        <w:spacing w:before="200" w:after="40"/>
      </w:pPr>
      <w:r>
        <w:rPr>
          <w:b/>
          <w:color w:val="0D47A1"/>
          <w:sz w:val="22"/>
        </w:rPr>
        <w:t>[SECONDARY]</w:t>
      </w:r>
    </w:p>
    <w:p>
      <w:r>
        <w:rPr>
          <w:b/>
          <w:color w:val="0D6E1D"/>
          <w:sz w:val="20"/>
        </w:rPr>
        <w:t>[SUBSCRIBER VERSION]</w:t>
      </w:r>
    </w:p>
    <w:p>
      <w:pPr>
        <w:spacing w:before="60" w:after="60"/>
        <w:ind w:left="360"/>
      </w:pPr>
      <w:r>
        <w:rPr>
          <w:sz w:val="20"/>
        </w:rPr>
        <w:t>Your protocol is uninterrupted. The cellular work continues. That is the right call -- and the one that compounds. Manage your subscription anytime from your account dashboard.</w:t>
      </w:r>
    </w:p>
    <w:p/>
    <w:p>
      <w:r>
        <w:rPr>
          <w:b/>
          <w:color w:val="C62800"/>
          <w:sz w:val="20"/>
        </w:rPr>
        <w:t>[NON-SUBSCRIBER VERSION]</w:t>
      </w:r>
    </w:p>
    <w:p>
      <w:pPr>
        <w:spacing w:before="60" w:after="60"/>
        <w:ind w:left="360"/>
      </w:pPr>
      <w:r>
        <w:rPr>
          <w:sz w:val="20"/>
        </w:rPr>
        <w:t>At less than the cost of a single business lunch, your daily protocol maintains the cellular function you have spent three weeks building. Subscribe and the next supply arrives before you run out. Skip or cancel anytime. The only wrong move is letting the protocol lapse.</w:t>
      </w:r>
    </w:p>
    <w:p/>
    <w:p>
      <w:pPr>
        <w:spacing w:before="200" w:after="40"/>
      </w:pPr>
      <w:r>
        <w:rPr>
          <w:b/>
          <w:color w:val="0D47A1"/>
          <w:sz w:val="22"/>
        </w:rPr>
        <w:t>[TERTIARY]</w:t>
      </w:r>
    </w:p>
    <w:p>
      <w:pPr>
        <w:spacing w:before="120"/>
        <w:ind w:left="576"/>
      </w:pPr>
      <w:r>
        <w:rPr>
          <w:i/>
          <w:color w:val="333333"/>
          <w:sz w:val="20"/>
        </w:rPr>
        <w:t>"Rho's targeted nutrition and cellular support align perfectly with my functional medicine approach to support healthy aging from the inside out."</w:t>
      </w:r>
    </w:p>
    <w:p>
      <w:pPr>
        <w:spacing w:after="80"/>
        <w:ind w:left="576"/>
      </w:pPr>
      <w:r>
        <w:rPr>
          <w:b/>
          <w:color w:val="555555"/>
          <w:sz w:val="18"/>
        </w:rPr>
        <w:t>-- Dr. Mark Hyman -- Founder, Cleveland Clinic | 16x NYT Bestselling Author | Rho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