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1A2E"/>
          <w:sz w:val="56"/>
        </w:rPr>
        <w:t>Rho Nutrition</w:t>
      </w:r>
    </w:p>
    <w:p>
      <w:r>
        <w:rPr>
          <w:color w:val="555555"/>
          <w:sz w:val="26"/>
        </w:rPr>
        <w:t>Post Purchase Flow Copy  |  The Clinical Wellness Advocate  |  Day 3 / Day 8 / Day 21</w:t>
      </w:r>
    </w:p>
    <w:p>
      <w:r>
        <w:rPr>
          <w:i/>
          <w:color w:val="888888"/>
          <w:sz w:val="20"/>
        </w:rPr>
        <w:t>DigitsUp x Rho Nutrition  |  Outersignal Project</w:t>
      </w:r>
    </w:p>
    <w:p/>
    <w:p>
      <w:pPr>
        <w:spacing w:before="240" w:after="120"/>
      </w:pPr>
      <w:r>
        <w:rPr>
          <w:b/>
          <w:color w:val="1A1A2E"/>
          <w:sz w:val="28"/>
        </w:rPr>
        <w:t>EMAIL 1  --  DAY 3  |  THE CLINICAL WELLNESS ADVOCATE</w:t>
      </w:r>
    </w:p>
    <w:tbl>
      <w:tblPr>
        <w:tblStyle w:val="TableGrid"/>
        <w:tblW w:type="auto" w:w="0"/>
        <w:tblLook w:firstColumn="1" w:firstRow="1" w:lastColumn="0" w:lastRow="0" w:noHBand="0" w:noVBand="1" w:val="04A0"/>
      </w:tblPr>
      <w:tblGrid>
        <w:gridCol w:w="4320"/>
        <w:gridCol w:w="4320"/>
      </w:tblGrid>
      <w:tr>
        <w:tc>
          <w:tcPr>
            <w:tcW w:type="dxa" w:w="2304"/>
          </w:tcPr>
          <w:p>
            <w:r>
              <w:rPr>
                <w:b/>
                <w:sz w:val="20"/>
              </w:rPr>
              <w:t>Subject Line</w:t>
            </w:r>
          </w:p>
        </w:tc>
        <w:tc>
          <w:tcPr>
            <w:tcW w:type="dxa" w:w="7200"/>
          </w:tcPr>
          <w:p>
            <w:r>
              <w:rPr>
                <w:sz w:val="20"/>
              </w:rPr>
              <w:t>Your liposomal protocol is active</w:t>
            </w:r>
          </w:p>
        </w:tc>
      </w:tr>
      <w:tr>
        <w:tc>
          <w:tcPr>
            <w:tcW w:type="dxa" w:w="2304"/>
          </w:tcPr>
          <w:p>
            <w:r>
              <w:rPr>
                <w:b/>
                <w:sz w:val="20"/>
              </w:rPr>
              <w:t>Preview Text</w:t>
            </w:r>
          </w:p>
        </w:tc>
        <w:tc>
          <w:tcPr>
            <w:tcW w:type="dxa" w:w="7200"/>
          </w:tcPr>
          <w:p>
            <w:r>
              <w:rPr>
                <w:sz w:val="20"/>
              </w:rPr>
              <w:t>Optimal absorption window, dosing guidance, and what to monitor from day one.</w:t>
            </w:r>
          </w:p>
        </w:tc>
      </w:tr>
      <w:tr>
        <w:tc>
          <w:tcPr>
            <w:tcW w:type="dxa" w:w="2304"/>
          </w:tcPr>
          <w:p>
            <w:r>
              <w:rPr>
                <w:b/>
                <w:sz w:val="20"/>
              </w:rPr>
              <w:t>CTA</w:t>
            </w:r>
          </w:p>
        </w:tc>
        <w:tc>
          <w:tcPr>
            <w:tcW w:type="dxa" w:w="7200"/>
          </w:tcPr>
          <w:p>
            <w:r>
              <w:rPr>
                <w:sz w:val="20"/>
              </w:rPr>
              <w:t>View the Full Formulation</w:t>
            </w:r>
          </w:p>
        </w:tc>
      </w:tr>
    </w:tbl>
    <w:p/>
    <w:p>
      <w:pPr>
        <w:spacing w:before="200" w:after="40"/>
      </w:pPr>
      <w:r>
        <w:rPr>
          <w:b/>
          <w:color w:val="0D47A1"/>
          <w:sz w:val="22"/>
        </w:rPr>
        <w:t>[HERO]</w:t>
      </w:r>
    </w:p>
    <w:p>
      <w:pPr>
        <w:spacing w:before="60" w:after="40"/>
      </w:pPr>
      <w:r>
        <w:rPr>
          <w:b/>
          <w:sz w:val="20"/>
        </w:rPr>
        <w:t>Headline</w:t>
      </w:r>
      <w:r>
        <w:rPr>
          <w:sz w:val="20"/>
        </w:rPr>
        <w:t xml:space="preserve">  Your Liposomal Protocol Is Active</w:t>
      </w:r>
    </w:p>
    <w:p>
      <w:pPr>
        <w:spacing w:before="60" w:after="40"/>
      </w:pPr>
      <w:r>
        <w:rPr>
          <w:b/>
          <w:sz w:val="20"/>
        </w:rPr>
        <w:t>Subheadline</w:t>
      </w:r>
      <w:r>
        <w:rPr>
          <w:sz w:val="20"/>
        </w:rPr>
        <w:t xml:space="preserve">  You already know why liposomal matters. Here is how to use it correctly.</w:t>
      </w:r>
    </w:p>
    <w:p>
      <w:pPr>
        <w:spacing w:before="60" w:after="40"/>
      </w:pPr>
      <w:r>
        <w:rPr>
          <w:b/>
          <w:sz w:val="20"/>
        </w:rPr>
        <w:t>Intro Copy</w:t>
      </w:r>
    </w:p>
    <w:p>
      <w:pPr>
        <w:spacing w:before="60" w:after="60"/>
        <w:ind w:left="360"/>
      </w:pPr>
      <w:r>
        <w:rPr>
          <w:sz w:val="20"/>
        </w:rPr>
        <w:t>You chose a formulation grounded in bioavailability science. This is how to get the most from it.</w:t>
      </w:r>
    </w:p>
    <w:p/>
    <w:p>
      <w:pPr>
        <w:spacing w:before="200" w:after="40"/>
      </w:pPr>
      <w:r>
        <w:rPr>
          <w:b/>
          <w:color w:val="0D47A1"/>
          <w:sz w:val="22"/>
        </w:rPr>
        <w:t>[SECONDARY]</w:t>
      </w:r>
    </w:p>
    <w:p>
      <w:pPr>
        <w:spacing w:before="60" w:after="40"/>
      </w:pPr>
      <w:r>
        <w:rPr>
          <w:b/>
          <w:sz w:val="20"/>
        </w:rPr>
        <w:t>Step 1</w:t>
      </w:r>
      <w:r>
        <w:rPr>
          <w:sz w:val="20"/>
        </w:rPr>
        <w:t xml:space="preserve">  Take one serving each morning. The fasted or semi-fasted state optimizes the absorption window for liposomal delivery.</w:t>
      </w:r>
    </w:p>
    <w:p>
      <w:pPr>
        <w:spacing w:before="60" w:after="40"/>
      </w:pPr>
      <w:r>
        <w:rPr>
          <w:b/>
          <w:sz w:val="20"/>
        </w:rPr>
        <w:t>Step 2</w:t>
      </w:r>
      <w:r>
        <w:rPr>
          <w:sz w:val="20"/>
        </w:rPr>
        <w:t xml:space="preserve">  Consistency maintains cellular saturation. A single missed dose is not critical. Interrupting the protocol for multiple days resets the baseline.</w:t>
      </w:r>
    </w:p>
    <w:p>
      <w:pPr>
        <w:spacing w:before="60" w:after="40"/>
      </w:pPr>
      <w:r>
        <w:rPr>
          <w:b/>
          <w:sz w:val="20"/>
        </w:rPr>
        <w:t>Step 3</w:t>
      </w:r>
      <w:r>
        <w:rPr>
          <w:sz w:val="20"/>
        </w:rPr>
        <w:t xml:space="preserve">  Note the formulation. Every Rho product is third-party tested and independently verified. Full details are available on the product page.</w:t>
      </w:r>
    </w:p>
    <w:p>
      <w:pPr>
        <w:pBdr>
          <w:bottom w:val="single" w:sz="6" w:space="1" w:color="CCCCCC"/>
        </w:pBdr>
        <w:spacing w:before="120" w:after="120"/>
      </w:pPr>
    </w:p>
    <w:p/>
    <w:p>
      <w:pPr>
        <w:spacing w:before="240" w:after="120"/>
      </w:pPr>
      <w:r>
        <w:rPr>
          <w:b/>
          <w:color w:val="1A1A2E"/>
          <w:sz w:val="28"/>
        </w:rPr>
        <w:t>EMAIL 2  --  DAY 8  |  THE CLINICAL WELLNESS ADVOCATE</w:t>
      </w:r>
    </w:p>
    <w:tbl>
      <w:tblPr>
        <w:tblStyle w:val="TableGrid"/>
        <w:tblW w:type="auto" w:w="0"/>
        <w:tblLook w:firstColumn="1" w:firstRow="1" w:lastColumn="0" w:lastRow="0" w:noHBand="0" w:noVBand="1" w:val="04A0"/>
      </w:tblPr>
      <w:tblGrid>
        <w:gridCol w:w="4320"/>
        <w:gridCol w:w="4320"/>
      </w:tblGrid>
      <w:tr>
        <w:tc>
          <w:tcPr>
            <w:tcW w:type="dxa" w:w="2304"/>
          </w:tcPr>
          <w:p>
            <w:r>
              <w:rPr>
                <w:b/>
                <w:sz w:val="20"/>
              </w:rPr>
              <w:t>Subject Line</w:t>
            </w:r>
          </w:p>
        </w:tc>
        <w:tc>
          <w:tcPr>
            <w:tcW w:type="dxa" w:w="7200"/>
          </w:tcPr>
          <w:p>
            <w:r>
              <w:rPr>
                <w:sz w:val="20"/>
              </w:rPr>
              <w:t>The bioavailability difference, by the numbers</w:t>
            </w:r>
          </w:p>
        </w:tc>
      </w:tr>
      <w:tr>
        <w:tc>
          <w:tcPr>
            <w:tcW w:type="dxa" w:w="2304"/>
          </w:tcPr>
          <w:p>
            <w:r>
              <w:rPr>
                <w:b/>
                <w:sz w:val="20"/>
              </w:rPr>
              <w:t>Preview Text</w:t>
            </w:r>
          </w:p>
        </w:tc>
        <w:tc>
          <w:tcPr>
            <w:tcW w:type="dxa" w:w="7200"/>
          </w:tcPr>
          <w:p>
            <w:r>
              <w:rPr>
                <w:sz w:val="20"/>
              </w:rPr>
              <w:t>Phospholipid encapsulation, absorption rates, and why liposomal is the standard your patients deserve.</w:t>
            </w:r>
          </w:p>
        </w:tc>
      </w:tr>
      <w:tr>
        <w:tc>
          <w:tcPr>
            <w:tcW w:type="dxa" w:w="2304"/>
          </w:tcPr>
          <w:p>
            <w:r>
              <w:rPr>
                <w:b/>
                <w:sz w:val="20"/>
              </w:rPr>
              <w:t>CTA</w:t>
            </w:r>
          </w:p>
        </w:tc>
        <w:tc>
          <w:tcPr>
            <w:tcW w:type="dxa" w:w="7200"/>
          </w:tcPr>
          <w:p>
            <w:r>
              <w:rPr>
                <w:sz w:val="20"/>
              </w:rPr>
              <w:t>Read the Research</w:t>
            </w:r>
          </w:p>
        </w:tc>
      </w:tr>
    </w:tbl>
    <w:p/>
    <w:p>
      <w:pPr>
        <w:spacing w:before="200" w:after="40"/>
      </w:pPr>
      <w:r>
        <w:rPr>
          <w:b/>
          <w:color w:val="0D47A1"/>
          <w:sz w:val="22"/>
        </w:rPr>
        <w:t>[HERO]</w:t>
      </w:r>
    </w:p>
    <w:p>
      <w:pPr>
        <w:spacing w:before="60" w:after="40"/>
      </w:pPr>
      <w:r>
        <w:rPr>
          <w:b/>
          <w:sz w:val="20"/>
        </w:rPr>
        <w:t>Headline</w:t>
      </w:r>
      <w:r>
        <w:rPr>
          <w:sz w:val="20"/>
        </w:rPr>
        <w:t xml:space="preserve">  One Week In. The Mechanism Is Active.</w:t>
      </w:r>
    </w:p>
    <w:p>
      <w:pPr>
        <w:spacing w:before="60" w:after="40"/>
      </w:pPr>
      <w:r>
        <w:rPr>
          <w:b/>
          <w:sz w:val="20"/>
        </w:rPr>
        <w:t>Subheadline</w:t>
      </w:r>
      <w:r>
        <w:rPr>
          <w:sz w:val="20"/>
        </w:rPr>
        <w:t xml:space="preserve">  Standard oral supplements lose significant potency before reaching target cells. Yours does not.</w:t>
      </w:r>
    </w:p>
    <w:p>
      <w:pPr>
        <w:spacing w:before="60" w:after="40"/>
      </w:pPr>
      <w:r>
        <w:rPr>
          <w:b/>
          <w:sz w:val="20"/>
        </w:rPr>
        <w:t>Intro Copy</w:t>
      </w:r>
    </w:p>
    <w:p>
      <w:pPr>
        <w:spacing w:before="60" w:after="60"/>
        <w:ind w:left="360"/>
      </w:pPr>
      <w:r>
        <w:rPr>
          <w:sz w:val="20"/>
        </w:rPr>
        <w:t>Liposomal encapsulation protects active compounds through the GI tract using phospholipid bilayers that mirror cellular membranes. The result is measurably superior cellular uptake.</w:t>
      </w:r>
    </w:p>
    <w:p/>
    <w:p>
      <w:pPr>
        <w:spacing w:before="200" w:after="40"/>
      </w:pPr>
      <w:r>
        <w:rPr>
          <w:b/>
          <w:color w:val="0D47A1"/>
          <w:sz w:val="22"/>
        </w:rPr>
        <w:t>[SECONDARY]</w:t>
      </w:r>
    </w:p>
    <w:p>
      <w:pPr>
        <w:spacing w:before="60" w:after="60"/>
      </w:pPr>
      <w:r>
        <w:rPr>
          <w:sz w:val="20"/>
        </w:rPr>
        <w:t>Standard supplement absorption is compromised by gastric acid and hepatic first-pass metabolism. Liposomal delivery bypasses these barriers, protecting bioactive compounds through the digestive process.</w:t>
      </w:r>
    </w:p>
    <w:p>
      <w:pPr>
        <w:spacing w:before="60" w:after="60"/>
      </w:pPr>
      <w:r>
        <w:rPr>
          <w:sz w:val="20"/>
        </w:rPr>
        <w:t>Phospholipid bilayer encapsulation supports direct cellular uptake, delivering nutrients at the intracellular level where they are clinically relevant.</w:t>
      </w:r>
    </w:p>
    <w:p>
      <w:pPr>
        <w:spacing w:before="60" w:after="60"/>
      </w:pPr>
      <w:r>
        <w:rPr>
          <w:sz w:val="20"/>
        </w:rPr>
        <w:t>Key compounds in Rho formulations -- NAD+, Glutathione, Curcumin, Vitamin C -- are selected for their clinical significance and are delivered in forms your patients can actually absorb.</w:t>
      </w:r>
    </w:p>
    <w:p>
      <w:pPr>
        <w:spacing w:before="60" w:after="60"/>
      </w:pPr>
      <w:r>
        <w:rPr>
          <w:sz w:val="20"/>
        </w:rPr>
        <w:t>Uninterrupted dosing maintains cellular saturation. That is the protocol worth recommending.</w:t>
      </w:r>
    </w:p>
    <w:p/>
    <w:p>
      <w:pPr>
        <w:spacing w:before="200" w:after="40"/>
      </w:pPr>
      <w:r>
        <w:rPr>
          <w:b/>
          <w:color w:val="0D47A1"/>
          <w:sz w:val="22"/>
        </w:rPr>
        <w:t>[TERTIARY]</w:t>
      </w:r>
    </w:p>
    <w:p>
      <w:pPr>
        <w:spacing w:before="120"/>
        <w:ind w:left="576"/>
      </w:pPr>
      <w:r>
        <w:rPr>
          <w:i/>
          <w:color w:val="333333"/>
          <w:sz w:val="20"/>
        </w:rPr>
        <w:t>"I'm usually picky about supplements, but with Rho's Liposomal absorption technology, I know I'm getting unmatched effectiveness."</w:t>
      </w:r>
    </w:p>
    <w:p>
      <w:pPr>
        <w:spacing w:after="80"/>
        <w:ind w:left="576"/>
      </w:pPr>
      <w:r>
        <w:rPr>
          <w:b/>
          <w:color w:val="555555"/>
          <w:sz w:val="18"/>
        </w:rPr>
        <w:t>-- Dr. Becky Campbell MD -- Functional Medicine Physician | Rho Partner</w:t>
      </w:r>
    </w:p>
    <w:p>
      <w:pPr>
        <w:pBdr>
          <w:bottom w:val="single" w:sz="6" w:space="1" w:color="CCCCCC"/>
        </w:pBdr>
        <w:spacing w:before="120" w:after="120"/>
      </w:pPr>
    </w:p>
    <w:p/>
    <w:p>
      <w:pPr>
        <w:spacing w:before="240" w:after="120"/>
      </w:pPr>
      <w:r>
        <w:rPr>
          <w:b/>
          <w:color w:val="1A1A2E"/>
          <w:sz w:val="28"/>
        </w:rPr>
        <w:t>EMAIL 3  --  DAY 21  |  THE CLINICAL WELLNESS ADVOCATE</w:t>
      </w:r>
    </w:p>
    <w:tbl>
      <w:tblPr>
        <w:tblStyle w:val="TableGrid"/>
        <w:tblW w:type="auto" w:w="0"/>
        <w:tblLook w:firstColumn="1" w:firstRow="1" w:lastColumn="0" w:lastRow="0" w:noHBand="0" w:noVBand="1" w:val="04A0"/>
      </w:tblPr>
      <w:tblGrid>
        <w:gridCol w:w="4320"/>
        <w:gridCol w:w="4320"/>
      </w:tblGrid>
      <w:tr>
        <w:tc>
          <w:tcPr>
            <w:tcW w:type="dxa" w:w="2304"/>
          </w:tcPr>
          <w:p>
            <w:r>
              <w:rPr>
                <w:b/>
                <w:sz w:val="20"/>
              </w:rPr>
              <w:t>Subject Line</w:t>
            </w:r>
          </w:p>
        </w:tc>
        <w:tc>
          <w:tcPr>
            <w:tcW w:type="dxa" w:w="7200"/>
          </w:tcPr>
          <w:p>
            <w:r>
              <w:rPr>
                <w:sz w:val="20"/>
              </w:rPr>
              <w:t>Clinical consistency drives clinical results</w:t>
            </w:r>
          </w:p>
        </w:tc>
      </w:tr>
      <w:tr>
        <w:tc>
          <w:tcPr>
            <w:tcW w:type="dxa" w:w="2304"/>
          </w:tcPr>
          <w:p>
            <w:r>
              <w:rPr>
                <w:b/>
                <w:sz w:val="20"/>
              </w:rPr>
              <w:t>Preview Text</w:t>
            </w:r>
          </w:p>
        </w:tc>
        <w:tc>
          <w:tcPr>
            <w:tcW w:type="dxa" w:w="7200"/>
          </w:tcPr>
          <w:p>
            <w:r>
              <w:rPr>
                <w:sz w:val="20"/>
              </w:rPr>
              <w:t>Interrupted supplementation resets cellular baseline. Maintaining the protocol is the clinical decision.</w:t>
            </w:r>
          </w:p>
        </w:tc>
      </w:tr>
      <w:tr>
        <w:tc>
          <w:tcPr>
            <w:tcW w:type="dxa" w:w="2304"/>
          </w:tcPr>
          <w:p>
            <w:r>
              <w:rPr>
                <w:b/>
                <w:sz w:val="20"/>
              </w:rPr>
              <w:t>CTA</w:t>
            </w:r>
          </w:p>
        </w:tc>
        <w:tc>
          <w:tcPr>
            <w:tcW w:type="dxa" w:w="7200"/>
          </w:tcPr>
          <w:p>
            <w:r>
              <w:rPr>
                <w:sz w:val="20"/>
              </w:rPr>
              <w:t>Maintain Your Protocol (non-sub)</w:t>
            </w:r>
          </w:p>
        </w:tc>
      </w:tr>
      <w:tr>
        <w:tc>
          <w:tcPr>
            <w:tcW w:type="dxa" w:w="2304"/>
          </w:tcPr>
          <w:p>
            <w:r>
              <w:rPr>
                <w:b/>
                <w:sz w:val="20"/>
              </w:rPr>
              <w:t>CTA</w:t>
            </w:r>
          </w:p>
        </w:tc>
        <w:tc>
          <w:tcPr>
            <w:tcW w:type="dxa" w:w="7200"/>
          </w:tcPr>
          <w:p>
            <w:r>
              <w:rPr>
                <w:sz w:val="20"/>
              </w:rPr>
              <w:t>Protocol Maintained (sub)</w:t>
            </w:r>
          </w:p>
        </w:tc>
      </w:tr>
    </w:tbl>
    <w:p/>
    <w:p>
      <w:pPr>
        <w:spacing w:before="200" w:after="40"/>
      </w:pPr>
      <w:r>
        <w:rPr>
          <w:b/>
          <w:color w:val="0D47A1"/>
          <w:sz w:val="22"/>
        </w:rPr>
        <w:t>[HERO]</w:t>
      </w:r>
    </w:p>
    <w:p>
      <w:pPr>
        <w:spacing w:before="60" w:after="40"/>
      </w:pPr>
      <w:r>
        <w:rPr>
          <w:b/>
          <w:sz w:val="20"/>
        </w:rPr>
        <w:t>Headline</w:t>
      </w:r>
      <w:r>
        <w:rPr>
          <w:sz w:val="20"/>
        </w:rPr>
        <w:t xml:space="preserve">  Three Weeks In. Maintain the Regimen.</w:t>
      </w:r>
    </w:p>
    <w:p>
      <w:pPr>
        <w:spacing w:before="60" w:after="40"/>
      </w:pPr>
      <w:r>
        <w:rPr>
          <w:b/>
          <w:sz w:val="20"/>
        </w:rPr>
        <w:t>Subheadline</w:t>
      </w:r>
      <w:r>
        <w:rPr>
          <w:sz w:val="20"/>
        </w:rPr>
        <w:t xml:space="preserve">  Cellular saturation requires uninterrupted dosing.</w:t>
      </w:r>
    </w:p>
    <w:p>
      <w:pPr>
        <w:spacing w:before="60" w:after="40"/>
      </w:pPr>
      <w:r>
        <w:rPr>
          <w:b/>
          <w:sz w:val="20"/>
        </w:rPr>
        <w:t>Intro Copy</w:t>
      </w:r>
    </w:p>
    <w:p>
      <w:pPr>
        <w:spacing w:before="60" w:after="60"/>
        <w:ind w:left="360"/>
      </w:pPr>
      <w:r>
        <w:rPr>
          <w:sz w:val="20"/>
        </w:rPr>
        <w:t>Consistent liposomal supplementation is not optional for optimal outcomes. A gap in the protocol means reestablishing cellular baseline from the beginning.</w:t>
      </w:r>
    </w:p>
    <w:p/>
    <w:p>
      <w:pPr>
        <w:spacing w:before="200" w:after="40"/>
      </w:pPr>
      <w:r>
        <w:rPr>
          <w:b/>
          <w:color w:val="0D47A1"/>
          <w:sz w:val="22"/>
        </w:rPr>
        <w:t>[SECONDARY]</w:t>
      </w:r>
    </w:p>
    <w:p>
      <w:r>
        <w:rPr>
          <w:b/>
          <w:color w:val="0D6E1D"/>
          <w:sz w:val="20"/>
        </w:rPr>
        <w:t>[SUBSCRIBER VERSION]</w:t>
      </w:r>
    </w:p>
    <w:p>
      <w:pPr>
        <w:spacing w:before="60" w:after="60"/>
        <w:ind w:left="360"/>
      </w:pPr>
      <w:r>
        <w:rPr>
          <w:sz w:val="20"/>
        </w:rPr>
        <w:t>Your protocol is uninterrupted. Cellular saturation is maintained. This is the clinical decision -- and you made it. Manage your subscription from your account dashboard at any time.</w:t>
      </w:r>
    </w:p>
    <w:p/>
    <w:p>
      <w:r>
        <w:rPr>
          <w:b/>
          <w:color w:val="C62800"/>
          <w:sz w:val="20"/>
        </w:rPr>
        <w:t>[NON-SUBSCRIBER VERSION]</w:t>
      </w:r>
    </w:p>
    <w:p>
      <w:pPr>
        <w:spacing w:before="60" w:after="60"/>
        <w:ind w:left="360"/>
      </w:pPr>
      <w:r>
        <w:rPr>
          <w:sz w:val="20"/>
        </w:rPr>
        <w:t>Interrupted supplementation resets the cellular baseline you have spent three weeks building. Subscribe to maintain protocol continuity. Skip or cancel at any time. The clinical rationale for uninterrupted supply is clear.</w:t>
      </w:r>
    </w:p>
    <w:p/>
    <w:p>
      <w:pPr>
        <w:spacing w:before="200" w:after="40"/>
      </w:pPr>
      <w:r>
        <w:rPr>
          <w:b/>
          <w:color w:val="0D47A1"/>
          <w:sz w:val="22"/>
        </w:rPr>
        <w:t>[TERTIARY]</w:t>
      </w:r>
    </w:p>
    <w:p>
      <w:pPr>
        <w:spacing w:before="120"/>
        <w:ind w:left="576"/>
      </w:pPr>
      <w:r>
        <w:rPr>
          <w:i/>
          <w:color w:val="333333"/>
          <w:sz w:val="20"/>
        </w:rPr>
        <w:t>"I'm usually picky about supplements, but with Rho's Liposomal absorption technology, I know I'm getting unmatched effectiveness."</w:t>
      </w:r>
    </w:p>
    <w:p>
      <w:pPr>
        <w:spacing w:after="80"/>
        <w:ind w:left="576"/>
      </w:pPr>
      <w:r>
        <w:rPr>
          <w:b/>
          <w:color w:val="555555"/>
          <w:sz w:val="18"/>
        </w:rPr>
        <w:t>-- Dr. Becky Campbell MD -- Functional Medicine Physician | Rho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