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C5E" w:val="clear"/>
        <w:spacing w:after="0" w:before="0"/>
      </w:pPr>
    </w:p>
    <w:p>
      <w:pPr>
        <w:shd w:fill="1A3C5E" w:val="clear"/>
        <w:spacing w:after="60" w:before="240"/>
        <w:jc w:val="center"/>
      </w:pPr>
      <w:r>
        <w:rPr>
          <w:rFonts w:ascii="Arial" w:cs="Arial" w:eastAsia="Arial" w:hAnsi="Arial"/>
          <w:b/>
          <w:bCs/>
          <w:caps/>
          <w:color w:val="D6E4F0"/>
          <w:sz w:val="20"/>
          <w:szCs w:val="20"/>
        </w:rPr>
        <w:t xml:space="preserve">PHASE 3 — ARCHITECTURE INVESTIGATION</w:t>
      </w:r>
    </w:p>
    <w:p>
      <w:pPr>
        <w:shd w:fill="1A3C5E" w:val="clear"/>
        <w:spacing w:after="60" w:before="60"/>
        <w:jc w:val="center"/>
      </w:pPr>
      <w:r>
        <w:rPr>
          <w:rFonts w:ascii="Arial" w:cs="Arial" w:eastAsia="Arial" w:hAnsi="Arial"/>
          <w:b/>
          <w:bCs/>
          <w:color w:val="FFFFFF"/>
          <w:sz w:val="36"/>
          <w:szCs w:val="36"/>
        </w:rPr>
        <w:t xml:space="preserve">Method 3: Model Context Protocol (MCP)</w:t>
      </w:r>
    </w:p>
    <w:p>
      <w:pPr>
        <w:shd w:fill="1A3C5E" w:val="clear"/>
        <w:spacing w:after="80" w:before="60"/>
        <w:jc w:val="center"/>
      </w:pPr>
      <w:r>
        <w:rPr>
          <w:rFonts w:ascii="Arial" w:cs="Arial" w:eastAsia="Arial" w:hAnsi="Arial"/>
          <w:i/>
          <w:iCs/>
          <w:color w:val="EBF4FB"/>
          <w:sz w:val="22"/>
          <w:szCs w:val="22"/>
        </w:rPr>
        <w:t xml:space="preserve">Edge-Tier, Decentralised Tool Execution for Azure AI Foundry Agents</w:t>
      </w:r>
    </w:p>
    <w:p>
      <w:pPr>
        <w:shd w:fill="1A3C5E" w:val="clear"/>
        <w:spacing w:after="240" w:before="80"/>
        <w:jc w:val="center"/>
      </w:pPr>
      <w:r>
        <w:rPr>
          <w:rFonts w:ascii="Arial" w:cs="Arial" w:eastAsia="Arial" w:hAnsi="Arial"/>
          <w:color w:val="D6E4F0"/>
          <w:sz w:val="18"/>
          <w:szCs w:val="18"/>
        </w:rPr>
        <w:t xml:space="preserve">Source: </w:t>
      </w:r>
      <w:r>
        <w:rPr>
          <w:rFonts w:ascii="Arial" w:cs="Arial" w:eastAsia="Arial" w:hAnsi="Arial"/>
          <w:color w:val="EBF4FB"/>
          <w:sz w:val="18"/>
          <w:szCs w:val="18"/>
        </w:rPr>
        <w:t xml:space="preserve">github.com/kintone/mcp-server  (v1.1.0, Sep 2025)</w:t>
      </w:r>
    </w:p>
    <w:p>
      <w:pPr>
        <w:spacing w:after="80" w:before="80"/>
      </w:pPr>
    </w:p>
    <w:p>
      <w:pPr>
        <w:pStyle w:val="Heading1"/>
        <w:shd w:fill="1A3C5E" w:val="clear"/>
        <w:spacing w:after="200" w:before="400"/>
        <w:ind w:left="160" w:right="160"/>
      </w:pPr>
      <w:r>
        <w:rPr>
          <w:rFonts w:ascii="Arial" w:cs="Arial" w:eastAsia="Arial" w:hAnsi="Arial"/>
          <w:b/>
          <w:bCs/>
          <w:color w:val="FFFFFF"/>
          <w:sz w:val="30"/>
          <w:szCs w:val="30"/>
        </w:rPr>
        <w:t xml:space="preserve">  Executive Summary</w:t>
      </w:r>
    </w:p>
    <w:p>
      <w:pPr>
        <w:spacing w:after="80" w:before="60"/>
      </w:pPr>
      <w:r>
        <w:rPr>
          <w:rFonts w:ascii="Arial" w:cs="Arial" w:eastAsia="Arial" w:hAnsi="Arial"/>
          <w:color w:val="1A1A1A"/>
          <w:sz w:val="20"/>
          <w:szCs w:val="20"/>
        </w:rPr>
        <w:t xml:space="preserve">This report investigates the feasibility of routing Azure AI Foundry agent tool calls through a containerised Model Context Protocol (MCP) server rather than a direct REST endpoint or Logic Apps workflow. MCP introduces a protocol indirection layer — the agent communicates via JSON-RPC 2.0 over Streamable HTTP to a sidecar container, which translates agent intent into Kintone REST API calls.</w:t>
      </w:r>
    </w:p>
    <w:p>
      <w:pPr>
        <w:spacing w:after="80" w:before="80"/>
      </w:pPr>
    </w:p>
    <w:p>
      <w:pPr>
        <w:spacing w:after="80" w:before="60"/>
      </w:pPr>
      <w:r>
        <w:rPr>
          <w:rFonts w:ascii="Arial" w:cs="Arial" w:eastAsia="Arial" w:hAnsi="Arial"/>
          <w:color w:val="1A1A1A"/>
          <w:sz w:val="20"/>
          <w:szCs w:val="20"/>
        </w:rPr>
        <w:t xml:space="preserve">Cybozu published an official open-source MCP server for Kintone (github.com/kintone/mcp-server) in August 2025, reaching v1.1.0 in September 2025 with file-download support. This materially reduces build effort compared to a custom server, but introduces a set of architectural, operational, and security trade-offs that are thoroughly assessed below.</w:t>
      </w:r>
    </w:p>
    <w:p>
      <w:pPr>
        <w:spacing w:after="80" w:before="80"/>
      </w:pPr>
    </w:p>
    <w:p>
      <w:pPr>
        <w:spacing w:after="80" w:before="60"/>
      </w:pPr>
      <w:r>
        <w:rPr>
          <w:rFonts w:ascii="Arial" w:cs="Arial" w:eastAsia="Arial" w:hAnsi="Arial"/>
          <w:color w:val="1A1A1A"/>
          <w:sz w:val="20"/>
          <w:szCs w:val="20"/>
        </w:rPr>
        <w:t xml:space="preserve">Four domains are investigated: (1) architecture requirements and the official server's tool coverage, (2) infrastructure and operational overhead of hosting the server on Azure Container Apps, (3) credential security posture — how the MCP layer vaults Kintone API tokens versus Foundry's native cloud connection model, and (4) infrastructure compute cost and the additional network latency imposed by the MCP protocol hop.</w:t>
      </w:r>
    </w:p>
    <w:p>
      <w:pPr>
        <w:spacing w:after="80" w:before="80"/>
      </w:pPr>
    </w:p>
    <w:p>
      <w:pPr>
        <w:pStyle w:val="Heading1"/>
        <w:shd w:fill="1A3C5E" w:val="clear"/>
        <w:spacing w:after="200" w:before="400"/>
        <w:ind w:left="160" w:right="160"/>
      </w:pPr>
      <w:r>
        <w:rPr>
          <w:rFonts w:ascii="Arial" w:cs="Arial" w:eastAsia="Arial" w:hAnsi="Arial"/>
          <w:b/>
          <w:bCs/>
          <w:color w:val="FFFFFF"/>
          <w:sz w:val="30"/>
          <w:szCs w:val="30"/>
        </w:rPr>
        <w:t xml:space="preserve">  1  Architecture Review</w:t>
      </w:r>
    </w:p>
    <w:p>
      <w:pPr>
        <w:pStyle w:val="Heading2"/>
        <w:pBdr>
          <w:bottom w:val="single" w:color="2563A8" w:sz="6"/>
        </w:pBdr>
        <w:spacing w:after="120" w:before="300"/>
      </w:pPr>
      <w:r>
        <w:rPr>
          <w:rFonts w:ascii="Arial" w:cs="Arial" w:eastAsia="Arial" w:hAnsi="Arial"/>
          <w:b/>
          <w:bCs/>
          <w:color w:val="1A3C5E"/>
          <w:sz w:val="26"/>
          <w:szCs w:val="26"/>
        </w:rPr>
        <w:t xml:space="preserve">1.1  The Official Kintone MCP Server</w:t>
      </w:r>
    </w:p>
    <w:p>
      <w:pPr>
        <w:spacing w:after="80" w:before="60"/>
      </w:pPr>
      <w:r>
        <w:rPr>
          <w:rFonts w:ascii="Arial" w:cs="Arial" w:eastAsia="Arial" w:hAnsi="Arial"/>
          <w:color w:val="1A1A1A"/>
          <w:sz w:val="20"/>
          <w:szCs w:val="20"/>
        </w:rPr>
        <w:t xml:space="preserve">Cybozu's official MCP server (Apache 2.0 licence, TypeScript/Node.js runtime) is distributed via:</w:t>
      </w:r>
    </w:p>
    <w:p>
      <w:pPr>
        <w:pStyle w:val="ListParagraph"/>
        <w:numPr>
          <w:ilvl w:val="0"/>
          <w:numId w:val="2"/>
        </w:numPr>
        <w:spacing w:after="40" w:before="40"/>
      </w:pPr>
      <w:r>
        <w:rPr>
          <w:rFonts w:ascii="Arial" w:cs="Arial" w:eastAsia="Arial" w:hAnsi="Arial"/>
          <w:color w:val="1A1A1A"/>
          <w:sz w:val="20"/>
          <w:szCs w:val="20"/>
        </w:rPr>
        <w:t xml:space="preserve">Container image: ghcr.io/kintone/mcp-server:latest (GitHub Container Registry)</w:t>
      </w:r>
    </w:p>
    <w:p>
      <w:pPr>
        <w:pStyle w:val="ListParagraph"/>
        <w:numPr>
          <w:ilvl w:val="0"/>
          <w:numId w:val="2"/>
        </w:numPr>
        <w:spacing w:after="40" w:before="40"/>
      </w:pPr>
      <w:r>
        <w:rPr>
          <w:rFonts w:ascii="Arial" w:cs="Arial" w:eastAsia="Arial" w:hAnsi="Arial"/>
          <w:color w:val="1A1A1A"/>
          <w:sz w:val="20"/>
          <w:szCs w:val="20"/>
        </w:rPr>
        <w:t xml:space="preserve">Binary releases: .dxt / .mcpb packages for local desktop clients (Claude Desktop, VS Code)</w:t>
      </w:r>
    </w:p>
    <w:p>
      <w:pPr>
        <w:pStyle w:val="ListParagraph"/>
        <w:numPr>
          <w:ilvl w:val="0"/>
          <w:numId w:val="2"/>
        </w:numPr>
        <w:spacing w:after="40" w:before="40"/>
      </w:pPr>
      <w:r>
        <w:rPr>
          <w:rFonts w:ascii="Arial" w:cs="Arial" w:eastAsia="Arial" w:hAnsi="Arial"/>
          <w:color w:val="1A1A1A"/>
          <w:sz w:val="20"/>
          <w:szCs w:val="20"/>
        </w:rPr>
        <w:t xml:space="preserve">Source: github.com/kintone/mcp-server — 303 commits, actively maintained, monthly release cadence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2563A8"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WARN</w:t>
            </w:r>
          </w:p>
        </w:tc>
        <w:tc>
          <w:tcPr>
            <w:tcW w:type="dxa" w:w="8840"/>
            <w:tcBorders>
              <w:top w:val="none" w:color="FFFFFF" w:sz="0"/>
              <w:left w:val="none" w:color="FFFFFF" w:sz="0"/>
              <w:bottom w:val="none" w:color="FFFFFF" w:sz="0"/>
              <w:right w:val="none" w:color="FFFFFF" w:sz="0"/>
            </w:tcBorders>
            <w:shd w:fill="FFF3CD" w:val="clear"/>
            <w:tcMar>
              <w:top w:type="dxa" w:w="80"/>
              <w:left w:type="dxa" w:w="180"/>
              <w:bottom w:type="dxa" w:w="80"/>
              <w:right w:type="dxa" w:w="120"/>
            </w:tcMar>
          </w:tcPr>
          <w:p>
            <w:r>
              <w:rPr>
                <w:rFonts w:ascii="Arial" w:cs="Arial" w:eastAsia="Arial" w:hAnsi="Arial"/>
                <w:color w:val="1A1A1A"/>
                <w:sz w:val="19"/>
                <w:szCs w:val="19"/>
              </w:rPr>
              <w:t xml:space="preserve">IMPORTANT SUPPORT CAVEAT: The kintone local MCP server is explicitly excluded from Cybozu's API support desk. Bug reports and feature requests must go through GitHub Issues. For a production agent system, this means your team is responsible for tracking upstream releases, testing compatibility, and applying updates.</w:t>
            </w:r>
          </w:p>
        </w:tc>
      </w:tr>
    </w:tbl>
    <w:p>
      <w:pPr>
        <w:spacing w:after="80" w:before="80"/>
      </w:pPr>
    </w:p>
    <w:p>
      <w:pPr>
        <w:pStyle w:val="Heading2"/>
        <w:pBdr>
          <w:bottom w:val="single" w:color="2563A8" w:sz="6"/>
        </w:pBdr>
        <w:spacing w:after="120" w:before="300"/>
      </w:pPr>
      <w:r>
        <w:rPr>
          <w:rFonts w:ascii="Arial" w:cs="Arial" w:eastAsia="Arial" w:hAnsi="Arial"/>
          <w:b/>
          <w:bCs/>
          <w:color w:val="1A3C5E"/>
          <w:sz w:val="26"/>
          <w:szCs w:val="26"/>
        </w:rPr>
        <w:t xml:space="preserve">1.2  Tool Inventory — Official Server v1.1.0</w:t>
      </w:r>
    </w:p>
    <w:p>
      <w:pPr>
        <w:spacing w:after="80" w:before="60"/>
      </w:pPr>
      <w:r>
        <w:rPr>
          <w:rFonts w:ascii="Arial" w:cs="Arial" w:eastAsia="Arial" w:hAnsi="Arial"/>
          <w:color w:val="1A1A1A"/>
          <w:sz w:val="20"/>
          <w:szCs w:val="20"/>
        </w:rPr>
        <w:t xml:space="preserve">The official server exposes the following MCP tools as of v1.1.0 (September 2025). Each tool maps to one or more Kintone REST API calls: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00"/>
            <w:tcBorders>
              <w:top w:val="single" w:color="AABBCC" w:sz="2"/>
              <w:left w:val="single" w:color="AABBCC" w:sz="2"/>
              <w:bottom w:val="single" w:color="AABBCC" w:sz="2"/>
              <w:right w:val="single" w:color="AABBCC" w:sz="2"/>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MCP Tool Name</w:t>
            </w:r>
          </w:p>
        </w:tc>
        <w:tc>
          <w:tcPr>
            <w:tcW w:type="dxa" w:w="3200"/>
            <w:tcBorders>
              <w:top w:val="single" w:color="AABBCC" w:sz="2"/>
              <w:left w:val="single" w:color="AABBCC" w:sz="2"/>
              <w:bottom w:val="single" w:color="AABBCC" w:sz="2"/>
              <w:right w:val="single" w:color="AABBCC" w:sz="2"/>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Kintone API Endpoint</w:t>
            </w:r>
          </w:p>
        </w:tc>
        <w:tc>
          <w:tcPr>
            <w:tcW w:type="dxa" w:w="3360"/>
            <w:tcBorders>
              <w:top w:val="single" w:color="AABBCC" w:sz="2"/>
              <w:left w:val="single" w:color="AABBCC" w:sz="2"/>
              <w:bottom w:val="single" w:color="AABBCC" w:sz="2"/>
              <w:right w:val="single" w:color="AABBCC" w:sz="2"/>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80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get_record</w:t>
            </w:r>
          </w:p>
        </w:tc>
        <w:tc>
          <w:tcPr>
            <w:tcW w:type="dxa" w:w="320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GET /k/v1/record.json</w:t>
            </w:r>
          </w:p>
        </w:tc>
        <w:tc>
          <w:tcPr>
            <w:tcW w:type="dxa" w:w="336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Single record by App ID + Record ID</w:t>
            </w:r>
          </w:p>
        </w:tc>
      </w:tr>
      <w:tr>
        <w:tc>
          <w:tcPr>
            <w:tcW w:type="dxa" w:w="280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get_records</w:t>
            </w:r>
          </w:p>
        </w:tc>
        <w:tc>
          <w:tcPr>
            <w:tcW w:type="dxa" w:w="320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GET /k/v1/records.json</w:t>
            </w:r>
          </w:p>
        </w:tc>
        <w:tc>
          <w:tcPr>
            <w:tcW w:type="dxa" w:w="336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Multi-record query with filtering and pagination; max 500/req</w:t>
            </w:r>
          </w:p>
        </w:tc>
      </w:tr>
      <w:tr>
        <w:tc>
          <w:tcPr>
            <w:tcW w:type="dxa" w:w="280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add_record</w:t>
            </w:r>
          </w:p>
        </w:tc>
        <w:tc>
          <w:tcPr>
            <w:tcW w:type="dxa" w:w="320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POST /k/v1/record.json</w:t>
            </w:r>
          </w:p>
        </w:tc>
        <w:tc>
          <w:tcPr>
            <w:tcW w:type="dxa" w:w="336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Single record; field codes + value objects</w:t>
            </w:r>
          </w:p>
        </w:tc>
      </w:tr>
      <w:tr>
        <w:tc>
          <w:tcPr>
            <w:tcW w:type="dxa" w:w="280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add_records</w:t>
            </w:r>
          </w:p>
        </w:tc>
        <w:tc>
          <w:tcPr>
            <w:tcW w:type="dxa" w:w="320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POST /k/v1/records.json</w:t>
            </w:r>
          </w:p>
        </w:tc>
        <w:tc>
          <w:tcPr>
            <w:tcW w:type="dxa" w:w="336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Bulk add up to 100 records atomically</w:t>
            </w:r>
          </w:p>
        </w:tc>
      </w:tr>
      <w:tr>
        <w:tc>
          <w:tcPr>
            <w:tcW w:type="dxa" w:w="280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update_record</w:t>
            </w:r>
          </w:p>
        </w:tc>
        <w:tc>
          <w:tcPr>
            <w:tcW w:type="dxa" w:w="320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PUT /k/v1/record.json</w:t>
            </w:r>
          </w:p>
        </w:tc>
        <w:tc>
          <w:tcPr>
            <w:tcW w:type="dxa" w:w="336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Single record; supports revision for optimistic locking</w:t>
            </w:r>
          </w:p>
        </w:tc>
      </w:tr>
      <w:tr>
        <w:tc>
          <w:tcPr>
            <w:tcW w:type="dxa" w:w="280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update_records</w:t>
            </w:r>
          </w:p>
        </w:tc>
        <w:tc>
          <w:tcPr>
            <w:tcW w:type="dxa" w:w="320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PUT /k/v1/records.json</w:t>
            </w:r>
          </w:p>
        </w:tc>
        <w:tc>
          <w:tcPr>
            <w:tcW w:type="dxa" w:w="336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Bulk update up to 100 records atomically</w:t>
            </w:r>
          </w:p>
        </w:tc>
      </w:tr>
      <w:tr>
        <w:tc>
          <w:tcPr>
            <w:tcW w:type="dxa" w:w="280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delete_records</w:t>
            </w:r>
          </w:p>
        </w:tc>
        <w:tc>
          <w:tcPr>
            <w:tcW w:type="dxa" w:w="320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DELETE /k/v1/records.json</w:t>
            </w:r>
          </w:p>
        </w:tc>
        <w:tc>
          <w:tcPr>
            <w:tcW w:type="dxa" w:w="336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Delete up to 100 records by ID array</w:t>
            </w:r>
          </w:p>
        </w:tc>
      </w:tr>
      <w:tr>
        <w:tc>
          <w:tcPr>
            <w:tcW w:type="dxa" w:w="280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download_file</w:t>
            </w:r>
          </w:p>
        </w:tc>
        <w:tc>
          <w:tcPr>
            <w:tcW w:type="dxa" w:w="320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GET /k/v1/file.json</w:t>
            </w:r>
          </w:p>
        </w:tc>
        <w:tc>
          <w:tcPr>
            <w:tcW w:type="dxa" w:w="336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Added in v1.1.0 (Sep 2025). Returns file content.</w:t>
            </w:r>
          </w:p>
        </w:tc>
      </w:tr>
      <w:tr>
        <w:tc>
          <w:tcPr>
            <w:tcW w:type="dxa" w:w="280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upload_file</w:t>
            </w:r>
          </w:p>
        </w:tc>
        <w:tc>
          <w:tcPr>
            <w:tcW w:type="dxa" w:w="320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POST /k/v1/file.json</w:t>
            </w:r>
          </w:p>
        </w:tc>
        <w:tc>
          <w:tcPr>
            <w:tcW w:type="dxa" w:w="336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File upload via multipart — handled inside the server</w:t>
            </w:r>
          </w:p>
        </w:tc>
      </w:tr>
      <w:tr>
        <w:tc>
          <w:tcPr>
            <w:tcW w:type="dxa" w:w="280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get_apps</w:t>
            </w:r>
          </w:p>
        </w:tc>
        <w:tc>
          <w:tcPr>
            <w:tcW w:type="dxa" w:w="320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GET /k/v1/apps.json</w:t>
            </w:r>
          </w:p>
        </w:tc>
        <w:tc>
          <w:tcPr>
            <w:tcW w:type="dxa" w:w="336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List apps with optional ID/name/space filters</w:t>
            </w:r>
          </w:p>
        </w:tc>
      </w:tr>
      <w:tr>
        <w:tc>
          <w:tcPr>
            <w:tcW w:type="dxa" w:w="280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get_app</w:t>
            </w:r>
          </w:p>
        </w:tc>
        <w:tc>
          <w:tcPr>
            <w:tcW w:type="dxa" w:w="320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GET /k/v1/app.json</w:t>
            </w:r>
          </w:p>
        </w:tc>
        <w:tc>
          <w:tcPr>
            <w:tcW w:type="dxa" w:w="336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Single app metadata</w:t>
            </w:r>
          </w:p>
        </w:tc>
      </w:tr>
      <w:tr>
        <w:tc>
          <w:tcPr>
            <w:tcW w:type="dxa" w:w="280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get_form_fields</w:t>
            </w:r>
          </w:p>
        </w:tc>
        <w:tc>
          <w:tcPr>
            <w:tcW w:type="dxa" w:w="320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GET /k/v1/app/form/fields.json</w:t>
            </w:r>
          </w:p>
        </w:tc>
        <w:tc>
          <w:tcPr>
            <w:tcW w:type="dxa" w:w="336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Field codes, types, labels — essential for building queries</w:t>
            </w:r>
          </w:p>
        </w:tc>
      </w:tr>
      <w:tr>
        <w:tc>
          <w:tcPr>
            <w:tcW w:type="dxa" w:w="280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get_form_layout</w:t>
            </w:r>
          </w:p>
        </w:tc>
        <w:tc>
          <w:tcPr>
            <w:tcW w:type="dxa" w:w="320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GET /k/v1/app/form/layout.json</w:t>
            </w:r>
          </w:p>
        </w:tc>
        <w:tc>
          <w:tcPr>
            <w:tcW w:type="dxa" w:w="336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Row structure and field grouping</w:t>
            </w:r>
          </w:p>
        </w:tc>
      </w:tr>
      <w:tr>
        <w:tc>
          <w:tcPr>
            <w:tcW w:type="dxa" w:w="280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get_views</w:t>
            </w:r>
          </w:p>
        </w:tc>
        <w:tc>
          <w:tcPr>
            <w:tcW w:type="dxa" w:w="320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GET /k/v1/app/views.json</w:t>
            </w:r>
          </w:p>
        </w:tc>
        <w:tc>
          <w:tcPr>
            <w:tcW w:type="dxa" w:w="336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Custom views, calendar views, etc.</w:t>
            </w:r>
          </w:p>
        </w:tc>
      </w:tr>
      <w:tr>
        <w:tc>
          <w:tcPr>
            <w:tcW w:type="dxa" w:w="280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get_comments</w:t>
            </w:r>
          </w:p>
        </w:tc>
        <w:tc>
          <w:tcPr>
            <w:tcW w:type="dxa" w:w="320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GET /k/v1/record/comments.json</w:t>
            </w:r>
          </w:p>
        </w:tc>
        <w:tc>
          <w:tcPr>
            <w:tcW w:type="dxa" w:w="336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Up to 10 comments/request, paginated</w:t>
            </w:r>
          </w:p>
        </w:tc>
      </w:tr>
      <w:tr>
        <w:tc>
          <w:tcPr>
            <w:tcW w:type="dxa" w:w="280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get_app_settings</w:t>
            </w:r>
          </w:p>
        </w:tc>
        <w:tc>
          <w:tcPr>
            <w:tcW w:type="dxa" w:w="320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GET /k/v1/app/settings.json</w:t>
            </w:r>
          </w:p>
        </w:tc>
        <w:tc>
          <w:tcPr>
            <w:tcW w:type="dxa" w:w="336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Added in v1.1.0; app name, icon, description</w:t>
            </w:r>
          </w:p>
        </w:tc>
      </w:tr>
    </w:tbl>
    <w:p>
      <w:pPr>
        <w:spacing w:after="80" w:before="80"/>
      </w:pPr>
    </w:p>
    <w:p>
      <w:pPr>
        <w:spacing w:after="80" w:before="60"/>
      </w:pPr>
      <w:r>
        <w:rPr>
          <w:rFonts w:ascii="Arial" w:cs="Arial" w:eastAsia="Arial" w:hAnsi="Arial"/>
          <w:color w:val="1A1A1A"/>
          <w:sz w:val="20"/>
          <w:szCs w:val="20"/>
        </w:rPr>
        <w:t xml:space="preserve">Critical observation: the MCP server handles multipart/form-data file uploads internally — the tool exposes a simple JSON interface to the agent, while the server performs the HTTP content-type translation in its own process. This eliminates the Azure Function bridge required by Method 2 for the uploadFile operation. The download_file tool similarly returns file content without exposing binary transport to the agent.</w:t>
      </w:r>
    </w:p>
    <w:p>
      <w:pPr>
        <w:spacing w:after="80" w:before="80"/>
      </w:pPr>
    </w:p>
    <w:p>
      <w:pPr>
        <w:pStyle w:val="Heading2"/>
        <w:pBdr>
          <w:bottom w:val="single" w:color="2563A8" w:sz="6"/>
        </w:pBdr>
        <w:spacing w:after="120" w:before="300"/>
      </w:pPr>
      <w:r>
        <w:rPr>
          <w:rFonts w:ascii="Arial" w:cs="Arial" w:eastAsia="Arial" w:hAnsi="Arial"/>
          <w:b/>
          <w:bCs/>
          <w:color w:val="1A3C5E"/>
          <w:sz w:val="26"/>
          <w:szCs w:val="26"/>
        </w:rPr>
        <w:t xml:space="preserve">1.3  Target Endpoint Coverage vs Required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500"/>
            <w:tcBorders>
              <w:top w:val="single" w:color="AABBCC" w:sz="2"/>
              <w:left w:val="single" w:color="AABBCC" w:sz="2"/>
              <w:bottom w:val="single" w:color="AABBCC" w:sz="2"/>
              <w:right w:val="single" w:color="AABBCC" w:sz="2"/>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Required Endpoint</w:t>
            </w:r>
          </w:p>
        </w:tc>
        <w:tc>
          <w:tcPr>
            <w:tcW w:type="dxa" w:w="900"/>
            <w:tcBorders>
              <w:top w:val="single" w:color="AABBCC" w:sz="2"/>
              <w:left w:val="single" w:color="AABBCC" w:sz="2"/>
              <w:bottom w:val="single" w:color="AABBCC" w:sz="2"/>
              <w:right w:val="single" w:color="AABBCC" w:sz="2"/>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2960"/>
            <w:tcBorders>
              <w:top w:val="single" w:color="AABBCC" w:sz="2"/>
              <w:left w:val="single" w:color="AABBCC" w:sz="2"/>
              <w:bottom w:val="single" w:color="AABBCC" w:sz="2"/>
              <w:right w:val="single" w:color="AABBCC" w:sz="2"/>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MCP Tool</w:t>
            </w:r>
          </w:p>
        </w:tc>
        <w:tc>
          <w:tcPr>
            <w:tcW w:type="dxa" w:w="2900"/>
            <w:tcBorders>
              <w:top w:val="single" w:color="AABBCC" w:sz="2"/>
              <w:left w:val="single" w:color="AABBCC" w:sz="2"/>
              <w:bottom w:val="single" w:color="AABBCC" w:sz="2"/>
              <w:right w:val="single" w:color="AABBCC" w:sz="2"/>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Coverage</w:t>
            </w:r>
          </w:p>
        </w:tc>
      </w:tr>
      <w:tr>
        <w:tc>
          <w:tcPr>
            <w:tcW w:type="dxa" w:w="2500"/>
            <w:tcBorders>
              <w:top w:val="single" w:color="AABBCC" w:sz="2"/>
              <w:left w:val="single" w:color="AABBCC" w:sz="2"/>
              <w:bottom w:val="single" w:color="AABBCC" w:sz="2"/>
              <w:right w:val="single" w:color="AABBCC" w:sz="2"/>
            </w:tcBorders>
            <w:shd w:fill="DFF0D8" w:val="clear"/>
            <w:tcMar>
              <w:top w:type="dxa" w:w="70"/>
              <w:left w:type="dxa" w:w="120"/>
              <w:bottom w:type="dxa" w:w="70"/>
              <w:right w:type="dxa" w:w="120"/>
            </w:tcMar>
          </w:tcPr>
          <w:p>
            <w:r>
              <w:rPr>
                <w:rFonts w:ascii="Arial" w:cs="Arial" w:eastAsia="Arial" w:hAnsi="Arial"/>
                <w:color w:val="1A1A1A"/>
                <w:sz w:val="19"/>
                <w:szCs w:val="19"/>
              </w:rPr>
              <w:t xml:space="preserve">/k/v1/record.json</w:t>
            </w:r>
          </w:p>
        </w:tc>
        <w:tc>
          <w:tcPr>
            <w:tcW w:type="dxa" w:w="900"/>
            <w:tcBorders>
              <w:top w:val="single" w:color="AABBCC" w:sz="2"/>
              <w:left w:val="single" w:color="AABBCC" w:sz="2"/>
              <w:bottom w:val="single" w:color="AABBCC" w:sz="2"/>
              <w:right w:val="single" w:color="AABBCC" w:sz="2"/>
            </w:tcBorders>
            <w:shd w:fill="DFF0D8" w:val="clear"/>
            <w:tcMar>
              <w:top w:type="dxa" w:w="70"/>
              <w:left w:type="dxa" w:w="120"/>
              <w:bottom w:type="dxa" w:w="70"/>
              <w:right w:type="dxa" w:w="120"/>
            </w:tcMar>
          </w:tcPr>
          <w:p>
            <w:r>
              <w:rPr>
                <w:rFonts w:ascii="Arial" w:cs="Arial" w:eastAsia="Arial" w:hAnsi="Arial"/>
                <w:color w:val="1A1A1A"/>
                <w:sz w:val="19"/>
                <w:szCs w:val="19"/>
              </w:rPr>
              <w:t xml:space="preserve">GET</w:t>
            </w:r>
          </w:p>
        </w:tc>
        <w:tc>
          <w:tcPr>
            <w:tcW w:type="dxa" w:w="2960"/>
            <w:tcBorders>
              <w:top w:val="single" w:color="AABBCC" w:sz="2"/>
              <w:left w:val="single" w:color="AABBCC" w:sz="2"/>
              <w:bottom w:val="single" w:color="AABBCC" w:sz="2"/>
              <w:right w:val="single" w:color="AABBCC" w:sz="2"/>
            </w:tcBorders>
            <w:shd w:fill="DFF0D8" w:val="clear"/>
            <w:tcMar>
              <w:top w:type="dxa" w:w="70"/>
              <w:left w:type="dxa" w:w="120"/>
              <w:bottom w:type="dxa" w:w="70"/>
              <w:right w:type="dxa" w:w="120"/>
            </w:tcMar>
          </w:tcPr>
          <w:p>
            <w:r>
              <w:rPr>
                <w:rFonts w:ascii="Arial" w:cs="Arial" w:eastAsia="Arial" w:hAnsi="Arial"/>
                <w:color w:val="1A1A1A"/>
                <w:sz w:val="19"/>
                <w:szCs w:val="19"/>
              </w:rPr>
              <w:t xml:space="preserve">get_record</w:t>
            </w:r>
          </w:p>
        </w:tc>
        <w:tc>
          <w:tcPr>
            <w:tcW w:type="dxa" w:w="2900"/>
            <w:tcBorders>
              <w:top w:val="single" w:color="AABBCC" w:sz="2"/>
              <w:left w:val="single" w:color="AABBCC" w:sz="2"/>
              <w:bottom w:val="single" w:color="AABBCC" w:sz="2"/>
              <w:right w:val="single" w:color="AABBCC" w:sz="2"/>
            </w:tcBorders>
            <w:shd w:fill="DFF0D8" w:val="clear"/>
            <w:tcMar>
              <w:top w:type="dxa" w:w="70"/>
              <w:left w:type="dxa" w:w="120"/>
              <w:bottom w:type="dxa" w:w="70"/>
              <w:right w:type="dxa" w:w="120"/>
            </w:tcMar>
          </w:tcPr>
          <w:p>
            <w:r>
              <w:rPr>
                <w:rFonts w:ascii="Arial" w:cs="Arial" w:eastAsia="Arial" w:hAnsi="Arial"/>
                <w:color w:val="1A1A1A"/>
                <w:sz w:val="19"/>
                <w:szCs w:val="19"/>
              </w:rPr>
              <w:t xml:space="preserve">✅ Fully covered — available since v1.0.0</w:t>
            </w:r>
          </w:p>
        </w:tc>
      </w:tr>
      <w:tr>
        <w:tc>
          <w:tcPr>
            <w:tcW w:type="dxa" w:w="2500"/>
            <w:tcBorders>
              <w:top w:val="single" w:color="AABBCC" w:sz="2"/>
              <w:left w:val="single" w:color="AABBCC" w:sz="2"/>
              <w:bottom w:val="single" w:color="AABBCC" w:sz="2"/>
              <w:right w:val="single" w:color="AABBCC" w:sz="2"/>
            </w:tcBorders>
            <w:shd w:fill="DFF0D8" w:val="clear"/>
            <w:tcMar>
              <w:top w:type="dxa" w:w="70"/>
              <w:left w:type="dxa" w:w="120"/>
              <w:bottom w:type="dxa" w:w="70"/>
              <w:right w:type="dxa" w:w="120"/>
            </w:tcMar>
          </w:tcPr>
          <w:p>
            <w:r>
              <w:rPr>
                <w:rFonts w:ascii="Arial" w:cs="Arial" w:eastAsia="Arial" w:hAnsi="Arial"/>
                <w:color w:val="1A1A1A"/>
                <w:sz w:val="19"/>
                <w:szCs w:val="19"/>
              </w:rPr>
              <w:t xml:space="preserve">/k/v1/record.json</w:t>
            </w:r>
          </w:p>
        </w:tc>
        <w:tc>
          <w:tcPr>
            <w:tcW w:type="dxa" w:w="900"/>
            <w:tcBorders>
              <w:top w:val="single" w:color="AABBCC" w:sz="2"/>
              <w:left w:val="single" w:color="AABBCC" w:sz="2"/>
              <w:bottom w:val="single" w:color="AABBCC" w:sz="2"/>
              <w:right w:val="single" w:color="AABBCC" w:sz="2"/>
            </w:tcBorders>
            <w:shd w:fill="DFF0D8" w:val="clear"/>
            <w:tcMar>
              <w:top w:type="dxa" w:w="70"/>
              <w:left w:type="dxa" w:w="120"/>
              <w:bottom w:type="dxa" w:w="70"/>
              <w:right w:type="dxa" w:w="120"/>
            </w:tcMar>
          </w:tcPr>
          <w:p>
            <w:r>
              <w:rPr>
                <w:rFonts w:ascii="Arial" w:cs="Arial" w:eastAsia="Arial" w:hAnsi="Arial"/>
                <w:color w:val="1A1A1A"/>
                <w:sz w:val="19"/>
                <w:szCs w:val="19"/>
              </w:rPr>
              <w:t xml:space="preserve">POST</w:t>
            </w:r>
          </w:p>
        </w:tc>
        <w:tc>
          <w:tcPr>
            <w:tcW w:type="dxa" w:w="2960"/>
            <w:tcBorders>
              <w:top w:val="single" w:color="AABBCC" w:sz="2"/>
              <w:left w:val="single" w:color="AABBCC" w:sz="2"/>
              <w:bottom w:val="single" w:color="AABBCC" w:sz="2"/>
              <w:right w:val="single" w:color="AABBCC" w:sz="2"/>
            </w:tcBorders>
            <w:shd w:fill="DFF0D8" w:val="clear"/>
            <w:tcMar>
              <w:top w:type="dxa" w:w="70"/>
              <w:left w:type="dxa" w:w="120"/>
              <w:bottom w:type="dxa" w:w="70"/>
              <w:right w:type="dxa" w:w="120"/>
            </w:tcMar>
          </w:tcPr>
          <w:p>
            <w:r>
              <w:rPr>
                <w:rFonts w:ascii="Arial" w:cs="Arial" w:eastAsia="Arial" w:hAnsi="Arial"/>
                <w:color w:val="1A1A1A"/>
                <w:sz w:val="19"/>
                <w:szCs w:val="19"/>
              </w:rPr>
              <w:t xml:space="preserve">add_record</w:t>
            </w:r>
          </w:p>
        </w:tc>
        <w:tc>
          <w:tcPr>
            <w:tcW w:type="dxa" w:w="2900"/>
            <w:tcBorders>
              <w:top w:val="single" w:color="AABBCC" w:sz="2"/>
              <w:left w:val="single" w:color="AABBCC" w:sz="2"/>
              <w:bottom w:val="single" w:color="AABBCC" w:sz="2"/>
              <w:right w:val="single" w:color="AABBCC" w:sz="2"/>
            </w:tcBorders>
            <w:shd w:fill="DFF0D8" w:val="clear"/>
            <w:tcMar>
              <w:top w:type="dxa" w:w="70"/>
              <w:left w:type="dxa" w:w="120"/>
              <w:bottom w:type="dxa" w:w="70"/>
              <w:right w:type="dxa" w:w="120"/>
            </w:tcMar>
          </w:tcPr>
          <w:p>
            <w:r>
              <w:rPr>
                <w:rFonts w:ascii="Arial" w:cs="Arial" w:eastAsia="Arial" w:hAnsi="Arial"/>
                <w:color w:val="1A1A1A"/>
                <w:sz w:val="19"/>
                <w:szCs w:val="19"/>
              </w:rPr>
              <w:t xml:space="preserve">✅ Fully covered — available since v1.0.0</w:t>
            </w:r>
          </w:p>
        </w:tc>
      </w:tr>
      <w:tr>
        <w:tc>
          <w:tcPr>
            <w:tcW w:type="dxa" w:w="2500"/>
            <w:tcBorders>
              <w:top w:val="single" w:color="AABBCC" w:sz="2"/>
              <w:left w:val="single" w:color="AABBCC" w:sz="2"/>
              <w:bottom w:val="single" w:color="AABBCC" w:sz="2"/>
              <w:right w:val="single" w:color="AABBCC" w:sz="2"/>
            </w:tcBorders>
            <w:shd w:fill="DFF0D8" w:val="clear"/>
            <w:tcMar>
              <w:top w:type="dxa" w:w="70"/>
              <w:left w:type="dxa" w:w="120"/>
              <w:bottom w:type="dxa" w:w="70"/>
              <w:right w:type="dxa" w:w="120"/>
            </w:tcMar>
          </w:tcPr>
          <w:p>
            <w:r>
              <w:rPr>
                <w:rFonts w:ascii="Arial" w:cs="Arial" w:eastAsia="Arial" w:hAnsi="Arial"/>
                <w:color w:val="1A1A1A"/>
                <w:sz w:val="19"/>
                <w:szCs w:val="19"/>
              </w:rPr>
              <w:t xml:space="preserve">/k/v1/record.json</w:t>
            </w:r>
          </w:p>
        </w:tc>
        <w:tc>
          <w:tcPr>
            <w:tcW w:type="dxa" w:w="900"/>
            <w:tcBorders>
              <w:top w:val="single" w:color="AABBCC" w:sz="2"/>
              <w:left w:val="single" w:color="AABBCC" w:sz="2"/>
              <w:bottom w:val="single" w:color="AABBCC" w:sz="2"/>
              <w:right w:val="single" w:color="AABBCC" w:sz="2"/>
            </w:tcBorders>
            <w:shd w:fill="DFF0D8" w:val="clear"/>
            <w:tcMar>
              <w:top w:type="dxa" w:w="70"/>
              <w:left w:type="dxa" w:w="120"/>
              <w:bottom w:type="dxa" w:w="70"/>
              <w:right w:type="dxa" w:w="120"/>
            </w:tcMar>
          </w:tcPr>
          <w:p>
            <w:r>
              <w:rPr>
                <w:rFonts w:ascii="Arial" w:cs="Arial" w:eastAsia="Arial" w:hAnsi="Arial"/>
                <w:color w:val="1A1A1A"/>
                <w:sz w:val="19"/>
                <w:szCs w:val="19"/>
              </w:rPr>
              <w:t xml:space="preserve">PUT</w:t>
            </w:r>
          </w:p>
        </w:tc>
        <w:tc>
          <w:tcPr>
            <w:tcW w:type="dxa" w:w="2960"/>
            <w:tcBorders>
              <w:top w:val="single" w:color="AABBCC" w:sz="2"/>
              <w:left w:val="single" w:color="AABBCC" w:sz="2"/>
              <w:bottom w:val="single" w:color="AABBCC" w:sz="2"/>
              <w:right w:val="single" w:color="AABBCC" w:sz="2"/>
            </w:tcBorders>
            <w:shd w:fill="DFF0D8" w:val="clear"/>
            <w:tcMar>
              <w:top w:type="dxa" w:w="70"/>
              <w:left w:type="dxa" w:w="120"/>
              <w:bottom w:type="dxa" w:w="70"/>
              <w:right w:type="dxa" w:w="120"/>
            </w:tcMar>
          </w:tcPr>
          <w:p>
            <w:r>
              <w:rPr>
                <w:rFonts w:ascii="Arial" w:cs="Arial" w:eastAsia="Arial" w:hAnsi="Arial"/>
                <w:color w:val="1A1A1A"/>
                <w:sz w:val="19"/>
                <w:szCs w:val="19"/>
              </w:rPr>
              <w:t xml:space="preserve">update_record</w:t>
            </w:r>
          </w:p>
        </w:tc>
        <w:tc>
          <w:tcPr>
            <w:tcW w:type="dxa" w:w="2900"/>
            <w:tcBorders>
              <w:top w:val="single" w:color="AABBCC" w:sz="2"/>
              <w:left w:val="single" w:color="AABBCC" w:sz="2"/>
              <w:bottom w:val="single" w:color="AABBCC" w:sz="2"/>
              <w:right w:val="single" w:color="AABBCC" w:sz="2"/>
            </w:tcBorders>
            <w:shd w:fill="DFF0D8" w:val="clear"/>
            <w:tcMar>
              <w:top w:type="dxa" w:w="70"/>
              <w:left w:type="dxa" w:w="120"/>
              <w:bottom w:type="dxa" w:w="70"/>
              <w:right w:type="dxa" w:w="120"/>
            </w:tcMar>
          </w:tcPr>
          <w:p>
            <w:r>
              <w:rPr>
                <w:rFonts w:ascii="Arial" w:cs="Arial" w:eastAsia="Arial" w:hAnsi="Arial"/>
                <w:color w:val="1A1A1A"/>
                <w:sz w:val="19"/>
                <w:szCs w:val="19"/>
              </w:rPr>
              <w:t xml:space="preserve">✅ Fully covered — available since v1.0.0</w:t>
            </w:r>
          </w:p>
        </w:tc>
      </w:tr>
      <w:tr>
        <w:tc>
          <w:tcPr>
            <w:tcW w:type="dxa" w:w="2500"/>
            <w:tcBorders>
              <w:top w:val="single" w:color="AABBCC" w:sz="2"/>
              <w:left w:val="single" w:color="AABBCC" w:sz="2"/>
              <w:bottom w:val="single" w:color="AABBCC" w:sz="2"/>
              <w:right w:val="single" w:color="AABBCC" w:sz="2"/>
            </w:tcBorders>
            <w:shd w:fill="DFF0D8" w:val="clear"/>
            <w:tcMar>
              <w:top w:type="dxa" w:w="70"/>
              <w:left w:type="dxa" w:w="120"/>
              <w:bottom w:type="dxa" w:w="70"/>
              <w:right w:type="dxa" w:w="120"/>
            </w:tcMar>
          </w:tcPr>
          <w:p>
            <w:r>
              <w:rPr>
                <w:rFonts w:ascii="Arial" w:cs="Arial" w:eastAsia="Arial" w:hAnsi="Arial"/>
                <w:color w:val="1A1A1A"/>
                <w:sz w:val="19"/>
                <w:szCs w:val="19"/>
              </w:rPr>
              <w:t xml:space="preserve">/k/v1/file.json</w:t>
            </w:r>
          </w:p>
        </w:tc>
        <w:tc>
          <w:tcPr>
            <w:tcW w:type="dxa" w:w="900"/>
            <w:tcBorders>
              <w:top w:val="single" w:color="AABBCC" w:sz="2"/>
              <w:left w:val="single" w:color="AABBCC" w:sz="2"/>
              <w:bottom w:val="single" w:color="AABBCC" w:sz="2"/>
              <w:right w:val="single" w:color="AABBCC" w:sz="2"/>
            </w:tcBorders>
            <w:shd w:fill="DFF0D8" w:val="clear"/>
            <w:tcMar>
              <w:top w:type="dxa" w:w="70"/>
              <w:left w:type="dxa" w:w="120"/>
              <w:bottom w:type="dxa" w:w="70"/>
              <w:right w:type="dxa" w:w="120"/>
            </w:tcMar>
          </w:tcPr>
          <w:p>
            <w:r>
              <w:rPr>
                <w:rFonts w:ascii="Arial" w:cs="Arial" w:eastAsia="Arial" w:hAnsi="Arial"/>
                <w:color w:val="1A1A1A"/>
                <w:sz w:val="19"/>
                <w:szCs w:val="19"/>
              </w:rPr>
              <w:t xml:space="preserve">GET</w:t>
            </w:r>
          </w:p>
        </w:tc>
        <w:tc>
          <w:tcPr>
            <w:tcW w:type="dxa" w:w="2960"/>
            <w:tcBorders>
              <w:top w:val="single" w:color="AABBCC" w:sz="2"/>
              <w:left w:val="single" w:color="AABBCC" w:sz="2"/>
              <w:bottom w:val="single" w:color="AABBCC" w:sz="2"/>
              <w:right w:val="single" w:color="AABBCC" w:sz="2"/>
            </w:tcBorders>
            <w:shd w:fill="DFF0D8" w:val="clear"/>
            <w:tcMar>
              <w:top w:type="dxa" w:w="70"/>
              <w:left w:type="dxa" w:w="120"/>
              <w:bottom w:type="dxa" w:w="70"/>
              <w:right w:type="dxa" w:w="120"/>
            </w:tcMar>
          </w:tcPr>
          <w:p>
            <w:r>
              <w:rPr>
                <w:rFonts w:ascii="Arial" w:cs="Arial" w:eastAsia="Arial" w:hAnsi="Arial"/>
                <w:color w:val="1A1A1A"/>
                <w:sz w:val="19"/>
                <w:szCs w:val="19"/>
              </w:rPr>
              <w:t xml:space="preserve">download_file</w:t>
            </w:r>
          </w:p>
        </w:tc>
        <w:tc>
          <w:tcPr>
            <w:tcW w:type="dxa" w:w="2900"/>
            <w:tcBorders>
              <w:top w:val="single" w:color="AABBCC" w:sz="2"/>
              <w:left w:val="single" w:color="AABBCC" w:sz="2"/>
              <w:bottom w:val="single" w:color="AABBCC" w:sz="2"/>
              <w:right w:val="single" w:color="AABBCC" w:sz="2"/>
            </w:tcBorders>
            <w:shd w:fill="DFF0D8" w:val="clear"/>
            <w:tcMar>
              <w:top w:type="dxa" w:w="70"/>
              <w:left w:type="dxa" w:w="120"/>
              <w:bottom w:type="dxa" w:w="70"/>
              <w:right w:type="dxa" w:w="120"/>
            </w:tcMar>
          </w:tcPr>
          <w:p>
            <w:r>
              <w:rPr>
                <w:rFonts w:ascii="Arial" w:cs="Arial" w:eastAsia="Arial" w:hAnsi="Arial"/>
                <w:color w:val="1A1A1A"/>
                <w:sz w:val="19"/>
                <w:szCs w:val="19"/>
              </w:rPr>
              <w:t xml:space="preserve">✅ Covered — added in v1.1.0 (Sep 2025)</w:t>
            </w:r>
          </w:p>
        </w:tc>
      </w:tr>
      <w:tr>
        <w:tc>
          <w:tcPr>
            <w:tcW w:type="dxa" w:w="2500"/>
            <w:tcBorders>
              <w:top w:val="single" w:color="AABBCC" w:sz="2"/>
              <w:left w:val="single" w:color="AABBCC" w:sz="2"/>
              <w:bottom w:val="single" w:color="AABBCC" w:sz="2"/>
              <w:right w:val="single" w:color="AABBCC" w:sz="2"/>
            </w:tcBorders>
            <w:shd w:fill="DFF0D8" w:val="clear"/>
            <w:tcMar>
              <w:top w:type="dxa" w:w="70"/>
              <w:left w:type="dxa" w:w="120"/>
              <w:bottom w:type="dxa" w:w="70"/>
              <w:right w:type="dxa" w:w="120"/>
            </w:tcMar>
          </w:tcPr>
          <w:p>
            <w:r>
              <w:rPr>
                <w:rFonts w:ascii="Arial" w:cs="Arial" w:eastAsia="Arial" w:hAnsi="Arial"/>
                <w:color w:val="1A1A1A"/>
                <w:sz w:val="19"/>
                <w:szCs w:val="19"/>
              </w:rPr>
              <w:t xml:space="preserve">/k/v1/file.json</w:t>
            </w:r>
          </w:p>
        </w:tc>
        <w:tc>
          <w:tcPr>
            <w:tcW w:type="dxa" w:w="900"/>
            <w:tcBorders>
              <w:top w:val="single" w:color="AABBCC" w:sz="2"/>
              <w:left w:val="single" w:color="AABBCC" w:sz="2"/>
              <w:bottom w:val="single" w:color="AABBCC" w:sz="2"/>
              <w:right w:val="single" w:color="AABBCC" w:sz="2"/>
            </w:tcBorders>
            <w:shd w:fill="DFF0D8" w:val="clear"/>
            <w:tcMar>
              <w:top w:type="dxa" w:w="70"/>
              <w:left w:type="dxa" w:w="120"/>
              <w:bottom w:type="dxa" w:w="70"/>
              <w:right w:type="dxa" w:w="120"/>
            </w:tcMar>
          </w:tcPr>
          <w:p>
            <w:r>
              <w:rPr>
                <w:rFonts w:ascii="Arial" w:cs="Arial" w:eastAsia="Arial" w:hAnsi="Arial"/>
                <w:color w:val="1A1A1A"/>
                <w:sz w:val="19"/>
                <w:szCs w:val="19"/>
              </w:rPr>
              <w:t xml:space="preserve">POST</w:t>
            </w:r>
          </w:p>
        </w:tc>
        <w:tc>
          <w:tcPr>
            <w:tcW w:type="dxa" w:w="2960"/>
            <w:tcBorders>
              <w:top w:val="single" w:color="AABBCC" w:sz="2"/>
              <w:left w:val="single" w:color="AABBCC" w:sz="2"/>
              <w:bottom w:val="single" w:color="AABBCC" w:sz="2"/>
              <w:right w:val="single" w:color="AABBCC" w:sz="2"/>
            </w:tcBorders>
            <w:shd w:fill="DFF0D8" w:val="clear"/>
            <w:tcMar>
              <w:top w:type="dxa" w:w="70"/>
              <w:left w:type="dxa" w:w="120"/>
              <w:bottom w:type="dxa" w:w="70"/>
              <w:right w:type="dxa" w:w="120"/>
            </w:tcMar>
          </w:tcPr>
          <w:p>
            <w:r>
              <w:rPr>
                <w:rFonts w:ascii="Arial" w:cs="Arial" w:eastAsia="Arial" w:hAnsi="Arial"/>
                <w:color w:val="1A1A1A"/>
                <w:sz w:val="19"/>
                <w:szCs w:val="19"/>
              </w:rPr>
              <w:t xml:space="preserve">upload_file</w:t>
            </w:r>
          </w:p>
        </w:tc>
        <w:tc>
          <w:tcPr>
            <w:tcW w:type="dxa" w:w="2900"/>
            <w:tcBorders>
              <w:top w:val="single" w:color="AABBCC" w:sz="2"/>
              <w:left w:val="single" w:color="AABBCC" w:sz="2"/>
              <w:bottom w:val="single" w:color="AABBCC" w:sz="2"/>
              <w:right w:val="single" w:color="AABBCC" w:sz="2"/>
            </w:tcBorders>
            <w:shd w:fill="DFF0D8" w:val="clear"/>
            <w:tcMar>
              <w:top w:type="dxa" w:w="70"/>
              <w:left w:type="dxa" w:w="120"/>
              <w:bottom w:type="dxa" w:w="70"/>
              <w:right w:type="dxa" w:w="120"/>
            </w:tcMar>
          </w:tcPr>
          <w:p>
            <w:r>
              <w:rPr>
                <w:rFonts w:ascii="Arial" w:cs="Arial" w:eastAsia="Arial" w:hAnsi="Arial"/>
                <w:color w:val="1A1A1A"/>
                <w:sz w:val="19"/>
                <w:szCs w:val="19"/>
              </w:rPr>
              <w:t xml:space="preserve">✅ Covered — multipart handled server-side</w:t>
            </w:r>
          </w:p>
        </w:tc>
      </w:tr>
    </w:tbl>
    <w:p>
      <w:pPr>
        <w:spacing w:after="80" w:before="80"/>
      </w:pPr>
    </w:p>
    <w:p>
      <w:pPr>
        <w:spacing w:after="80" w:before="60"/>
      </w:pPr>
      <w:r>
        <w:rPr>
          <w:rFonts w:ascii="Arial" w:cs="Arial" w:eastAsia="Arial" w:hAnsi="Arial"/>
          <w:color w:val="1A1A1A"/>
          <w:sz w:val="20"/>
          <w:szCs w:val="20"/>
        </w:rPr>
        <w:t xml:space="preserve">This is the key structural advantage of Method 3 over Method 2: all five required operations are covered natively by the official MCP server, including file upload and download. No Azure Function bridge is required.</w:t>
      </w:r>
    </w:p>
    <w:p>
      <w:pPr>
        <w:spacing w:after="80" w:before="80"/>
      </w:pPr>
    </w:p>
    <w:p>
      <w:pPr>
        <w:pStyle w:val="Heading2"/>
        <w:pBdr>
          <w:bottom w:val="single" w:color="2563A8" w:sz="6"/>
        </w:pBdr>
        <w:spacing w:after="120" w:before="300"/>
      </w:pPr>
      <w:r>
        <w:rPr>
          <w:rFonts w:ascii="Arial" w:cs="Arial" w:eastAsia="Arial" w:hAnsi="Arial"/>
          <w:b/>
          <w:bCs/>
          <w:color w:val="1A3C5E"/>
          <w:sz w:val="26"/>
          <w:szCs w:val="26"/>
        </w:rPr>
        <w:t xml:space="preserve">1.4  Foundry Integration Architecture</w:t>
      </w:r>
    </w:p>
    <w:p>
      <w:pPr>
        <w:spacing w:after="80" w:before="60"/>
      </w:pPr>
      <w:r>
        <w:rPr>
          <w:rFonts w:ascii="Arial" w:cs="Arial" w:eastAsia="Arial" w:hAnsi="Arial"/>
          <w:color w:val="1A1A1A"/>
          <w:sz w:val="20"/>
          <w:szCs w:val="20"/>
        </w:rPr>
        <w:t xml:space="preserve">Azure AI Foundry Agent Service supports remote MCP server connections via two endpoint configurations: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AABBCC" w:sz="2"/>
              <w:left w:val="single" w:color="AABBCC" w:sz="2"/>
              <w:bottom w:val="single" w:color="AABBCC" w:sz="2"/>
              <w:right w:val="single" w:color="AABBCC" w:sz="2"/>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Endpoint Type</w:t>
            </w:r>
          </w:p>
        </w:tc>
        <w:tc>
          <w:tcPr>
            <w:tcW w:type="dxa" w:w="1800"/>
            <w:tcBorders>
              <w:top w:val="single" w:color="AABBCC" w:sz="2"/>
              <w:left w:val="single" w:color="AABBCC" w:sz="2"/>
              <w:bottom w:val="single" w:color="AABBCC" w:sz="2"/>
              <w:right w:val="single" w:color="AABBCC" w:sz="2"/>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Transport</w:t>
            </w:r>
          </w:p>
        </w:tc>
        <w:tc>
          <w:tcPr>
            <w:tcW w:type="dxa" w:w="2800"/>
            <w:tcBorders>
              <w:top w:val="single" w:color="AABBCC" w:sz="2"/>
              <w:left w:val="single" w:color="AABBCC" w:sz="2"/>
              <w:bottom w:val="single" w:color="AABBCC" w:sz="2"/>
              <w:right w:val="single" w:color="AABBCC" w:sz="2"/>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Foundry Setup</w:t>
            </w:r>
          </w:p>
        </w:tc>
        <w:tc>
          <w:tcPr>
            <w:tcW w:type="dxa" w:w="2560"/>
            <w:tcBorders>
              <w:top w:val="single" w:color="AABBCC" w:sz="2"/>
              <w:left w:val="single" w:color="AABBCC" w:sz="2"/>
              <w:bottom w:val="single" w:color="AABBCC" w:sz="2"/>
              <w:right w:val="single" w:color="AABBCC" w:sz="2"/>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Networking</w:t>
            </w:r>
          </w:p>
        </w:tc>
      </w:tr>
      <w:tr>
        <w:tc>
          <w:tcPr>
            <w:tcW w:type="dxa" w:w="220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Public endpoint</w:t>
            </w:r>
          </w:p>
        </w:tc>
        <w:tc>
          <w:tcPr>
            <w:tcW w:type="dxa" w:w="180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Streamable HTTP (2025-03-26 spec)</w:t>
            </w:r>
          </w:p>
        </w:tc>
        <w:tc>
          <w:tcPr>
            <w:tcW w:type="dxa" w:w="280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Basic or Standard Agent Setup; URL registered directly in Foundry</w:t>
            </w:r>
          </w:p>
        </w:tc>
        <w:tc>
          <w:tcPr>
            <w:tcW w:type="dxa" w:w="256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MCP server must be internet-accessible with HTTPS + auth</w:t>
            </w:r>
          </w:p>
        </w:tc>
      </w:tr>
      <w:tr>
        <w:tc>
          <w:tcPr>
            <w:tcW w:type="dxa" w:w="220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Private endpoint</w:t>
            </w:r>
          </w:p>
        </w:tc>
        <w:tc>
          <w:tcPr>
            <w:tcW w:type="dxa" w:w="180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Streamable HTTP over VNet</w:t>
            </w:r>
          </w:p>
        </w:tc>
        <w:tc>
          <w:tcPr>
            <w:tcW w:type="dxa" w:w="280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Standard Agent Setup only; dedicated MCP subnet delegated to Microsoft.App/environments</w:t>
            </w:r>
          </w:p>
        </w:tc>
        <w:tc>
          <w:tcPr>
            <w:tcW w:type="dxa" w:w="256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MCP server on ACA with internal-only ingress; no public internet exposure</w:t>
            </w:r>
          </w:p>
        </w:tc>
      </w:tr>
    </w:tbl>
    <w:p>
      <w:pPr>
        <w:spacing w:after="80" w:before="80"/>
      </w:pPr>
    </w:p>
    <w:p>
      <w:pPr>
        <w:spacing w:after="80" w:before="60"/>
      </w:pPr>
      <w:r>
        <w:rPr>
          <w:rFonts w:ascii="Arial" w:cs="Arial" w:eastAsia="Arial" w:hAnsi="Arial"/>
          <w:color w:val="1A1A1A"/>
          <w:sz w:val="20"/>
          <w:szCs w:val="20"/>
        </w:rPr>
        <w:t xml:space="preserve">For enterprise deployments with Kintone access from a corporate network, the private endpoint path is strongly recommended. The recommended provisioning template is the Foundry 19-hybrid-private-resources-agent-setup, which provisions the MCP subnet, VNet, and private DNS zones automatically.</w:t>
      </w:r>
    </w:p>
    <w:p>
      <w:pPr>
        <w:spacing w:after="80" w:before="80"/>
      </w:pPr>
    </w:p>
    <w:p>
      <w:pPr>
        <w:shd w:fill="F0F4F8" w:val="clear"/>
        <w:spacing w:after="0" w:before="0"/>
        <w:ind w:left="400" w:right="300"/>
      </w:pPr>
      <w:r>
        <w:rPr>
          <w:rFonts w:ascii="Courier New" w:cs="Courier New" w:eastAsia="Courier New" w:hAnsi="Courier New"/>
          <w:color w:val="1A3C5E"/>
          <w:sz w:val="18"/>
          <w:szCs w:val="18"/>
        </w:rPr>
        <w:t xml:space="preserve"># SDK registration of the MCP server as a Foundry agent tool (Python)</w:t>
      </w:r>
    </w:p>
    <w:p>
      <w:pPr>
        <w:shd w:fill="F0F4F8" w:val="clear"/>
        <w:spacing w:after="0" w:before="0"/>
        <w:ind w:left="400" w:right="300"/>
      </w:pPr>
      <w:r>
        <w:rPr>
          <w:rFonts w:ascii="Courier New" w:cs="Courier New" w:eastAsia="Courier New" w:hAnsi="Courier New"/>
          <w:color w:val="1A3C5E"/>
          <w:sz w:val="18"/>
          <w:szCs w:val="18"/>
        </w:rPr>
        <w:t xml:space="preserve">from azure.ai.agents.models import McpTool</w:t>
      </w:r>
    </w:p>
    <w:p>
      <w:pPr>
        <w:shd w:fill="F0F4F8" w:val="clear"/>
        <w:spacing w:after="0" w:before="0"/>
        <w:ind w:left="400" w:right="300"/>
      </w:pPr>
      <w:r>
        <w:rPr>
          <w:rFonts w:ascii="Courier New" w:cs="Courier New" w:eastAsia="Courier New" w:hAnsi="Courier New"/>
          <w:color w:val="1A3C5E"/>
          <w:sz w:val="18"/>
          <w:szCs w:val="18"/>
        </w:rPr>
        <w:t xml:space="preserve"/>
      </w:r>
    </w:p>
    <w:p>
      <w:pPr>
        <w:shd w:fill="F0F4F8" w:val="clear"/>
        <w:spacing w:after="0" w:before="0"/>
        <w:ind w:left="400" w:right="300"/>
      </w:pPr>
      <w:r>
        <w:rPr>
          <w:rFonts w:ascii="Courier New" w:cs="Courier New" w:eastAsia="Courier New" w:hAnsi="Courier New"/>
          <w:color w:val="1A3C5E"/>
          <w:sz w:val="18"/>
          <w:szCs w:val="18"/>
        </w:rPr>
        <w:t xml:space="preserve">mcp_tool = McpTool(</w:t>
      </w:r>
    </w:p>
    <w:p>
      <w:pPr>
        <w:shd w:fill="F0F4F8" w:val="clear"/>
        <w:spacing w:after="0" w:before="0"/>
        <w:ind w:left="400" w:right="300"/>
      </w:pPr>
      <w:r>
        <w:rPr>
          <w:rFonts w:ascii="Courier New" w:cs="Courier New" w:eastAsia="Courier New" w:hAnsi="Courier New"/>
          <w:color w:val="1A3C5E"/>
          <w:sz w:val="18"/>
          <w:szCs w:val="18"/>
        </w:rPr>
        <w:t xml:space="preserve">    server_label='kintone_mcp',</w:t>
      </w:r>
    </w:p>
    <w:p>
      <w:pPr>
        <w:shd w:fill="F0F4F8" w:val="clear"/>
        <w:spacing w:after="0" w:before="0"/>
        <w:ind w:left="400" w:right="300"/>
      </w:pPr>
      <w:r>
        <w:rPr>
          <w:rFonts w:ascii="Courier New" w:cs="Courier New" w:eastAsia="Courier New" w:hAnsi="Courier New"/>
          <w:color w:val="1A3C5E"/>
          <w:sz w:val="18"/>
          <w:szCs w:val="18"/>
        </w:rPr>
        <w:t xml:space="preserve">    server_url='https://&lt;your-aca-fqdn&gt;.azurecontainerapps.io/mcp',</w:t>
      </w:r>
    </w:p>
    <w:p>
      <w:pPr>
        <w:shd w:fill="F0F4F8" w:val="clear"/>
        <w:spacing w:after="0" w:before="0"/>
        <w:ind w:left="400" w:right="300"/>
      </w:pPr>
      <w:r>
        <w:rPr>
          <w:rFonts w:ascii="Courier New" w:cs="Courier New" w:eastAsia="Courier New" w:hAnsi="Courier New"/>
          <w:color w:val="1A3C5E"/>
          <w:sz w:val="18"/>
          <w:szCs w:val="18"/>
        </w:rPr>
        <w:t xml:space="preserve">    # OR for private: 'https://&lt;internal-fqdn&gt;.internal.azurecontainerapps.io/mcp'</w:t>
      </w:r>
    </w:p>
    <w:p>
      <w:pPr>
        <w:shd w:fill="F0F4F8" w:val="clear"/>
        <w:spacing w:after="0" w:before="0"/>
        <w:ind w:left="400" w:right="300"/>
      </w:pPr>
      <w:r>
        <w:rPr>
          <w:rFonts w:ascii="Courier New" w:cs="Courier New" w:eastAsia="Courier New" w:hAnsi="Courier New"/>
          <w:color w:val="1A3C5E"/>
          <w:sz w:val="18"/>
          <w:szCs w:val="18"/>
        </w:rPr>
        <w:t xml:space="preserve">    allowed_tools=[</w:t>
      </w:r>
    </w:p>
    <w:p>
      <w:pPr>
        <w:shd w:fill="F0F4F8" w:val="clear"/>
        <w:spacing w:after="0" w:before="0"/>
        <w:ind w:left="400" w:right="300"/>
      </w:pPr>
      <w:r>
        <w:rPr>
          <w:rFonts w:ascii="Courier New" w:cs="Courier New" w:eastAsia="Courier New" w:hAnsi="Courier New"/>
          <w:color w:val="1A3C5E"/>
          <w:sz w:val="18"/>
          <w:szCs w:val="18"/>
        </w:rPr>
        <w:t xml:space="preserve">        'get_record', 'add_record', 'update_record',</w:t>
      </w:r>
    </w:p>
    <w:p>
      <w:pPr>
        <w:shd w:fill="F0F4F8" w:val="clear"/>
        <w:spacing w:after="0" w:before="0"/>
        <w:ind w:left="400" w:right="300"/>
      </w:pPr>
      <w:r>
        <w:rPr>
          <w:rFonts w:ascii="Courier New" w:cs="Courier New" w:eastAsia="Courier New" w:hAnsi="Courier New"/>
          <w:color w:val="1A3C5E"/>
          <w:sz w:val="18"/>
          <w:szCs w:val="18"/>
        </w:rPr>
        <w:t xml:space="preserve">        'download_file', 'upload_file',</w:t>
      </w:r>
    </w:p>
    <w:p>
      <w:pPr>
        <w:shd w:fill="F0F4F8" w:val="clear"/>
        <w:spacing w:after="0" w:before="0"/>
        <w:ind w:left="400" w:right="300"/>
      </w:pPr>
      <w:r>
        <w:rPr>
          <w:rFonts w:ascii="Courier New" w:cs="Courier New" w:eastAsia="Courier New" w:hAnsi="Courier New"/>
          <w:color w:val="1A3C5E"/>
          <w:sz w:val="18"/>
          <w:szCs w:val="18"/>
        </w:rPr>
        <w:t xml:space="preserve">        'get_form_fields',  # strongly recommended for field discovery</w:t>
      </w:r>
    </w:p>
    <w:p>
      <w:pPr>
        <w:shd w:fill="F0F4F8" w:val="clear"/>
        <w:spacing w:after="0" w:before="0"/>
        <w:ind w:left="400" w:right="300"/>
      </w:pPr>
      <w:r>
        <w:rPr>
          <w:rFonts w:ascii="Courier New" w:cs="Courier New" w:eastAsia="Courier New" w:hAnsi="Courier New"/>
          <w:color w:val="1A3C5E"/>
          <w:sz w:val="18"/>
          <w:szCs w:val="18"/>
        </w:rPr>
        <w:t xml:space="preserve">    ],</w:t>
      </w:r>
    </w:p>
    <w:p>
      <w:pPr>
        <w:shd w:fill="F0F4F8" w:val="clear"/>
        <w:spacing w:after="0" w:before="0"/>
        <w:ind w:left="400" w:right="300"/>
      </w:pPr>
      <w:r>
        <w:rPr>
          <w:rFonts w:ascii="Courier New" w:cs="Courier New" w:eastAsia="Courier New" w:hAnsi="Courier New"/>
          <w:color w:val="1A3C5E"/>
          <w:sz w:val="18"/>
          <w:szCs w:val="18"/>
        </w:rPr>
        <w:t xml:space="preserve">    # allowed_tools=[] permits all tools — not recommended for production</w:t>
      </w:r>
    </w:p>
    <w:p>
      <w:pPr>
        <w:shd w:fill="F0F4F8" w:val="clear"/>
        <w:spacing w:after="0" w:before="0"/>
        <w:ind w:left="400" w:right="300"/>
      </w:pPr>
      <w:r>
        <w:rPr>
          <w:rFonts w:ascii="Courier New" w:cs="Courier New" w:eastAsia="Courier New" w:hAnsi="Courier New"/>
          <w:color w:val="1A3C5E"/>
          <w:sz w:val="18"/>
          <w:szCs w:val="18"/>
        </w:rPr>
        <w:t xml:space="preserve">)</w:t>
      </w:r>
    </w:p>
    <w:p>
      <w:pPr>
        <w:shd w:fill="F0F4F8" w:val="clear"/>
        <w:spacing w:after="0" w:before="0"/>
        <w:ind w:left="400" w:right="300"/>
      </w:pPr>
      <w:r>
        <w:rPr>
          <w:rFonts w:ascii="Courier New" w:cs="Courier New" w:eastAsia="Courier New" w:hAnsi="Courier New"/>
          <w:color w:val="1A3C5E"/>
          <w:sz w:val="18"/>
          <w:szCs w:val="18"/>
        </w:rPr>
        <w:t xml:space="preserve"/>
      </w:r>
    </w:p>
    <w:p>
      <w:pPr>
        <w:shd w:fill="F0F4F8" w:val="clear"/>
        <w:spacing w:after="0" w:before="0"/>
        <w:ind w:left="400" w:right="300"/>
      </w:pPr>
      <w:r>
        <w:rPr>
          <w:rFonts w:ascii="Courier New" w:cs="Courier New" w:eastAsia="Courier New" w:hAnsi="Courier New"/>
          <w:color w:val="1A3C5E"/>
          <w:sz w:val="18"/>
          <w:szCs w:val="18"/>
        </w:rPr>
        <w:t xml:space="preserve"># Attach to agent</w:t>
      </w:r>
    </w:p>
    <w:p>
      <w:pPr>
        <w:shd w:fill="F0F4F8" w:val="clear"/>
        <w:spacing w:after="0" w:before="0"/>
        <w:ind w:left="400" w:right="300"/>
      </w:pPr>
      <w:r>
        <w:rPr>
          <w:rFonts w:ascii="Courier New" w:cs="Courier New" w:eastAsia="Courier New" w:hAnsi="Courier New"/>
          <w:color w:val="1A3C5E"/>
          <w:sz w:val="18"/>
          <w:szCs w:val="18"/>
        </w:rPr>
        <w:t xml:space="preserve">agent = project_client.agents.create_agent(</w:t>
      </w:r>
    </w:p>
    <w:p>
      <w:pPr>
        <w:shd w:fill="F0F4F8" w:val="clear"/>
        <w:spacing w:after="0" w:before="0"/>
        <w:ind w:left="400" w:right="300"/>
      </w:pPr>
      <w:r>
        <w:rPr>
          <w:rFonts w:ascii="Courier New" w:cs="Courier New" w:eastAsia="Courier New" w:hAnsi="Courier New"/>
          <w:color w:val="1A3C5E"/>
          <w:sz w:val="18"/>
          <w:szCs w:val="18"/>
        </w:rPr>
        <w:t xml:space="preserve">    model='gpt-4.1',</w:t>
      </w:r>
    </w:p>
    <w:p>
      <w:pPr>
        <w:shd w:fill="F0F4F8" w:val="clear"/>
        <w:spacing w:after="0" w:before="0"/>
        <w:ind w:left="400" w:right="300"/>
      </w:pPr>
      <w:r>
        <w:rPr>
          <w:rFonts w:ascii="Courier New" w:cs="Courier New" w:eastAsia="Courier New" w:hAnsi="Courier New"/>
          <w:color w:val="1A3C5E"/>
          <w:sz w:val="18"/>
          <w:szCs w:val="18"/>
        </w:rPr>
        <w:t xml:space="preserve">    name='kintone-agent',</w:t>
      </w:r>
    </w:p>
    <w:p>
      <w:pPr>
        <w:shd w:fill="F0F4F8" w:val="clear"/>
        <w:spacing w:after="0" w:before="0"/>
        <w:ind w:left="400" w:right="300"/>
      </w:pPr>
      <w:r>
        <w:rPr>
          <w:rFonts w:ascii="Courier New" w:cs="Courier New" w:eastAsia="Courier New" w:hAnsi="Courier New"/>
          <w:color w:val="1A3C5E"/>
          <w:sz w:val="18"/>
          <w:szCs w:val="18"/>
        </w:rPr>
        <w:t xml:space="preserve">    instructions='...',</w:t>
      </w:r>
    </w:p>
    <w:p>
      <w:pPr>
        <w:shd w:fill="F0F4F8" w:val="clear"/>
        <w:spacing w:after="0" w:before="0"/>
        <w:ind w:left="400" w:right="300"/>
      </w:pPr>
      <w:r>
        <w:rPr>
          <w:rFonts w:ascii="Courier New" w:cs="Courier New" w:eastAsia="Courier New" w:hAnsi="Courier New"/>
          <w:color w:val="1A3C5E"/>
          <w:sz w:val="18"/>
          <w:szCs w:val="18"/>
        </w:rPr>
        <w:t xml:space="preserve">    tools=mcp_tool.definitions,</w:t>
      </w:r>
    </w:p>
    <w:p>
      <w:pPr>
        <w:shd w:fill="F0F4F8" w:val="clear"/>
        <w:spacing w:after="0" w:before="0"/>
        <w:ind w:left="400" w:right="300"/>
      </w:pPr>
      <w:r>
        <w:rPr>
          <w:rFonts w:ascii="Courier New" w:cs="Courier New" w:eastAsia="Courier New" w:hAnsi="Courier New"/>
          <w:color w:val="1A3C5E"/>
          <w:sz w:val="18"/>
          <w:szCs w:val="18"/>
        </w:rPr>
        <w:t xml:space="preserv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2563A8"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WARN</w:t>
            </w:r>
          </w:p>
        </w:tc>
        <w:tc>
          <w:tcPr>
            <w:tcW w:type="dxa" w:w="8840"/>
            <w:tcBorders>
              <w:top w:val="none" w:color="FFFFFF" w:sz="0"/>
              <w:left w:val="none" w:color="FFFFFF" w:sz="0"/>
              <w:bottom w:val="none" w:color="FFFFFF" w:sz="0"/>
              <w:right w:val="none" w:color="FFFFFF" w:sz="0"/>
            </w:tcBorders>
            <w:shd w:fill="FFF3CD" w:val="clear"/>
            <w:tcMar>
              <w:top w:type="dxa" w:w="80"/>
              <w:left w:type="dxa" w:w="180"/>
              <w:bottom w:type="dxa" w:w="80"/>
              <w:right w:type="dxa" w:w="120"/>
            </w:tcMar>
          </w:tcPr>
          <w:p>
            <w:r>
              <w:rPr>
                <w:rFonts w:ascii="Arial" w:cs="Arial" w:eastAsia="Arial" w:hAnsi="Arial"/>
                <w:color w:val="1A1A1A"/>
                <w:sz w:val="19"/>
                <w:szCs w:val="19"/>
              </w:rPr>
              <w:t xml:space="preserve">Tool allowlisting is mandatory. Registering the MCP server without an allowed_tools filter exposes all 16+ tools to the agent, including delete_records — which is destructive and irreversible. Always explicitly enumerate the tools the agent requires. The agent cannot call tools not in the allowlist even if the server exposes them.</w:t>
            </w:r>
          </w:p>
        </w:tc>
      </w:tr>
    </w:tbl>
    <w:p>
      <w:pPr>
        <w:spacing w:after="80" w:before="80"/>
      </w:pPr>
    </w:p>
    <w:p>
      <w:pPr>
        <w:pStyle w:val="Heading2"/>
        <w:pBdr>
          <w:bottom w:val="single" w:color="2563A8" w:sz="6"/>
        </w:pBdr>
        <w:spacing w:after="120" w:before="300"/>
      </w:pPr>
      <w:r>
        <w:rPr>
          <w:rFonts w:ascii="Arial" w:cs="Arial" w:eastAsia="Arial" w:hAnsi="Arial"/>
          <w:b/>
          <w:bCs/>
          <w:color w:val="1A3C5E"/>
          <w:sz w:val="26"/>
          <w:szCs w:val="26"/>
        </w:rPr>
        <w:t xml:space="preserve">1.5  MCP Transport Protocol — Streamable HTTP</w:t>
      </w:r>
    </w:p>
    <w:p>
      <w:pPr>
        <w:spacing w:after="80" w:before="60"/>
      </w:pPr>
      <w:r>
        <w:rPr>
          <w:rFonts w:ascii="Arial" w:cs="Arial" w:eastAsia="Arial" w:hAnsi="Arial"/>
          <w:color w:val="1A1A1A"/>
          <w:sz w:val="20"/>
          <w:szCs w:val="20"/>
        </w:rPr>
        <w:t xml:space="preserve">As of MCP spec version 2025-03-26, the canonical remote transport is Streamable HTTP, which replaced the prior HTTP+SSE transport. The official kintone/mcp-server uses @modelcontextprotocol/sdk ^1.17.5 (updated in v1.1.0), which fully supports Streamable HTTP. Key characteristics:</w:t>
      </w:r>
    </w:p>
    <w:p>
      <w:pPr>
        <w:pStyle w:val="ListParagraph"/>
        <w:numPr>
          <w:ilvl w:val="0"/>
          <w:numId w:val="2"/>
        </w:numPr>
        <w:spacing w:after="40" w:before="40"/>
      </w:pPr>
      <w:r>
        <w:rPr>
          <w:rFonts w:ascii="Arial" w:cs="Arial" w:eastAsia="Arial" w:hAnsi="Arial"/>
          <w:color w:val="1A1A1A"/>
          <w:sz w:val="20"/>
          <w:szCs w:val="20"/>
        </w:rPr>
        <w:t xml:space="preserve">Single endpoint: all JSON-RPC 2.0 messages (requests, responses, notifications) travel through one /mcp URL, simplifying load balancer configuration and TLS termination.</w:t>
      </w:r>
    </w:p>
    <w:p>
      <w:pPr>
        <w:pStyle w:val="ListParagraph"/>
        <w:numPr>
          <w:ilvl w:val="0"/>
          <w:numId w:val="2"/>
        </w:numPr>
        <w:spacing w:after="40" w:before="40"/>
      </w:pPr>
      <w:r>
        <w:rPr>
          <w:rFonts w:ascii="Arial" w:cs="Arial" w:eastAsia="Arial" w:hAnsi="Arial"/>
          <w:color w:val="1A1A1A"/>
          <w:sz w:val="20"/>
          <w:szCs w:val="20"/>
        </w:rPr>
        <w:t xml:space="preserve">Stateless sessions: durable session IDs replace TCP socket state, enabling horizontal scaling and compatibility with serverless runtimes like Azure Container Apps.</w:t>
      </w:r>
    </w:p>
    <w:p>
      <w:pPr>
        <w:pStyle w:val="ListParagraph"/>
        <w:numPr>
          <w:ilvl w:val="0"/>
          <w:numId w:val="2"/>
        </w:numPr>
        <w:spacing w:after="40" w:before="40"/>
      </w:pPr>
      <w:r>
        <w:rPr>
          <w:rFonts w:ascii="Arial" w:cs="Arial" w:eastAsia="Arial" w:hAnsi="Arial"/>
          <w:color w:val="1A1A1A"/>
          <w:sz w:val="20"/>
          <w:szCs w:val="20"/>
        </w:rPr>
        <w:t xml:space="preserve">No SSE dependency: unlike the deprecated HTTP+SSE transport, Streamable HTTP works without a persistent long-lived connection, eliminating the load balancer timeout issues that plagued SSE in cloud deployments.</w:t>
      </w:r>
    </w:p>
    <w:p>
      <w:pPr>
        <w:pStyle w:val="ListParagraph"/>
        <w:numPr>
          <w:ilvl w:val="0"/>
          <w:numId w:val="2"/>
        </w:numPr>
        <w:spacing w:after="40" w:before="40"/>
      </w:pPr>
      <w:r>
        <w:rPr>
          <w:rFonts w:ascii="Arial" w:cs="Arial" w:eastAsia="Arial" w:hAnsi="Arial"/>
          <w:color w:val="1A1A1A"/>
          <w:sz w:val="20"/>
          <w:szCs w:val="20"/>
        </w:rPr>
        <w:t xml:space="preserve">SSE deprecation deadline: multiple MCP ecosystem vendors (Atlassian, Keboola, and others) have announced SSE removal deadlines in mid-2026. New deployments must use Streamable HTTP.</w:t>
      </w:r>
    </w:p>
    <w:p>
      <w:pPr>
        <w:spacing w:after="80" w:before="80"/>
      </w:pPr>
    </w:p>
    <w:p>
      <w:pPr>
        <w:pStyle w:val="Heading1"/>
        <w:shd w:fill="1A3C5E" w:val="clear"/>
        <w:spacing w:after="200" w:before="400"/>
        <w:ind w:left="160" w:right="160"/>
      </w:pPr>
      <w:r>
        <w:rPr>
          <w:rFonts w:ascii="Arial" w:cs="Arial" w:eastAsia="Arial" w:hAnsi="Arial"/>
          <w:b/>
          <w:bCs/>
          <w:color w:val="FFFFFF"/>
          <w:sz w:val="30"/>
          <w:szCs w:val="30"/>
        </w:rPr>
        <w:t xml:space="preserve">  2  Infrastructure Overhead</w:t>
      </w:r>
    </w:p>
    <w:p>
      <w:pPr>
        <w:pStyle w:val="Heading2"/>
        <w:pBdr>
          <w:bottom w:val="single" w:color="2563A8" w:sz="6"/>
        </w:pBdr>
        <w:spacing w:after="120" w:before="300"/>
      </w:pPr>
      <w:r>
        <w:rPr>
          <w:rFonts w:ascii="Arial" w:cs="Arial" w:eastAsia="Arial" w:hAnsi="Arial"/>
          <w:b/>
          <w:bCs/>
          <w:color w:val="1A3C5E"/>
          <w:sz w:val="26"/>
          <w:szCs w:val="26"/>
        </w:rPr>
        <w:t xml:space="preserve">2.1  Containerisation</w:t>
      </w:r>
    </w:p>
    <w:p>
      <w:pPr>
        <w:spacing w:after="80" w:before="60"/>
      </w:pPr>
      <w:r>
        <w:rPr>
          <w:rFonts w:ascii="Arial" w:cs="Arial" w:eastAsia="Arial" w:hAnsi="Arial"/>
          <w:color w:val="1A1A1A"/>
          <w:sz w:val="20"/>
          <w:szCs w:val="20"/>
        </w:rPr>
        <w:t xml:space="preserve">The official kintone/mcp-server is published as a Docker image on GitHub Container Registry (ghcr.io/kintone/mcp-server). Deployment to Azure Container Apps is straightforward:</w:t>
      </w:r>
    </w:p>
    <w:p>
      <w:pPr>
        <w:spacing w:after="80" w:before="80"/>
      </w:pPr>
    </w:p>
    <w:p>
      <w:pPr>
        <w:shd w:fill="F0F4F8" w:val="clear"/>
        <w:spacing w:after="0" w:before="0"/>
        <w:ind w:left="400" w:right="300"/>
      </w:pPr>
      <w:r>
        <w:rPr>
          <w:rFonts w:ascii="Courier New" w:cs="Courier New" w:eastAsia="Courier New" w:hAnsi="Courier New"/>
          <w:color w:val="1A3C5E"/>
          <w:sz w:val="18"/>
          <w:szCs w:val="18"/>
        </w:rPr>
        <w:t xml:space="preserve"># Minimal ACA deployment (Consumption plan, public ingress)</w:t>
      </w:r>
    </w:p>
    <w:p>
      <w:pPr>
        <w:shd w:fill="F0F4F8" w:val="clear"/>
        <w:spacing w:after="0" w:before="0"/>
        <w:ind w:left="400" w:right="300"/>
      </w:pPr>
      <w:r>
        <w:rPr>
          <w:rFonts w:ascii="Courier New" w:cs="Courier New" w:eastAsia="Courier New" w:hAnsi="Courier New"/>
          <w:color w:val="1A3C5E"/>
          <w:sz w:val="18"/>
          <w:szCs w:val="18"/>
        </w:rPr>
        <w:t xml:space="preserve">az containerapp create \</w:t>
      </w:r>
    </w:p>
    <w:p>
      <w:pPr>
        <w:shd w:fill="F0F4F8" w:val="clear"/>
        <w:spacing w:after="0" w:before="0"/>
        <w:ind w:left="400" w:right="300"/>
      </w:pPr>
      <w:r>
        <w:rPr>
          <w:rFonts w:ascii="Courier New" w:cs="Courier New" w:eastAsia="Courier New" w:hAnsi="Courier New"/>
          <w:color w:val="1A3C5E"/>
          <w:sz w:val="18"/>
          <w:szCs w:val="18"/>
        </w:rPr>
        <w:t xml:space="preserve">  --name kintone-mcp \</w:t>
      </w:r>
    </w:p>
    <w:p>
      <w:pPr>
        <w:shd w:fill="F0F4F8" w:val="clear"/>
        <w:spacing w:after="0" w:before="0"/>
        <w:ind w:left="400" w:right="300"/>
      </w:pPr>
      <w:r>
        <w:rPr>
          <w:rFonts w:ascii="Courier New" w:cs="Courier New" w:eastAsia="Courier New" w:hAnsi="Courier New"/>
          <w:color w:val="1A3C5E"/>
          <w:sz w:val="18"/>
          <w:szCs w:val="18"/>
        </w:rPr>
        <w:t xml:space="preserve">  --resource-group rg-ai-agents \</w:t>
      </w:r>
    </w:p>
    <w:p>
      <w:pPr>
        <w:shd w:fill="F0F4F8" w:val="clear"/>
        <w:spacing w:after="0" w:before="0"/>
        <w:ind w:left="400" w:right="300"/>
      </w:pPr>
      <w:r>
        <w:rPr>
          <w:rFonts w:ascii="Courier New" w:cs="Courier New" w:eastAsia="Courier New" w:hAnsi="Courier New"/>
          <w:color w:val="1A3C5E"/>
          <w:sz w:val="18"/>
          <w:szCs w:val="18"/>
        </w:rPr>
        <w:t xml:space="preserve">  --environment cae-agents \</w:t>
      </w:r>
    </w:p>
    <w:p>
      <w:pPr>
        <w:shd w:fill="F0F4F8" w:val="clear"/>
        <w:spacing w:after="0" w:before="0"/>
        <w:ind w:left="400" w:right="300"/>
      </w:pPr>
      <w:r>
        <w:rPr>
          <w:rFonts w:ascii="Courier New" w:cs="Courier New" w:eastAsia="Courier New" w:hAnsi="Courier New"/>
          <w:color w:val="1A3C5E"/>
          <w:sz w:val="18"/>
          <w:szCs w:val="18"/>
        </w:rPr>
        <w:t xml:space="preserve">  --image ghcr.io/kintone/mcp-server:latest \</w:t>
      </w:r>
    </w:p>
    <w:p>
      <w:pPr>
        <w:shd w:fill="F0F4F8" w:val="clear"/>
        <w:spacing w:after="0" w:before="0"/>
        <w:ind w:left="400" w:right="300"/>
      </w:pPr>
      <w:r>
        <w:rPr>
          <w:rFonts w:ascii="Courier New" w:cs="Courier New" w:eastAsia="Courier New" w:hAnsi="Courier New"/>
          <w:color w:val="1A3C5E"/>
          <w:sz w:val="18"/>
          <w:szCs w:val="18"/>
        </w:rPr>
        <w:t xml:space="preserve">  --target-port 3000 \</w:t>
      </w:r>
    </w:p>
    <w:p>
      <w:pPr>
        <w:shd w:fill="F0F4F8" w:val="clear"/>
        <w:spacing w:after="0" w:before="0"/>
        <w:ind w:left="400" w:right="300"/>
      </w:pPr>
      <w:r>
        <w:rPr>
          <w:rFonts w:ascii="Courier New" w:cs="Courier New" w:eastAsia="Courier New" w:hAnsi="Courier New"/>
          <w:color w:val="1A3C5E"/>
          <w:sz w:val="18"/>
          <w:szCs w:val="18"/>
        </w:rPr>
        <w:t xml:space="preserve">  --ingress external \</w:t>
      </w:r>
    </w:p>
    <w:p>
      <w:pPr>
        <w:shd w:fill="F0F4F8" w:val="clear"/>
        <w:spacing w:after="0" w:before="0"/>
        <w:ind w:left="400" w:right="300"/>
      </w:pPr>
      <w:r>
        <w:rPr>
          <w:rFonts w:ascii="Courier New" w:cs="Courier New" w:eastAsia="Courier New" w:hAnsi="Courier New"/>
          <w:color w:val="1A3C5E"/>
          <w:sz w:val="18"/>
          <w:szCs w:val="18"/>
        </w:rPr>
        <w:t xml:space="preserve">  --min-replicas 1 \</w:t>
      </w:r>
    </w:p>
    <w:p>
      <w:pPr>
        <w:shd w:fill="F0F4F8" w:val="clear"/>
        <w:spacing w:after="0" w:before="0"/>
        <w:ind w:left="400" w:right="300"/>
      </w:pPr>
      <w:r>
        <w:rPr>
          <w:rFonts w:ascii="Courier New" w:cs="Courier New" w:eastAsia="Courier New" w:hAnsi="Courier New"/>
          <w:color w:val="1A3C5E"/>
          <w:sz w:val="18"/>
          <w:szCs w:val="18"/>
        </w:rPr>
        <w:t xml:space="preserve">  --max-replicas 5 \</w:t>
      </w:r>
    </w:p>
    <w:p>
      <w:pPr>
        <w:shd w:fill="F0F4F8" w:val="clear"/>
        <w:spacing w:after="0" w:before="0"/>
        <w:ind w:left="400" w:right="300"/>
      </w:pPr>
      <w:r>
        <w:rPr>
          <w:rFonts w:ascii="Courier New" w:cs="Courier New" w:eastAsia="Courier New" w:hAnsi="Courier New"/>
          <w:color w:val="1A3C5E"/>
          <w:sz w:val="18"/>
          <w:szCs w:val="18"/>
        </w:rPr>
        <w:t xml:space="preserve">  --cpu 0.5 --memory 1Gi \</w:t>
      </w:r>
    </w:p>
    <w:p>
      <w:pPr>
        <w:shd w:fill="F0F4F8" w:val="clear"/>
        <w:spacing w:after="0" w:before="0"/>
        <w:ind w:left="400" w:right="300"/>
      </w:pPr>
      <w:r>
        <w:rPr>
          <w:rFonts w:ascii="Courier New" w:cs="Courier New" w:eastAsia="Courier New" w:hAnsi="Courier New"/>
          <w:color w:val="1A3C5E"/>
          <w:sz w:val="18"/>
          <w:szCs w:val="18"/>
        </w:rPr>
        <w:t xml:space="preserve">  --env-vars \</w:t>
      </w:r>
    </w:p>
    <w:p>
      <w:pPr>
        <w:shd w:fill="F0F4F8" w:val="clear"/>
        <w:spacing w:after="0" w:before="0"/>
        <w:ind w:left="400" w:right="300"/>
      </w:pPr>
      <w:r>
        <w:rPr>
          <w:rFonts w:ascii="Courier New" w:cs="Courier New" w:eastAsia="Courier New" w:hAnsi="Courier New"/>
          <w:color w:val="1A3C5E"/>
          <w:sz w:val="18"/>
          <w:szCs w:val="18"/>
        </w:rPr>
        <w:t xml:space="preserve">    KINTONE_BASE_URL=secretref:kintone-base-url \</w:t>
      </w:r>
    </w:p>
    <w:p>
      <w:pPr>
        <w:shd w:fill="F0F4F8" w:val="clear"/>
        <w:spacing w:after="0" w:before="0"/>
        <w:ind w:left="400" w:right="300"/>
      </w:pPr>
      <w:r>
        <w:rPr>
          <w:rFonts w:ascii="Courier New" w:cs="Courier New" w:eastAsia="Courier New" w:hAnsi="Courier New"/>
          <w:color w:val="1A3C5E"/>
          <w:sz w:val="18"/>
          <w:szCs w:val="18"/>
        </w:rPr>
        <w:t xml:space="preserve">    KINTONE_API_TOKEN=secretref:kintone-api-token \</w:t>
      </w:r>
    </w:p>
    <w:p>
      <w:pPr>
        <w:shd w:fill="F0F4F8" w:val="clear"/>
        <w:spacing w:after="0" w:before="0"/>
        <w:ind w:left="400" w:right="300"/>
      </w:pPr>
      <w:r>
        <w:rPr>
          <w:rFonts w:ascii="Courier New" w:cs="Courier New" w:eastAsia="Courier New" w:hAnsi="Courier New"/>
          <w:color w:val="1A3C5E"/>
          <w:sz w:val="18"/>
          <w:szCs w:val="18"/>
        </w:rPr>
        <w:t xml:space="preserve">    PORT=3000</w:t>
      </w:r>
    </w:p>
    <w:p>
      <w:pPr>
        <w:spacing w:after="80" w:before="80"/>
      </w:pPr>
    </w:p>
    <w:p>
      <w:pPr>
        <w:spacing w:after="80" w:before="60"/>
      </w:pPr>
      <w:r>
        <w:rPr>
          <w:rFonts w:ascii="Arial" w:cs="Arial" w:eastAsia="Arial" w:hAnsi="Arial"/>
          <w:color w:val="1A1A1A"/>
          <w:sz w:val="20"/>
          <w:szCs w:val="20"/>
        </w:rPr>
        <w:t xml:space="preserve">Important note: the official server image defaults to stdio transport for its original Claude Desktop use case. To expose it as a remote Streamable HTTP server, either (a) use a fork/wrapper that starts the server with HTTP transport, or (b) build a custom Dockerfile that wraps the server with HTTP transport configuration. The official repo's docker/ directory provides a starting point; the community has published several Streamable HTTP wrappers on GitHub.</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2563A8"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WARN</w:t>
            </w:r>
          </w:p>
        </w:tc>
        <w:tc>
          <w:tcPr>
            <w:tcW w:type="dxa" w:w="8840"/>
            <w:tcBorders>
              <w:top w:val="none" w:color="FFFFFF" w:sz="0"/>
              <w:left w:val="none" w:color="FFFFFF" w:sz="0"/>
              <w:bottom w:val="none" w:color="FFFFFF" w:sz="0"/>
              <w:right w:val="none" w:color="FFFFFF" w:sz="0"/>
            </w:tcBorders>
            <w:shd w:fill="FFF3CD" w:val="clear"/>
            <w:tcMar>
              <w:top w:type="dxa" w:w="80"/>
              <w:left w:type="dxa" w:w="180"/>
              <w:bottom w:type="dxa" w:w="80"/>
              <w:right w:type="dxa" w:w="120"/>
            </w:tcMar>
          </w:tcPr>
          <w:p>
            <w:r>
              <w:rPr>
                <w:rFonts w:ascii="Arial" w:cs="Arial" w:eastAsia="Arial" w:hAnsi="Arial"/>
                <w:color w:val="1A1A1A"/>
                <w:sz w:val="19"/>
                <w:szCs w:val="19"/>
              </w:rPr>
              <w:t xml:space="preserve">The kintone/mcp-server image is designed for local stdio use (Claude Desktop). Running it as a remote HTTP server for Foundry requires adding a Streamable HTTP transport wrapper. Budget 1–2 days of engineering to build and validate this wrapper before containerisation.</w:t>
            </w:r>
          </w:p>
        </w:tc>
      </w:tr>
    </w:tbl>
    <w:p>
      <w:pPr>
        <w:spacing w:after="80" w:before="80"/>
      </w:pPr>
    </w:p>
    <w:p>
      <w:pPr>
        <w:pStyle w:val="Heading2"/>
        <w:pBdr>
          <w:bottom w:val="single" w:color="2563A8" w:sz="6"/>
        </w:pBdr>
        <w:spacing w:after="120" w:before="300"/>
      </w:pPr>
      <w:r>
        <w:rPr>
          <w:rFonts w:ascii="Arial" w:cs="Arial" w:eastAsia="Arial" w:hAnsi="Arial"/>
          <w:b/>
          <w:bCs/>
          <w:color w:val="1A3C5E"/>
          <w:sz w:val="26"/>
          <w:szCs w:val="26"/>
        </w:rPr>
        <w:t xml:space="preserve">2.2  Operational Runbook</w:t>
      </w:r>
    </w:p>
    <w:p>
      <w:pPr>
        <w:spacing w:after="80" w:before="60"/>
      </w:pPr>
      <w:r>
        <w:rPr>
          <w:rFonts w:ascii="Arial" w:cs="Arial" w:eastAsia="Arial" w:hAnsi="Arial"/>
          <w:color w:val="1A1A1A"/>
          <w:sz w:val="20"/>
          <w:szCs w:val="20"/>
        </w:rPr>
        <w:t xml:space="preserve">Compared to Method 1 (Logic Apps — fully managed) and Method 2 (direct REST — serverless), Method 3 introduces a persistent infrastructure component that requires active operational management: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800"/>
            <w:tcBorders>
              <w:top w:val="single" w:color="AABBCC" w:sz="2"/>
              <w:left w:val="single" w:color="AABBCC" w:sz="2"/>
              <w:bottom w:val="single" w:color="AABBCC" w:sz="2"/>
              <w:right w:val="single" w:color="AABBCC" w:sz="2"/>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Operational Task</w:t>
            </w:r>
          </w:p>
        </w:tc>
        <w:tc>
          <w:tcPr>
            <w:tcW w:type="dxa" w:w="1600"/>
            <w:tcBorders>
              <w:top w:val="single" w:color="AABBCC" w:sz="2"/>
              <w:left w:val="single" w:color="AABBCC" w:sz="2"/>
              <w:bottom w:val="single" w:color="AABBCC" w:sz="2"/>
              <w:right w:val="single" w:color="AABBCC" w:sz="2"/>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Frequency</w:t>
            </w:r>
          </w:p>
        </w:tc>
        <w:tc>
          <w:tcPr>
            <w:tcW w:type="dxa" w:w="1600"/>
            <w:tcBorders>
              <w:top w:val="single" w:color="AABBCC" w:sz="2"/>
              <w:left w:val="single" w:color="AABBCC" w:sz="2"/>
              <w:bottom w:val="single" w:color="AABBCC" w:sz="2"/>
              <w:right w:val="single" w:color="AABBCC" w:sz="2"/>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Effort</w:t>
            </w:r>
          </w:p>
        </w:tc>
        <w:tc>
          <w:tcPr>
            <w:tcW w:type="dxa" w:w="3360"/>
            <w:tcBorders>
              <w:top w:val="single" w:color="AABBCC" w:sz="2"/>
              <w:left w:val="single" w:color="AABBCC" w:sz="2"/>
              <w:bottom w:val="single" w:color="AABBCC" w:sz="2"/>
              <w:right w:val="single" w:color="AABBCC" w:sz="2"/>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Automation Available?</w:t>
            </w:r>
          </w:p>
        </w:tc>
      </w:tr>
      <w:tr>
        <w:tc>
          <w:tcPr>
            <w:tcW w:type="dxa" w:w="280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Monitor container health (liveness/readiness probes)</w:t>
            </w:r>
          </w:p>
        </w:tc>
        <w:tc>
          <w:tcPr>
            <w:tcW w:type="dxa" w:w="160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Continuous</w:t>
            </w:r>
          </w:p>
        </w:tc>
        <w:tc>
          <w:tcPr>
            <w:tcW w:type="dxa" w:w="160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Low</w:t>
            </w:r>
          </w:p>
        </w:tc>
        <w:tc>
          <w:tcPr>
            <w:tcW w:type="dxa" w:w="336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 ACA built-in health probes; alert via Azure Monitor</w:t>
            </w:r>
          </w:p>
        </w:tc>
      </w:tr>
      <w:tr>
        <w:tc>
          <w:tcPr>
            <w:tcW w:type="dxa" w:w="280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Pull new image version (ghcr.io tag update)</w:t>
            </w:r>
          </w:p>
        </w:tc>
        <w:tc>
          <w:tcPr>
            <w:tcW w:type="dxa" w:w="160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Monthly</w:t>
            </w:r>
          </w:p>
        </w:tc>
        <w:tc>
          <w:tcPr>
            <w:tcW w:type="dxa" w:w="160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Low</w:t>
            </w:r>
          </w:p>
        </w:tc>
        <w:tc>
          <w:tcPr>
            <w:tcW w:type="dxa" w:w="336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 Azure Container Registry Tasks or GitHub Actions CD pipeline</w:t>
            </w:r>
          </w:p>
        </w:tc>
      </w:tr>
      <w:tr>
        <w:tc>
          <w:tcPr>
            <w:tcW w:type="dxa" w:w="280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Rotate Kintone API tokens in Key Vault</w:t>
            </w:r>
          </w:p>
        </w:tc>
        <w:tc>
          <w:tcPr>
            <w:tcW w:type="dxa" w:w="160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Quarterly / on-demand</w:t>
            </w:r>
          </w:p>
        </w:tc>
        <w:tc>
          <w:tcPr>
            <w:tcW w:type="dxa" w:w="160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Low</w:t>
            </w:r>
          </w:p>
        </w:tc>
        <w:tc>
          <w:tcPr>
            <w:tcW w:type="dxa" w:w="336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 Key Vault supports rotation; manual Kintone token regeneration required</w:t>
            </w:r>
          </w:p>
        </w:tc>
      </w:tr>
      <w:tr>
        <w:tc>
          <w:tcPr>
            <w:tcW w:type="dxa" w:w="280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Scale replica count for load events</w:t>
            </w:r>
          </w:p>
        </w:tc>
        <w:tc>
          <w:tcPr>
            <w:tcW w:type="dxa" w:w="160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As needed</w:t>
            </w:r>
          </w:p>
        </w:tc>
        <w:tc>
          <w:tcPr>
            <w:tcW w:type="dxa" w:w="160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Low</w:t>
            </w:r>
          </w:p>
        </w:tc>
        <w:tc>
          <w:tcPr>
            <w:tcW w:type="dxa" w:w="336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 ACA KEDA autoscale on HTTP request count</w:t>
            </w:r>
          </w:p>
        </w:tc>
      </w:tr>
      <w:tr>
        <w:tc>
          <w:tcPr>
            <w:tcW w:type="dxa" w:w="280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Update MCP SDK dependency (@modelcontextprotocol/sdk)</w:t>
            </w:r>
          </w:p>
        </w:tc>
        <w:tc>
          <w:tcPr>
            <w:tcW w:type="dxa" w:w="160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Per upstream release</w:t>
            </w:r>
          </w:p>
        </w:tc>
        <w:tc>
          <w:tcPr>
            <w:tcW w:type="dxa" w:w="160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Medium</w:t>
            </w:r>
          </w:p>
        </w:tc>
        <w:tc>
          <w:tcPr>
            <w:tcW w:type="dxa" w:w="336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 Requires rebuilding and testing custom wrapper image</w:t>
            </w:r>
          </w:p>
        </w:tc>
      </w:tr>
      <w:tr>
        <w:tc>
          <w:tcPr>
            <w:tcW w:type="dxa" w:w="280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Validate tool coverage after Kintone API changes</w:t>
            </w:r>
          </w:p>
        </w:tc>
        <w:tc>
          <w:tcPr>
            <w:tcW w:type="dxa" w:w="160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Annually / on Kintone updates</w:t>
            </w:r>
          </w:p>
        </w:tc>
        <w:tc>
          <w:tcPr>
            <w:tcW w:type="dxa" w:w="160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Medium</w:t>
            </w:r>
          </w:p>
        </w:tc>
        <w:tc>
          <w:tcPr>
            <w:tcW w:type="dxa" w:w="336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 Manual regression testing required</w:t>
            </w:r>
          </w:p>
        </w:tc>
      </w:tr>
      <w:tr>
        <w:tc>
          <w:tcPr>
            <w:tcW w:type="dxa" w:w="280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Manage ACA environment, VNet, MCP subnet (private path)</w:t>
            </w:r>
          </w:p>
        </w:tc>
        <w:tc>
          <w:tcPr>
            <w:tcW w:type="dxa" w:w="160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Initial + periodic</w:t>
            </w:r>
          </w:p>
        </w:tc>
        <w:tc>
          <w:tcPr>
            <w:tcW w:type="dxa" w:w="160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High</w:t>
            </w:r>
          </w:p>
        </w:tc>
        <w:tc>
          <w:tcPr>
            <w:tcW w:type="dxa" w:w="336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 Bicep/Terraform IaC; use Foundry template 19</w:t>
            </w:r>
          </w:p>
        </w:tc>
      </w:tr>
    </w:tbl>
    <w:p>
      <w:pPr>
        <w:spacing w:after="80" w:before="80"/>
      </w:pPr>
    </w:p>
    <w:p>
      <w:pPr>
        <w:spacing w:after="80" w:before="60"/>
      </w:pPr>
      <w:r>
        <w:rPr>
          <w:rFonts w:ascii="Arial" w:cs="Arial" w:eastAsia="Arial" w:hAnsi="Arial"/>
          <w:color w:val="1A1A1A"/>
          <w:sz w:val="20"/>
          <w:szCs w:val="20"/>
        </w:rPr>
        <w:t xml:space="preserve">The MCP server adds a container you own — with the associated ownership costs of patching, monitoring, scaling, and incident response. This is the fundamental trade-off versus Method 2's serverless posture.</w:t>
      </w:r>
    </w:p>
    <w:p>
      <w:pPr>
        <w:spacing w:after="80" w:before="80"/>
      </w:pPr>
    </w:p>
    <w:p>
      <w:pPr>
        <w:pStyle w:val="Heading2"/>
        <w:pBdr>
          <w:bottom w:val="single" w:color="2563A8" w:sz="6"/>
        </w:pBdr>
        <w:spacing w:after="120" w:before="300"/>
      </w:pPr>
      <w:r>
        <w:rPr>
          <w:rFonts w:ascii="Arial" w:cs="Arial" w:eastAsia="Arial" w:hAnsi="Arial"/>
          <w:b/>
          <w:bCs/>
          <w:color w:val="1A3C5E"/>
          <w:sz w:val="26"/>
          <w:szCs w:val="26"/>
        </w:rPr>
        <w:t xml:space="preserve">2.3  Networking Architecture</w:t>
      </w:r>
    </w:p>
    <w:p>
      <w:pPr>
        <w:spacing w:after="60" w:before="160"/>
      </w:pPr>
      <w:r>
        <w:rPr>
          <w:rFonts w:ascii="Arial" w:cs="Arial" w:eastAsia="Arial" w:hAnsi="Arial"/>
          <w:b/>
          <w:bCs/>
          <w:color w:val="0D6E6E"/>
          <w:sz w:val="20"/>
          <w:szCs w:val="20"/>
        </w:rPr>
        <w:t xml:space="preserve">Public Endpoint Path (Basic Agent Setup)</w:t>
      </w:r>
    </w:p>
    <w:p>
      <w:pPr>
        <w:spacing w:after="80" w:before="60"/>
      </w:pPr>
      <w:r>
        <w:rPr>
          <w:rFonts w:ascii="Arial" w:cs="Arial" w:eastAsia="Arial" w:hAnsi="Arial"/>
          <w:color w:val="1A1A1A"/>
          <w:sz w:val="20"/>
          <w:szCs w:val="20"/>
        </w:rPr>
        <w:t xml:space="preserve">Traffic flow: Foundry Agent → HTTPS → ACA public FQDN → MCP server container → Kintone REST API. The ACA environment handles TLS termination. This path is operationally simpler but exposes the MCP server to the internet; authentication at the MCP server layer is essential.</w:t>
      </w:r>
    </w:p>
    <w:p>
      <w:pPr>
        <w:spacing w:after="80" w:before="80"/>
      </w:pPr>
    </w:p>
    <w:p>
      <w:pPr>
        <w:spacing w:after="60" w:before="160"/>
      </w:pPr>
      <w:r>
        <w:rPr>
          <w:rFonts w:ascii="Arial" w:cs="Arial" w:eastAsia="Arial" w:hAnsi="Arial"/>
          <w:b/>
          <w:bCs/>
          <w:color w:val="0D6E6E"/>
          <w:sz w:val="20"/>
          <w:szCs w:val="20"/>
        </w:rPr>
        <w:t xml:space="preserve">Private Endpoint Path (Standard Agent Setup — Recommended)</w:t>
      </w:r>
    </w:p>
    <w:p>
      <w:pPr>
        <w:spacing w:after="80" w:before="60"/>
      </w:pPr>
      <w:r>
        <w:rPr>
          <w:rFonts w:ascii="Arial" w:cs="Arial" w:eastAsia="Arial" w:hAnsi="Arial"/>
          <w:color w:val="1A1A1A"/>
          <w:sz w:val="20"/>
          <w:szCs w:val="20"/>
        </w:rPr>
        <w:t xml:space="preserve">Traffic flow: Foundry Agent (within VNet) → private DNS → ACA internal ingress on MCP subnet → MCP server container → Kintone via NAT Gateway. The MCP server never has a public IP. This is the correct architecture for enterprise deployments where Kintone credentials and agent traffic must not traverse the public internet.</w:t>
      </w:r>
    </w:p>
    <w:p>
      <w:pPr>
        <w:spacing w:after="80" w:before="80"/>
      </w:pPr>
    </w:p>
    <w:p>
      <w:pPr>
        <w:shd w:fill="F0F4F8" w:val="clear"/>
        <w:spacing w:after="0" w:before="0"/>
        <w:ind w:left="400" w:right="300"/>
      </w:pPr>
      <w:r>
        <w:rPr>
          <w:rFonts w:ascii="Courier New" w:cs="Courier New" w:eastAsia="Courier New" w:hAnsi="Courier New"/>
          <w:color w:val="1A3C5E"/>
          <w:sz w:val="18"/>
          <w:szCs w:val="18"/>
        </w:rPr>
        <w:t xml:space="preserve"># Private endpoint networking sketch</w:t>
      </w:r>
    </w:p>
    <w:p>
      <w:pPr>
        <w:shd w:fill="F0F4F8" w:val="clear"/>
        <w:spacing w:after="0" w:before="0"/>
        <w:ind w:left="400" w:right="300"/>
      </w:pPr>
      <w:r>
        <w:rPr>
          <w:rFonts w:ascii="Courier New" w:cs="Courier New" w:eastAsia="Courier New" w:hAnsi="Courier New"/>
          <w:color w:val="1A3C5E"/>
          <w:sz w:val="18"/>
          <w:szCs w:val="18"/>
        </w:rPr>
        <w:t xml:space="preserve"/>
      </w:r>
    </w:p>
    <w:p>
      <w:pPr>
        <w:shd w:fill="F0F4F8" w:val="clear"/>
        <w:spacing w:after="0" w:before="0"/>
        <w:ind w:left="400" w:right="300"/>
      </w:pPr>
      <w:r>
        <w:rPr>
          <w:rFonts w:ascii="Courier New" w:cs="Courier New" w:eastAsia="Courier New" w:hAnsi="Courier New"/>
          <w:color w:val="1A3C5E"/>
          <w:sz w:val="18"/>
          <w:szCs w:val="18"/>
        </w:rPr>
        <w:t xml:space="preserve">Azure VNet (e.g., 10.0.0.0/16)</w:t>
      </w:r>
    </w:p>
    <w:p>
      <w:pPr>
        <w:shd w:fill="F0F4F8" w:val="clear"/>
        <w:spacing w:after="0" w:before="0"/>
        <w:ind w:left="400" w:right="300"/>
      </w:pPr>
      <w:r>
        <w:rPr>
          <w:rFonts w:ascii="Courier New" w:cs="Courier New" w:eastAsia="Courier New" w:hAnsi="Courier New"/>
          <w:color w:val="1A3C5E"/>
          <w:sz w:val="18"/>
          <w:szCs w:val="18"/>
        </w:rPr>
        <w:t xml:space="preserve">  ├── Foundry Agent Subnet         (10.0.1.0/24)</w:t>
      </w:r>
    </w:p>
    <w:p>
      <w:pPr>
        <w:shd w:fill="F0F4F8" w:val="clear"/>
        <w:spacing w:after="0" w:before="0"/>
        <w:ind w:left="400" w:right="300"/>
      </w:pPr>
      <w:r>
        <w:rPr>
          <w:rFonts w:ascii="Courier New" w:cs="Courier New" w:eastAsia="Courier New" w:hAnsi="Courier New"/>
          <w:color w:val="1A3C5E"/>
          <w:sz w:val="18"/>
          <w:szCs w:val="18"/>
        </w:rPr>
        <w:t xml:space="preserve">  ├── ACA Environment Subnet        (10.0.2.0/24)</w:t>
      </w:r>
    </w:p>
    <w:p>
      <w:pPr>
        <w:shd w:fill="F0F4F8" w:val="clear"/>
        <w:spacing w:after="0" w:before="0"/>
        <w:ind w:left="400" w:right="300"/>
      </w:pPr>
      <w:r>
        <w:rPr>
          <w:rFonts w:ascii="Courier New" w:cs="Courier New" w:eastAsia="Courier New" w:hAnsi="Courier New"/>
          <w:color w:val="1A3C5E"/>
          <w:sz w:val="18"/>
          <w:szCs w:val="18"/>
        </w:rPr>
        <w:t xml:space="preserve">  │     └── MCP Subnet              (10.0.2.0/27, /27 minimum)</w:t>
      </w:r>
    </w:p>
    <w:p>
      <w:pPr>
        <w:shd w:fill="F0F4F8" w:val="clear"/>
        <w:spacing w:after="0" w:before="0"/>
        <w:ind w:left="400" w:right="300"/>
      </w:pPr>
      <w:r>
        <w:rPr>
          <w:rFonts w:ascii="Courier New" w:cs="Courier New" w:eastAsia="Courier New" w:hAnsi="Courier New"/>
          <w:color w:val="1A3C5E"/>
          <w:sz w:val="18"/>
          <w:szCs w:val="18"/>
        </w:rPr>
        <w:t xml:space="preserve">  │           delegated to: Microsoft.App/environments</w:t>
      </w:r>
    </w:p>
    <w:p>
      <w:pPr>
        <w:shd w:fill="F0F4F8" w:val="clear"/>
        <w:spacing w:after="0" w:before="0"/>
        <w:ind w:left="400" w:right="300"/>
      </w:pPr>
      <w:r>
        <w:rPr>
          <w:rFonts w:ascii="Courier New" w:cs="Courier New" w:eastAsia="Courier New" w:hAnsi="Courier New"/>
          <w:color w:val="1A3C5E"/>
          <w:sz w:val="18"/>
          <w:szCs w:val="18"/>
        </w:rPr>
        <w:t xml:space="preserve">  └── NAT Gateway Subnet            (10.0.3.0/28)</w:t>
      </w:r>
    </w:p>
    <w:p>
      <w:pPr>
        <w:shd w:fill="F0F4F8" w:val="clear"/>
        <w:spacing w:after="0" w:before="0"/>
        <w:ind w:left="400" w:right="300"/>
      </w:pPr>
      <w:r>
        <w:rPr>
          <w:rFonts w:ascii="Courier New" w:cs="Courier New" w:eastAsia="Courier New" w:hAnsi="Courier New"/>
          <w:color w:val="1A3C5E"/>
          <w:sz w:val="18"/>
          <w:szCs w:val="18"/>
        </w:rPr>
        <w:t xml:space="preserve">        └── Public IP → Kintone HTTPS egress</w:t>
      </w:r>
    </w:p>
    <w:p>
      <w:pPr>
        <w:shd w:fill="F0F4F8" w:val="clear"/>
        <w:spacing w:after="0" w:before="0"/>
        <w:ind w:left="400" w:right="300"/>
      </w:pPr>
      <w:r>
        <w:rPr>
          <w:rFonts w:ascii="Courier New" w:cs="Courier New" w:eastAsia="Courier New" w:hAnsi="Courier New"/>
          <w:color w:val="1A3C5E"/>
          <w:sz w:val="18"/>
          <w:szCs w:val="18"/>
        </w:rPr>
        <w:t xml:space="preserve"/>
      </w:r>
    </w:p>
    <w:p>
      <w:pPr>
        <w:shd w:fill="F0F4F8" w:val="clear"/>
        <w:spacing w:after="0" w:before="0"/>
        <w:ind w:left="400" w:right="300"/>
      </w:pPr>
      <w:r>
        <w:rPr>
          <w:rFonts w:ascii="Courier New" w:cs="Courier New" w:eastAsia="Courier New" w:hAnsi="Courier New"/>
          <w:color w:val="1A3C5E"/>
          <w:sz w:val="18"/>
          <w:szCs w:val="18"/>
        </w:rPr>
        <w:t xml:space="preserve">Private DNS Zone: &lt;env-name&gt;.&lt;region&gt;.azurecontainerapps.io</w:t>
      </w:r>
    </w:p>
    <w:p>
      <w:pPr>
        <w:shd w:fill="F0F4F8" w:val="clear"/>
        <w:spacing w:after="0" w:before="0"/>
        <w:ind w:left="400" w:right="300"/>
      </w:pPr>
      <w:r>
        <w:rPr>
          <w:rFonts w:ascii="Courier New" w:cs="Courier New" w:eastAsia="Courier New" w:hAnsi="Courier New"/>
          <w:color w:val="1A3C5E"/>
          <w:sz w:val="18"/>
          <w:szCs w:val="18"/>
        </w:rPr>
        <w:t xml:space="preserve">  → resolves to ACA internal load balancer IP</w:t>
      </w:r>
    </w:p>
    <w:p>
      <w:pPr>
        <w:spacing w:after="80" w:before="80"/>
      </w:pPr>
    </w:p>
    <w:p>
      <w:pPr>
        <w:pStyle w:val="Heading1"/>
        <w:shd w:fill="1A3C5E" w:val="clear"/>
        <w:spacing w:after="200" w:before="400"/>
        <w:ind w:left="160" w:right="160"/>
      </w:pPr>
      <w:r>
        <w:rPr>
          <w:rFonts w:ascii="Arial" w:cs="Arial" w:eastAsia="Arial" w:hAnsi="Arial"/>
          <w:b/>
          <w:bCs/>
          <w:color w:val="FFFFFF"/>
          <w:sz w:val="30"/>
          <w:szCs w:val="30"/>
        </w:rPr>
        <w:t xml:space="preserve">  3  Security Posture</w:t>
      </w:r>
    </w:p>
    <w:p>
      <w:pPr>
        <w:pStyle w:val="Heading2"/>
        <w:pBdr>
          <w:bottom w:val="single" w:color="2563A8" w:sz="6"/>
        </w:pBdr>
        <w:spacing w:after="120" w:before="300"/>
      </w:pPr>
      <w:r>
        <w:rPr>
          <w:rFonts w:ascii="Arial" w:cs="Arial" w:eastAsia="Arial" w:hAnsi="Arial"/>
          <w:b/>
          <w:bCs/>
          <w:color w:val="1A3C5E"/>
          <w:sz w:val="26"/>
          <w:szCs w:val="26"/>
        </w:rPr>
        <w:t xml:space="preserve">3.1  Authentication Surface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tcBorders>
              <w:top w:val="single" w:color="AABBCC" w:sz="2"/>
              <w:left w:val="single" w:color="AABBCC" w:sz="2"/>
              <w:bottom w:val="single" w:color="AABBCC" w:sz="2"/>
              <w:right w:val="single" w:color="AABBCC" w:sz="2"/>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Dimension</w:t>
            </w:r>
          </w:p>
        </w:tc>
        <w:tc>
          <w:tcPr>
            <w:tcW w:type="dxa" w:w="3480"/>
            <w:tcBorders>
              <w:top w:val="single" w:color="AABBCC" w:sz="2"/>
              <w:left w:val="single" w:color="AABBCC" w:sz="2"/>
              <w:bottom w:val="single" w:color="AABBCC" w:sz="2"/>
              <w:right w:val="single" w:color="AABBCC" w:sz="2"/>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Method 2 (OpenAPI/REST)</w:t>
            </w:r>
          </w:p>
        </w:tc>
        <w:tc>
          <w:tcPr>
            <w:tcW w:type="dxa" w:w="3680"/>
            <w:tcBorders>
              <w:top w:val="single" w:color="AABBCC" w:sz="2"/>
              <w:left w:val="single" w:color="AABBCC" w:sz="2"/>
              <w:bottom w:val="single" w:color="AABBCC" w:sz="2"/>
              <w:right w:val="single" w:color="AABBCC" w:sz="2"/>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Method 3 (MCP)</w:t>
            </w:r>
          </w:p>
        </w:tc>
      </w:tr>
      <w:tr>
        <w:tc>
          <w:tcPr>
            <w:tcW w:type="dxa" w:w="220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Where Kintone token lives</w:t>
            </w:r>
          </w:p>
        </w:tc>
        <w:tc>
          <w:tcPr>
            <w:tcW w:type="dxa" w:w="348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Foundry Custom Key Connection (Azure-managed, encrypted)</w:t>
            </w:r>
          </w:p>
        </w:tc>
        <w:tc>
          <w:tcPr>
            <w:tcW w:type="dxa" w:w="368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Azure Key Vault secret, injected into ACA container at startup</w:t>
            </w:r>
          </w:p>
        </w:tc>
      </w:tr>
      <w:tr>
        <w:tc>
          <w:tcPr>
            <w:tcW w:type="dxa" w:w="220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Token visibility to agent</w:t>
            </w:r>
          </w:p>
        </w:tc>
        <w:tc>
          <w:tcPr>
            <w:tcW w:type="dxa" w:w="348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Never — Foundry injects header; agent sees only tool results</w:t>
            </w:r>
          </w:p>
        </w:tc>
        <w:tc>
          <w:tcPr>
            <w:tcW w:type="dxa" w:w="368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Never — MCP server reads env var; token not in JSON-RPC messages</w:t>
            </w:r>
          </w:p>
        </w:tc>
      </w:tr>
      <w:tr>
        <w:tc>
          <w:tcPr>
            <w:tcW w:type="dxa" w:w="220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Token visible in logs?</w:t>
            </w:r>
          </w:p>
        </w:tc>
        <w:tc>
          <w:tcPr>
            <w:tcW w:type="dxa" w:w="348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No — Foundry strips auth headers from traces</w:t>
            </w:r>
          </w:p>
        </w:tc>
        <w:tc>
          <w:tcPr>
            <w:tcW w:type="dxa" w:w="368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Risk: if container stdout logs env vars, token may appear. Requires explicit log-redaction config.</w:t>
            </w:r>
          </w:p>
        </w:tc>
      </w:tr>
      <w:tr>
        <w:tc>
          <w:tcPr>
            <w:tcW w:type="dxa" w:w="220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Blast radius of credential leak</w:t>
            </w:r>
          </w:p>
        </w:tc>
        <w:tc>
          <w:tcPr>
            <w:tcW w:type="dxa" w:w="348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Single Foundry connection resource; scoped to project</w:t>
            </w:r>
          </w:p>
        </w:tc>
        <w:tc>
          <w:tcPr>
            <w:tcW w:type="dxa" w:w="368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ACA container environment; broader if env vars not scoped via Key Vault refs</w:t>
            </w:r>
          </w:p>
        </w:tc>
      </w:tr>
      <w:tr>
        <w:tc>
          <w:tcPr>
            <w:tcW w:type="dxa" w:w="220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Token rotation process</w:t>
            </w:r>
          </w:p>
        </w:tc>
        <w:tc>
          <w:tcPr>
            <w:tcW w:type="dxa" w:w="348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Update Foundry Custom Key Connection value</w:t>
            </w:r>
          </w:p>
        </w:tc>
        <w:tc>
          <w:tcPr>
            <w:tcW w:type="dxa" w:w="368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Update Key Vault secret → trigger ACA revision restart to pick up new env var</w:t>
            </w:r>
          </w:p>
        </w:tc>
      </w:tr>
      <w:tr>
        <w:tc>
          <w:tcPr>
            <w:tcW w:type="dxa" w:w="220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Who authenticates calls to MCP server?</w:t>
            </w:r>
          </w:p>
        </w:tc>
        <w:tc>
          <w:tcPr>
            <w:tcW w:type="dxa" w:w="348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N/A — direct REST</w:t>
            </w:r>
          </w:p>
        </w:tc>
        <w:tc>
          <w:tcPr>
            <w:tcW w:type="dxa" w:w="368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Foundry agent must authenticate to MCP server (Entra ID or API key)</w:t>
            </w:r>
          </w:p>
        </w:tc>
      </w:tr>
      <w:tr>
        <w:tc>
          <w:tcPr>
            <w:tcW w:type="dxa" w:w="220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Man-in-the-middle risk</w:t>
            </w:r>
          </w:p>
        </w:tc>
        <w:tc>
          <w:tcPr>
            <w:tcW w:type="dxa" w:w="348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Low — TLS to Kintone.com; Foundry-managed cert</w:t>
            </w:r>
          </w:p>
        </w:tc>
        <w:tc>
          <w:tcPr>
            <w:tcW w:type="dxa" w:w="368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Low — TLS on ACA ingress; Foundry-managed cert for private path</w:t>
            </w:r>
          </w:p>
        </w:tc>
      </w:tr>
    </w:tbl>
    <w:p>
      <w:pPr>
        <w:spacing w:after="80" w:before="80"/>
      </w:pPr>
    </w:p>
    <w:p>
      <w:pPr>
        <w:pStyle w:val="Heading2"/>
        <w:pBdr>
          <w:bottom w:val="single" w:color="2563A8" w:sz="6"/>
        </w:pBdr>
        <w:spacing w:after="120" w:before="300"/>
      </w:pPr>
      <w:r>
        <w:rPr>
          <w:rFonts w:ascii="Arial" w:cs="Arial" w:eastAsia="Arial" w:hAnsi="Arial"/>
          <w:b/>
          <w:bCs/>
          <w:color w:val="1A3C5E"/>
          <w:sz w:val="26"/>
          <w:szCs w:val="26"/>
        </w:rPr>
        <w:t xml:space="preserve">3.2  Credential Injection — Key Vault Pattern</w:t>
      </w:r>
    </w:p>
    <w:p>
      <w:pPr>
        <w:spacing w:after="80" w:before="60"/>
      </w:pPr>
      <w:r>
        <w:rPr>
          <w:rFonts w:ascii="Arial" w:cs="Arial" w:eastAsia="Arial" w:hAnsi="Arial"/>
          <w:color w:val="1A1A1A"/>
          <w:sz w:val="20"/>
          <w:szCs w:val="20"/>
        </w:rPr>
        <w:t xml:space="preserve">The production-grade credential pattern for an MCP server on ACA uses Azure Key Vault references, not plaintext environment variables. This is the OWASP MCP01:2025 compliant approach:</w:t>
      </w:r>
    </w:p>
    <w:p>
      <w:pPr>
        <w:spacing w:after="80" w:before="80"/>
      </w:pPr>
    </w:p>
    <w:p>
      <w:pPr>
        <w:shd w:fill="F0F4F8" w:val="clear"/>
        <w:spacing w:after="0" w:before="0"/>
        <w:ind w:left="400" w:right="300"/>
      </w:pPr>
      <w:r>
        <w:rPr>
          <w:rFonts w:ascii="Courier New" w:cs="Courier New" w:eastAsia="Courier New" w:hAnsi="Courier New"/>
          <w:color w:val="1A3C5E"/>
          <w:sz w:val="18"/>
          <w:szCs w:val="18"/>
        </w:rPr>
        <w:t xml:space="preserve"># Step 1: Store Kintone token in Key Vault</w:t>
      </w:r>
    </w:p>
    <w:p>
      <w:pPr>
        <w:shd w:fill="F0F4F8" w:val="clear"/>
        <w:spacing w:after="0" w:before="0"/>
        <w:ind w:left="400" w:right="300"/>
      </w:pPr>
      <w:r>
        <w:rPr>
          <w:rFonts w:ascii="Courier New" w:cs="Courier New" w:eastAsia="Courier New" w:hAnsi="Courier New"/>
          <w:color w:val="1A3C5E"/>
          <w:sz w:val="18"/>
          <w:szCs w:val="18"/>
        </w:rPr>
        <w:t xml:space="preserve">az keyvault secret set \</w:t>
      </w:r>
    </w:p>
    <w:p>
      <w:pPr>
        <w:shd w:fill="F0F4F8" w:val="clear"/>
        <w:spacing w:after="0" w:before="0"/>
        <w:ind w:left="400" w:right="300"/>
      </w:pPr>
      <w:r>
        <w:rPr>
          <w:rFonts w:ascii="Courier New" w:cs="Courier New" w:eastAsia="Courier New" w:hAnsi="Courier New"/>
          <w:color w:val="1A3C5E"/>
          <w:sz w:val="18"/>
          <w:szCs w:val="18"/>
        </w:rPr>
        <w:t xml:space="preserve">  --vault-name kv-agents-prod \</w:t>
      </w:r>
    </w:p>
    <w:p>
      <w:pPr>
        <w:shd w:fill="F0F4F8" w:val="clear"/>
        <w:spacing w:after="0" w:before="0"/>
        <w:ind w:left="400" w:right="300"/>
      </w:pPr>
      <w:r>
        <w:rPr>
          <w:rFonts w:ascii="Courier New" w:cs="Courier New" w:eastAsia="Courier New" w:hAnsi="Courier New"/>
          <w:color w:val="1A3C5E"/>
          <w:sz w:val="18"/>
          <w:szCs w:val="18"/>
        </w:rPr>
        <w:t xml:space="preserve">  --name kintone-api-token \</w:t>
      </w:r>
    </w:p>
    <w:p>
      <w:pPr>
        <w:shd w:fill="F0F4F8" w:val="clear"/>
        <w:spacing w:after="0" w:before="0"/>
        <w:ind w:left="400" w:right="300"/>
      </w:pPr>
      <w:r>
        <w:rPr>
          <w:rFonts w:ascii="Courier New" w:cs="Courier New" w:eastAsia="Courier New" w:hAnsi="Courier New"/>
          <w:color w:val="1A3C5E"/>
          <w:sz w:val="18"/>
          <w:szCs w:val="18"/>
        </w:rPr>
        <w:t xml:space="preserve">  --value '&lt;your-kintone-api-token&gt;'</w:t>
      </w:r>
    </w:p>
    <w:p>
      <w:pPr>
        <w:shd w:fill="F0F4F8" w:val="clear"/>
        <w:spacing w:after="0" w:before="0"/>
        <w:ind w:left="400" w:right="300"/>
      </w:pPr>
      <w:r>
        <w:rPr>
          <w:rFonts w:ascii="Courier New" w:cs="Courier New" w:eastAsia="Courier New" w:hAnsi="Courier New"/>
          <w:color w:val="1A3C5E"/>
          <w:sz w:val="18"/>
          <w:szCs w:val="18"/>
        </w:rPr>
        <w:t xml:space="preserve"/>
      </w:r>
    </w:p>
    <w:p>
      <w:pPr>
        <w:shd w:fill="F0F4F8" w:val="clear"/>
        <w:spacing w:after="0" w:before="0"/>
        <w:ind w:left="400" w:right="300"/>
      </w:pPr>
      <w:r>
        <w:rPr>
          <w:rFonts w:ascii="Courier New" w:cs="Courier New" w:eastAsia="Courier New" w:hAnsi="Courier New"/>
          <w:color w:val="1A3C5E"/>
          <w:sz w:val="18"/>
          <w:szCs w:val="18"/>
        </w:rPr>
        <w:t xml:space="preserve"># Step 2: Enable system-assigned managed identity on the container app</w:t>
      </w:r>
    </w:p>
    <w:p>
      <w:pPr>
        <w:shd w:fill="F0F4F8" w:val="clear"/>
        <w:spacing w:after="0" w:before="0"/>
        <w:ind w:left="400" w:right="300"/>
      </w:pPr>
      <w:r>
        <w:rPr>
          <w:rFonts w:ascii="Courier New" w:cs="Courier New" w:eastAsia="Courier New" w:hAnsi="Courier New"/>
          <w:color w:val="1A3C5E"/>
          <w:sz w:val="18"/>
          <w:szCs w:val="18"/>
        </w:rPr>
        <w:t xml:space="preserve">az containerapp identity assign \</w:t>
      </w:r>
    </w:p>
    <w:p>
      <w:pPr>
        <w:shd w:fill="F0F4F8" w:val="clear"/>
        <w:spacing w:after="0" w:before="0"/>
        <w:ind w:left="400" w:right="300"/>
      </w:pPr>
      <w:r>
        <w:rPr>
          <w:rFonts w:ascii="Courier New" w:cs="Courier New" w:eastAsia="Courier New" w:hAnsi="Courier New"/>
          <w:color w:val="1A3C5E"/>
          <w:sz w:val="18"/>
          <w:szCs w:val="18"/>
        </w:rPr>
        <w:t xml:space="preserve">  --name kintone-mcp \</w:t>
      </w:r>
    </w:p>
    <w:p>
      <w:pPr>
        <w:shd w:fill="F0F4F8" w:val="clear"/>
        <w:spacing w:after="0" w:before="0"/>
        <w:ind w:left="400" w:right="300"/>
      </w:pPr>
      <w:r>
        <w:rPr>
          <w:rFonts w:ascii="Courier New" w:cs="Courier New" w:eastAsia="Courier New" w:hAnsi="Courier New"/>
          <w:color w:val="1A3C5E"/>
          <w:sz w:val="18"/>
          <w:szCs w:val="18"/>
        </w:rPr>
        <w:t xml:space="preserve">  --resource-group rg-ai-agents \</w:t>
      </w:r>
    </w:p>
    <w:p>
      <w:pPr>
        <w:shd w:fill="F0F4F8" w:val="clear"/>
        <w:spacing w:after="0" w:before="0"/>
        <w:ind w:left="400" w:right="300"/>
      </w:pPr>
      <w:r>
        <w:rPr>
          <w:rFonts w:ascii="Courier New" w:cs="Courier New" w:eastAsia="Courier New" w:hAnsi="Courier New"/>
          <w:color w:val="1A3C5E"/>
          <w:sz w:val="18"/>
          <w:szCs w:val="18"/>
        </w:rPr>
        <w:t xml:space="preserve">  --system-assigned</w:t>
      </w:r>
    </w:p>
    <w:p>
      <w:pPr>
        <w:shd w:fill="F0F4F8" w:val="clear"/>
        <w:spacing w:after="0" w:before="0"/>
        <w:ind w:left="400" w:right="300"/>
      </w:pPr>
      <w:r>
        <w:rPr>
          <w:rFonts w:ascii="Courier New" w:cs="Courier New" w:eastAsia="Courier New" w:hAnsi="Courier New"/>
          <w:color w:val="1A3C5E"/>
          <w:sz w:val="18"/>
          <w:szCs w:val="18"/>
        </w:rPr>
        <w:t xml:space="preserve"/>
      </w:r>
    </w:p>
    <w:p>
      <w:pPr>
        <w:shd w:fill="F0F4F8" w:val="clear"/>
        <w:spacing w:after="0" w:before="0"/>
        <w:ind w:left="400" w:right="300"/>
      </w:pPr>
      <w:r>
        <w:rPr>
          <w:rFonts w:ascii="Courier New" w:cs="Courier New" w:eastAsia="Courier New" w:hAnsi="Courier New"/>
          <w:color w:val="1A3C5E"/>
          <w:sz w:val="18"/>
          <w:szCs w:val="18"/>
        </w:rPr>
        <w:t xml:space="preserve"># Step 3: Grant identity access to the Key Vault secret</w:t>
      </w:r>
    </w:p>
    <w:p>
      <w:pPr>
        <w:shd w:fill="F0F4F8" w:val="clear"/>
        <w:spacing w:after="0" w:before="0"/>
        <w:ind w:left="400" w:right="300"/>
      </w:pPr>
      <w:r>
        <w:rPr>
          <w:rFonts w:ascii="Courier New" w:cs="Courier New" w:eastAsia="Courier New" w:hAnsi="Courier New"/>
          <w:color w:val="1A3C5E"/>
          <w:sz w:val="18"/>
          <w:szCs w:val="18"/>
        </w:rPr>
        <w:t xml:space="preserve">az keyvault set-policy \</w:t>
      </w:r>
    </w:p>
    <w:p>
      <w:pPr>
        <w:shd w:fill="F0F4F8" w:val="clear"/>
        <w:spacing w:after="0" w:before="0"/>
        <w:ind w:left="400" w:right="300"/>
      </w:pPr>
      <w:r>
        <w:rPr>
          <w:rFonts w:ascii="Courier New" w:cs="Courier New" w:eastAsia="Courier New" w:hAnsi="Courier New"/>
          <w:color w:val="1A3C5E"/>
          <w:sz w:val="18"/>
          <w:szCs w:val="18"/>
        </w:rPr>
        <w:t xml:space="preserve">  --name kv-agents-prod \</w:t>
      </w:r>
    </w:p>
    <w:p>
      <w:pPr>
        <w:shd w:fill="F0F4F8" w:val="clear"/>
        <w:spacing w:after="0" w:before="0"/>
        <w:ind w:left="400" w:right="300"/>
      </w:pPr>
      <w:r>
        <w:rPr>
          <w:rFonts w:ascii="Courier New" w:cs="Courier New" w:eastAsia="Courier New" w:hAnsi="Courier New"/>
          <w:color w:val="1A3C5E"/>
          <w:sz w:val="18"/>
          <w:szCs w:val="18"/>
        </w:rPr>
        <w:t xml:space="preserve">  --object-id &lt;managed-identity-object-id&gt; \</w:t>
      </w:r>
    </w:p>
    <w:p>
      <w:pPr>
        <w:shd w:fill="F0F4F8" w:val="clear"/>
        <w:spacing w:after="0" w:before="0"/>
        <w:ind w:left="400" w:right="300"/>
      </w:pPr>
      <w:r>
        <w:rPr>
          <w:rFonts w:ascii="Courier New" w:cs="Courier New" w:eastAsia="Courier New" w:hAnsi="Courier New"/>
          <w:color w:val="1A3C5E"/>
          <w:sz w:val="18"/>
          <w:szCs w:val="18"/>
        </w:rPr>
        <w:t xml:space="preserve">  --secret-permissions get</w:t>
      </w:r>
    </w:p>
    <w:p>
      <w:pPr>
        <w:shd w:fill="F0F4F8" w:val="clear"/>
        <w:spacing w:after="0" w:before="0"/>
        <w:ind w:left="400" w:right="300"/>
      </w:pPr>
      <w:r>
        <w:rPr>
          <w:rFonts w:ascii="Courier New" w:cs="Courier New" w:eastAsia="Courier New" w:hAnsi="Courier New"/>
          <w:color w:val="1A3C5E"/>
          <w:sz w:val="18"/>
          <w:szCs w:val="18"/>
        </w:rPr>
        <w:t xml:space="preserve"/>
      </w:r>
    </w:p>
    <w:p>
      <w:pPr>
        <w:shd w:fill="F0F4F8" w:val="clear"/>
        <w:spacing w:after="0" w:before="0"/>
        <w:ind w:left="400" w:right="300"/>
      </w:pPr>
      <w:r>
        <w:rPr>
          <w:rFonts w:ascii="Courier New" w:cs="Courier New" w:eastAsia="Courier New" w:hAnsi="Courier New"/>
          <w:color w:val="1A3C5E"/>
          <w:sz w:val="18"/>
          <w:szCs w:val="18"/>
        </w:rPr>
        <w:t xml:space="preserve"># Step 4: Create a Key Vault reference secret in ACA</w:t>
      </w:r>
    </w:p>
    <w:p>
      <w:pPr>
        <w:shd w:fill="F0F4F8" w:val="clear"/>
        <w:spacing w:after="0" w:before="0"/>
        <w:ind w:left="400" w:right="300"/>
      </w:pPr>
      <w:r>
        <w:rPr>
          <w:rFonts w:ascii="Courier New" w:cs="Courier New" w:eastAsia="Courier New" w:hAnsi="Courier New"/>
          <w:color w:val="1A3C5E"/>
          <w:sz w:val="18"/>
          <w:szCs w:val="18"/>
        </w:rPr>
        <w:t xml:space="preserve">az containerapp secret set \</w:t>
      </w:r>
    </w:p>
    <w:p>
      <w:pPr>
        <w:shd w:fill="F0F4F8" w:val="clear"/>
        <w:spacing w:after="0" w:before="0"/>
        <w:ind w:left="400" w:right="300"/>
      </w:pPr>
      <w:r>
        <w:rPr>
          <w:rFonts w:ascii="Courier New" w:cs="Courier New" w:eastAsia="Courier New" w:hAnsi="Courier New"/>
          <w:color w:val="1A3C5E"/>
          <w:sz w:val="18"/>
          <w:szCs w:val="18"/>
        </w:rPr>
        <w:t xml:space="preserve">  --name kintone-mcp \</w:t>
      </w:r>
    </w:p>
    <w:p>
      <w:pPr>
        <w:shd w:fill="F0F4F8" w:val="clear"/>
        <w:spacing w:after="0" w:before="0"/>
        <w:ind w:left="400" w:right="300"/>
      </w:pPr>
      <w:r>
        <w:rPr>
          <w:rFonts w:ascii="Courier New" w:cs="Courier New" w:eastAsia="Courier New" w:hAnsi="Courier New"/>
          <w:color w:val="1A3C5E"/>
          <w:sz w:val="18"/>
          <w:szCs w:val="18"/>
        </w:rPr>
        <w:t xml:space="preserve">  --resource-group rg-ai-agents \</w:t>
      </w:r>
    </w:p>
    <w:p>
      <w:pPr>
        <w:shd w:fill="F0F4F8" w:val="clear"/>
        <w:spacing w:after="0" w:before="0"/>
        <w:ind w:left="400" w:right="300"/>
      </w:pPr>
      <w:r>
        <w:rPr>
          <w:rFonts w:ascii="Courier New" w:cs="Courier New" w:eastAsia="Courier New" w:hAnsi="Courier New"/>
          <w:color w:val="1A3C5E"/>
          <w:sz w:val="18"/>
          <w:szCs w:val="18"/>
        </w:rPr>
        <w:t xml:space="preserve">  --secrets kintone-api-token=keyvaultref:&lt;KEY_VAULT_SECRET_URI&gt;,identityref:system</w:t>
      </w:r>
    </w:p>
    <w:p>
      <w:pPr>
        <w:shd w:fill="F0F4F8" w:val="clear"/>
        <w:spacing w:after="0" w:before="0"/>
        <w:ind w:left="400" w:right="300"/>
      </w:pPr>
      <w:r>
        <w:rPr>
          <w:rFonts w:ascii="Courier New" w:cs="Courier New" w:eastAsia="Courier New" w:hAnsi="Courier New"/>
          <w:color w:val="1A3C5E"/>
          <w:sz w:val="18"/>
          <w:szCs w:val="18"/>
        </w:rPr>
        <w:t xml:space="preserve"/>
      </w:r>
    </w:p>
    <w:p>
      <w:pPr>
        <w:shd w:fill="F0F4F8" w:val="clear"/>
        <w:spacing w:after="0" w:before="0"/>
        <w:ind w:left="400" w:right="300"/>
      </w:pPr>
      <w:r>
        <w:rPr>
          <w:rFonts w:ascii="Courier New" w:cs="Courier New" w:eastAsia="Courier New" w:hAnsi="Courier New"/>
          <w:color w:val="1A3C5E"/>
          <w:sz w:val="18"/>
          <w:szCs w:val="18"/>
        </w:rPr>
        <w:t xml:space="preserve"># Step 5: Map the secret to an environment variable in the container</w:t>
      </w:r>
    </w:p>
    <w:p>
      <w:pPr>
        <w:shd w:fill="F0F4F8" w:val="clear"/>
        <w:spacing w:after="0" w:before="0"/>
        <w:ind w:left="400" w:right="300"/>
      </w:pPr>
      <w:r>
        <w:rPr>
          <w:rFonts w:ascii="Courier New" w:cs="Courier New" w:eastAsia="Courier New" w:hAnsi="Courier New"/>
          <w:color w:val="1A3C5E"/>
          <w:sz w:val="18"/>
          <w:szCs w:val="18"/>
        </w:rPr>
        <w:t xml:space="preserve">az containerapp update \</w:t>
      </w:r>
    </w:p>
    <w:p>
      <w:pPr>
        <w:shd w:fill="F0F4F8" w:val="clear"/>
        <w:spacing w:after="0" w:before="0"/>
        <w:ind w:left="400" w:right="300"/>
      </w:pPr>
      <w:r>
        <w:rPr>
          <w:rFonts w:ascii="Courier New" w:cs="Courier New" w:eastAsia="Courier New" w:hAnsi="Courier New"/>
          <w:color w:val="1A3C5E"/>
          <w:sz w:val="18"/>
          <w:szCs w:val="18"/>
        </w:rPr>
        <w:t xml:space="preserve">  --name kintone-mcp \</w:t>
      </w:r>
    </w:p>
    <w:p>
      <w:pPr>
        <w:shd w:fill="F0F4F8" w:val="clear"/>
        <w:spacing w:after="0" w:before="0"/>
        <w:ind w:left="400" w:right="300"/>
      </w:pPr>
      <w:r>
        <w:rPr>
          <w:rFonts w:ascii="Courier New" w:cs="Courier New" w:eastAsia="Courier New" w:hAnsi="Courier New"/>
          <w:color w:val="1A3C5E"/>
          <w:sz w:val="18"/>
          <w:szCs w:val="18"/>
        </w:rPr>
        <w:t xml:space="preserve">  --resource-group rg-ai-agents \</w:t>
      </w:r>
    </w:p>
    <w:p>
      <w:pPr>
        <w:shd w:fill="F0F4F8" w:val="clear"/>
        <w:spacing w:after="0" w:before="0"/>
        <w:ind w:left="400" w:right="300"/>
      </w:pPr>
      <w:r>
        <w:rPr>
          <w:rFonts w:ascii="Courier New" w:cs="Courier New" w:eastAsia="Courier New" w:hAnsi="Courier New"/>
          <w:color w:val="1A3C5E"/>
          <w:sz w:val="18"/>
          <w:szCs w:val="18"/>
        </w:rPr>
        <w:t xml:space="preserve">  --set-env-vars 'KINTONE_API_TOKEN=secretref:kintone-api-token'</w:t>
      </w:r>
    </w:p>
    <w:p>
      <w:pPr>
        <w:spacing w:after="80" w:before="80"/>
      </w:pPr>
    </w:p>
    <w:p>
      <w:pPr>
        <w:spacing w:after="80" w:before="60"/>
      </w:pPr>
      <w:r>
        <w:rPr>
          <w:rFonts w:ascii="Arial" w:cs="Arial" w:eastAsia="Arial" w:hAnsi="Arial"/>
          <w:color w:val="1A1A1A"/>
          <w:sz w:val="20"/>
          <w:szCs w:val="20"/>
        </w:rPr>
        <w:t xml:space="preserve">With this pattern: the token never appears in any ARM template, deployment script, or container log. The ACA runtime fetches it from Key Vault at container startup using the managed identity. The MCP server process reads it from the environment variable at runtime. Rotation is achieved by updating the Key Vault secret value and triggering a new revision (az containerapp revision restart).</w:t>
      </w:r>
    </w:p>
    <w:p>
      <w:pPr>
        <w:spacing w:after="80" w:before="80"/>
      </w:pPr>
    </w:p>
    <w:p>
      <w:pPr>
        <w:pStyle w:val="Heading2"/>
        <w:pBdr>
          <w:bottom w:val="single" w:color="2563A8" w:sz="6"/>
        </w:pBdr>
        <w:spacing w:after="120" w:before="300"/>
      </w:pPr>
      <w:r>
        <w:rPr>
          <w:rFonts w:ascii="Arial" w:cs="Arial" w:eastAsia="Arial" w:hAnsi="Arial"/>
          <w:b/>
          <w:bCs/>
          <w:color w:val="1A3C5E"/>
          <w:sz w:val="26"/>
          <w:szCs w:val="26"/>
        </w:rPr>
        <w:t xml:space="preserve">3.3  MCP Server → Foundry Authentication</w:t>
      </w:r>
    </w:p>
    <w:p>
      <w:pPr>
        <w:spacing w:after="80" w:before="60"/>
      </w:pPr>
      <w:r>
        <w:rPr>
          <w:rFonts w:ascii="Arial" w:cs="Arial" w:eastAsia="Arial" w:hAnsi="Arial"/>
          <w:color w:val="1A1A1A"/>
          <w:sz w:val="20"/>
          <w:szCs w:val="20"/>
        </w:rPr>
        <w:t xml:space="preserve">Azure Container Apps supports two authentication models for MCP server endpoints:</w:t>
      </w:r>
    </w:p>
    <w:p>
      <w:pPr>
        <w:spacing w:after="80" w:before="80"/>
      </w:pPr>
    </w:p>
    <w:p>
      <w:pPr>
        <w:spacing w:after="60" w:before="160"/>
      </w:pPr>
      <w:r>
        <w:rPr>
          <w:rFonts w:ascii="Arial" w:cs="Arial" w:eastAsia="Arial" w:hAnsi="Arial"/>
          <w:b/>
          <w:bCs/>
          <w:color w:val="0D6E6E"/>
          <w:sz w:val="20"/>
          <w:szCs w:val="20"/>
        </w:rPr>
        <w:t xml:space="preserve">Option A — Microsoft Entra ID (Recommended for Production)</w:t>
      </w:r>
    </w:p>
    <w:p>
      <w:pPr>
        <w:spacing w:after="80" w:before="60"/>
      </w:pPr>
      <w:r>
        <w:rPr>
          <w:rFonts w:ascii="Arial" w:cs="Arial" w:eastAsia="Arial" w:hAnsi="Arial"/>
          <w:color w:val="1A1A1A"/>
          <w:sz w:val="20"/>
          <w:szCs w:val="20"/>
        </w:rPr>
        <w:t xml:space="preserve">ACA's built-in authentication feature (EasyAuth) validates an Entra ID JWT bearer token on each request before forwarding to the container. Foundry agent service presents its own Entra managed identity token, which EasyAuth validates against the registered Entra application. No API key management is needed.</w:t>
      </w:r>
    </w:p>
    <w:p>
      <w:pPr>
        <w:spacing w:after="80" w:before="80"/>
      </w:pPr>
    </w:p>
    <w:p>
      <w:pPr>
        <w:spacing w:after="60" w:before="160"/>
      </w:pPr>
      <w:r>
        <w:rPr>
          <w:rFonts w:ascii="Arial" w:cs="Arial" w:eastAsia="Arial" w:hAnsi="Arial"/>
          <w:b/>
          <w:bCs/>
          <w:color w:val="0D6E6E"/>
          <w:sz w:val="20"/>
          <w:szCs w:val="20"/>
        </w:rPr>
        <w:t xml:space="preserve">Option B — API Key (Simpler, Lower Security Guarantee)</w:t>
      </w:r>
    </w:p>
    <w:p>
      <w:pPr>
        <w:spacing w:after="80" w:before="60"/>
      </w:pPr>
      <w:r>
        <w:rPr>
          <w:rFonts w:ascii="Arial" w:cs="Arial" w:eastAsia="Arial" w:hAnsi="Arial"/>
          <w:color w:val="1A1A1A"/>
          <w:sz w:val="20"/>
          <w:szCs w:val="20"/>
        </w:rPr>
        <w:t xml:space="preserve">The MCP server validates an x-ms-apikey header. The key is stored as a Key Vault secret in both the ACA container and Foundry's connection config. This works for non-production environments but introduces a shared secret that must be rotated manually.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2563A8"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RISK</w:t>
            </w:r>
          </w:p>
        </w:tc>
        <w:tc>
          <w:tcPr>
            <w:tcW w:type="dxa" w:w="8840"/>
            <w:tcBorders>
              <w:top w:val="none" w:color="FFFFFF" w:sz="0"/>
              <w:left w:val="none" w:color="FFFFFF" w:sz="0"/>
              <w:bottom w:val="none" w:color="FFFFFF" w:sz="0"/>
              <w:right w:val="none" w:color="FFFFFF" w:sz="0"/>
            </w:tcBorders>
            <w:shd w:fill="FDDEDE" w:val="clear"/>
            <w:tcMar>
              <w:top w:type="dxa" w:w="80"/>
              <w:left w:type="dxa" w:w="180"/>
              <w:bottom w:type="dxa" w:w="80"/>
              <w:right w:type="dxa" w:w="120"/>
            </w:tcMar>
          </w:tcPr>
          <w:p>
            <w:r>
              <w:rPr>
                <w:rFonts w:ascii="Arial" w:cs="Arial" w:eastAsia="Arial" w:hAnsi="Arial"/>
                <w:color w:val="1A1A1A"/>
                <w:sz w:val="19"/>
                <w:szCs w:val="19"/>
              </w:rPr>
              <w:t xml:space="preserve">OWASP MCP01:2025 highlights a class of risk unique to MCP that does not exist in Method 2: contextual secret leakage. Because the MCP server runs long-lived sessions and the agent maintains context history, credentials passed during a tool call can inadvertently persist in model memory or context stores. Mitigation: ensure the MCP server never echoes credentials in tool result payloads, enable context isolation (stateless sessions), and configure telemetry redaction for any observability pipeline that captures agent traces.</w:t>
            </w:r>
          </w:p>
        </w:tc>
      </w:tr>
    </w:tbl>
    <w:p>
      <w:pPr>
        <w:spacing w:after="80" w:before="80"/>
      </w:pPr>
    </w:p>
    <w:p>
      <w:pPr>
        <w:pStyle w:val="Heading2"/>
        <w:pBdr>
          <w:bottom w:val="single" w:color="2563A8" w:sz="6"/>
        </w:pBdr>
        <w:spacing w:after="120" w:before="300"/>
      </w:pPr>
      <w:r>
        <w:rPr>
          <w:rFonts w:ascii="Arial" w:cs="Arial" w:eastAsia="Arial" w:hAnsi="Arial"/>
          <w:b/>
          <w:bCs/>
          <w:color w:val="1A3C5E"/>
          <w:sz w:val="26"/>
          <w:szCs w:val="26"/>
        </w:rPr>
        <w:t xml:space="preserve">3.4  Authentication Note on the Official Server</w:t>
      </w:r>
    </w:p>
    <w:p>
      <w:pPr>
        <w:spacing w:after="80" w:before="60"/>
      </w:pPr>
      <w:r>
        <w:rPr>
          <w:rFonts w:ascii="Arial" w:cs="Arial" w:eastAsia="Arial" w:hAnsi="Arial"/>
          <w:color w:val="1A1A1A"/>
          <w:sz w:val="20"/>
          <w:szCs w:val="20"/>
        </w:rPr>
        <w:t xml:space="preserve">The official kintone/mcp-server supports two Kintone authentication modes:</w:t>
      </w:r>
    </w:p>
    <w:p>
      <w:pPr>
        <w:pStyle w:val="ListParagraph"/>
        <w:numPr>
          <w:ilvl w:val="0"/>
          <w:numId w:val="2"/>
        </w:numPr>
        <w:spacing w:after="40" w:before="40"/>
      </w:pPr>
      <w:r>
        <w:rPr>
          <w:rFonts w:ascii="Arial" w:cs="Arial" w:eastAsia="Arial" w:hAnsi="Arial"/>
          <w:color w:val="1A1A1A"/>
          <w:sz w:val="20"/>
          <w:szCs w:val="20"/>
        </w:rPr>
        <w:t xml:space="preserve">Password authentication: KINTONE_USERNAME + KINTONE_PASSWORD — operates under a named user identity; logged as that user in Kintone audit trails.</w:t>
      </w:r>
    </w:p>
    <w:p>
      <w:pPr>
        <w:pStyle w:val="ListParagraph"/>
        <w:numPr>
          <w:ilvl w:val="0"/>
          <w:numId w:val="2"/>
        </w:numPr>
        <w:spacing w:after="40" w:before="40"/>
      </w:pPr>
      <w:r>
        <w:rPr>
          <w:rFonts w:ascii="Arial" w:cs="Arial" w:eastAsia="Arial" w:hAnsi="Arial"/>
          <w:color w:val="1A1A1A"/>
          <w:sz w:val="20"/>
          <w:szCs w:val="20"/>
        </w:rPr>
        <w:t xml:space="preserve">API token authentication: KINTONE_API_TOKEN — comma-separated list of App-scoped tokens; preferred for service accounts.</w:t>
      </w:r>
    </w:p>
    <w:p>
      <w:pPr>
        <w:spacing w:after="80" w:before="80"/>
      </w:pPr>
    </w:p>
    <w:p>
      <w:pPr>
        <w:spacing w:after="80" w:before="60"/>
      </w:pPr>
      <w:r>
        <w:rPr>
          <w:rFonts w:ascii="Arial" w:cs="Arial" w:eastAsia="Arial" w:hAnsi="Arial"/>
          <w:color w:val="1A1A1A"/>
          <w:sz w:val="20"/>
          <w:szCs w:val="20"/>
        </w:rPr>
        <w:t xml:space="preserve">If both are set, password authentication takes priority. For agent deployments using App-specific API tokens, set only KINTONE_API_TOKEN and do not set the username/password variables to prevent accidental credential escalation. The community macrat/mcp-server-kintone also supports KINTONE_ALLOW_APPS and KINTONE_DENY_APPS environment variables for an additional app-level access control layer — this has not yet been merged into the official server but is available as a fork if per-App restrictions are required at the server level.</w:t>
      </w:r>
    </w:p>
    <w:p>
      <w:pPr>
        <w:spacing w:after="80" w:before="80"/>
      </w:pPr>
    </w:p>
    <w:p>
      <w:pPr>
        <w:pStyle w:val="Heading1"/>
        <w:shd w:fill="1A3C5E" w:val="clear"/>
        <w:spacing w:after="200" w:before="400"/>
        <w:ind w:left="160" w:right="160"/>
      </w:pPr>
      <w:r>
        <w:rPr>
          <w:rFonts w:ascii="Arial" w:cs="Arial" w:eastAsia="Arial" w:hAnsi="Arial"/>
          <w:b/>
          <w:bCs/>
          <w:color w:val="FFFFFF"/>
          <w:sz w:val="30"/>
          <w:szCs w:val="30"/>
        </w:rPr>
        <w:t xml:space="preserve">  4  Cost &amp; Latency</w:t>
      </w:r>
    </w:p>
    <w:p>
      <w:pPr>
        <w:pStyle w:val="Heading2"/>
        <w:pBdr>
          <w:bottom w:val="single" w:color="2563A8" w:sz="6"/>
        </w:pBdr>
        <w:spacing w:after="120" w:before="300"/>
      </w:pPr>
      <w:r>
        <w:rPr>
          <w:rFonts w:ascii="Arial" w:cs="Arial" w:eastAsia="Arial" w:hAnsi="Arial"/>
          <w:b/>
          <w:bCs/>
          <w:color w:val="1A3C5E"/>
          <w:sz w:val="26"/>
          <w:szCs w:val="26"/>
        </w:rPr>
        <w:t xml:space="preserve">4.1  Infrastructure Compute Costs</w:t>
      </w:r>
    </w:p>
    <w:p>
      <w:pPr>
        <w:spacing w:after="80" w:before="60"/>
      </w:pPr>
      <w:r>
        <w:rPr>
          <w:rFonts w:ascii="Arial" w:cs="Arial" w:eastAsia="Arial" w:hAnsi="Arial"/>
          <w:color w:val="1A1A1A"/>
          <w:sz w:val="20"/>
          <w:szCs w:val="20"/>
        </w:rPr>
        <w:t xml:space="preserve">Unlike Methods 1 and 2, Method 3 requires a continuously running (or at minimum, quickly warm) container. The cost model is fundamentally different: from pay-per-execution to pay-per-uptime.</w:t>
      </w:r>
    </w:p>
    <w:p>
      <w:pPr>
        <w:spacing w:after="80" w:before="80"/>
      </w:pPr>
    </w:p>
    <w:p>
      <w:pPr>
        <w:pStyle w:val="Heading3"/>
        <w:spacing w:after="80" w:before="200"/>
      </w:pPr>
      <w:r>
        <w:rPr>
          <w:rFonts w:ascii="Arial" w:cs="Arial" w:eastAsia="Arial" w:hAnsi="Arial"/>
          <w:b/>
          <w:bCs/>
          <w:color w:val="2563A8"/>
          <w:sz w:val="22"/>
          <w:szCs w:val="22"/>
        </w:rPr>
        <w:t xml:space="preserve">Azure Container Apps Consumption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tcBorders>
              <w:top w:val="single" w:color="AABBCC" w:sz="2"/>
              <w:left w:val="single" w:color="AABBCC" w:sz="2"/>
              <w:bottom w:val="single" w:color="AABBCC" w:sz="2"/>
              <w:right w:val="single" w:color="AABBCC" w:sz="2"/>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Resource</w:t>
            </w:r>
          </w:p>
        </w:tc>
        <w:tc>
          <w:tcPr>
            <w:tcW w:type="dxa" w:w="3200"/>
            <w:tcBorders>
              <w:top w:val="single" w:color="AABBCC" w:sz="2"/>
              <w:left w:val="single" w:color="AABBCC" w:sz="2"/>
              <w:bottom w:val="single" w:color="AABBCC" w:sz="2"/>
              <w:right w:val="single" w:color="AABBCC" w:sz="2"/>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Rate</w:t>
            </w:r>
          </w:p>
        </w:tc>
        <w:tc>
          <w:tcPr>
            <w:tcW w:type="dxa" w:w="3760"/>
            <w:tcBorders>
              <w:top w:val="single" w:color="AABBCC" w:sz="2"/>
              <w:left w:val="single" w:color="AABBCC" w:sz="2"/>
              <w:bottom w:val="single" w:color="AABBCC" w:sz="2"/>
              <w:right w:val="single" w:color="AABBCC" w:sz="2"/>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40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vCPU-seconds (active)</w:t>
            </w:r>
          </w:p>
        </w:tc>
        <w:tc>
          <w:tcPr>
            <w:tcW w:type="dxa" w:w="320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$0.000024 / vCPU-second</w:t>
            </w:r>
          </w:p>
        </w:tc>
        <w:tc>
          <w:tcPr>
            <w:tcW w:type="dxa" w:w="376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Billed when replica is processing requests</w:t>
            </w:r>
          </w:p>
        </w:tc>
      </w:tr>
      <w:tr>
        <w:tc>
          <w:tcPr>
            <w:tcW w:type="dxa" w:w="240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GiB-seconds (active)</w:t>
            </w:r>
          </w:p>
        </w:tc>
        <w:tc>
          <w:tcPr>
            <w:tcW w:type="dxa" w:w="320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$0.0000025 / GiB-second</w:t>
            </w:r>
          </w:p>
        </w:tc>
        <w:tc>
          <w:tcPr>
            <w:tcW w:type="dxa" w:w="376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Billed when replica is processing requests</w:t>
            </w:r>
          </w:p>
        </w:tc>
      </w:tr>
      <w:tr>
        <w:tc>
          <w:tcPr>
            <w:tcW w:type="dxa" w:w="240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vCPU-seconds (idle)</w:t>
            </w:r>
          </w:p>
        </w:tc>
        <w:tc>
          <w:tcPr>
            <w:tcW w:type="dxa" w:w="320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$0.000001 / vCPU-second (≈4% of active)</w:t>
            </w:r>
          </w:p>
        </w:tc>
        <w:tc>
          <w:tcPr>
            <w:tcW w:type="dxa" w:w="376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Replica running but not processing; applies if min-replicas ≥ 1</w:t>
            </w:r>
          </w:p>
        </w:tc>
      </w:tr>
      <w:tr>
        <w:tc>
          <w:tcPr>
            <w:tcW w:type="dxa" w:w="240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GiB-seconds (idle)</w:t>
            </w:r>
          </w:p>
        </w:tc>
        <w:tc>
          <w:tcPr>
            <w:tcW w:type="dxa" w:w="320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~$0.0000001 / GiB-second</w:t>
            </w:r>
          </w:p>
        </w:tc>
        <w:tc>
          <w:tcPr>
            <w:tcW w:type="dxa" w:w="376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Approx 4% of active memory rate</w:t>
            </w:r>
          </w:p>
        </w:tc>
      </w:tr>
      <w:tr>
        <w:tc>
          <w:tcPr>
            <w:tcW w:type="dxa" w:w="240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HTTP requests</w:t>
            </w:r>
          </w:p>
        </w:tc>
        <w:tc>
          <w:tcPr>
            <w:tcW w:type="dxa" w:w="320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$0.40 per million (after 2M free/mo)</w:t>
            </w:r>
          </w:p>
        </w:tc>
        <w:tc>
          <w:tcPr>
            <w:tcW w:type="dxa" w:w="376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Each agent tool call = 1 request to MCP server</w:t>
            </w:r>
          </w:p>
        </w:tc>
      </w:tr>
      <w:tr>
        <w:tc>
          <w:tcPr>
            <w:tcW w:type="dxa" w:w="240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Free grants (per subscription/month)</w:t>
            </w:r>
          </w:p>
        </w:tc>
        <w:tc>
          <w:tcPr>
            <w:tcW w:type="dxa" w:w="320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180,000 vCPU-sec, 360,000 GiB-sec, 2M requests</w:t>
            </w:r>
          </w:p>
        </w:tc>
        <w:tc>
          <w:tcPr>
            <w:tcW w:type="dxa" w:w="376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Resets monthly; may cover low-volume agents entirely</w:t>
            </w:r>
          </w:p>
        </w:tc>
      </w:tr>
    </w:tbl>
    <w:p>
      <w:pPr>
        <w:spacing w:after="80" w:before="80"/>
      </w:pPr>
    </w:p>
    <w:p>
      <w:pPr>
        <w:pStyle w:val="Heading3"/>
        <w:spacing w:after="80" w:before="200"/>
      </w:pPr>
      <w:r>
        <w:rPr>
          <w:rFonts w:ascii="Arial" w:cs="Arial" w:eastAsia="Arial" w:hAnsi="Arial"/>
          <w:b/>
          <w:bCs/>
          <w:color w:val="2563A8"/>
          <w:sz w:val="22"/>
          <w:szCs w:val="22"/>
        </w:rPr>
        <w:t xml:space="preserve">Monthly Cost Estimates — MCP Server Container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2000"/>
            <w:tcBorders>
              <w:top w:val="single" w:color="AABBCC" w:sz="2"/>
              <w:left w:val="single" w:color="AABBCC" w:sz="2"/>
              <w:bottom w:val="single" w:color="AABBCC" w:sz="2"/>
              <w:right w:val="single" w:color="AABBCC" w:sz="2"/>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Scenario</w:t>
            </w:r>
          </w:p>
        </w:tc>
        <w:tc>
          <w:tcPr>
            <w:tcW w:type="dxa" w:w="1600"/>
            <w:tcBorders>
              <w:top w:val="single" w:color="AABBCC" w:sz="2"/>
              <w:left w:val="single" w:color="AABBCC" w:sz="2"/>
              <w:bottom w:val="single" w:color="AABBCC" w:sz="2"/>
              <w:right w:val="single" w:color="AABBCC" w:sz="2"/>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Config</w:t>
            </w:r>
          </w:p>
        </w:tc>
        <w:tc>
          <w:tcPr>
            <w:tcW w:type="dxa" w:w="1400"/>
            <w:tcBorders>
              <w:top w:val="single" w:color="AABBCC" w:sz="2"/>
              <w:left w:val="single" w:color="AABBCC" w:sz="2"/>
              <w:bottom w:val="single" w:color="AABBCC" w:sz="2"/>
              <w:right w:val="single" w:color="AABBCC" w:sz="2"/>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vCPU Cost</w:t>
            </w:r>
          </w:p>
        </w:tc>
        <w:tc>
          <w:tcPr>
            <w:tcW w:type="dxa" w:w="1400"/>
            <w:tcBorders>
              <w:top w:val="single" w:color="AABBCC" w:sz="2"/>
              <w:left w:val="single" w:color="AABBCC" w:sz="2"/>
              <w:bottom w:val="single" w:color="AABBCC" w:sz="2"/>
              <w:right w:val="single" w:color="AABBCC" w:sz="2"/>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Memory Cost</w:t>
            </w:r>
          </w:p>
        </w:tc>
        <w:tc>
          <w:tcPr>
            <w:tcW w:type="dxa" w:w="1400"/>
            <w:tcBorders>
              <w:top w:val="single" w:color="AABBCC" w:sz="2"/>
              <w:left w:val="single" w:color="AABBCC" w:sz="2"/>
              <w:bottom w:val="single" w:color="AABBCC" w:sz="2"/>
              <w:right w:val="single" w:color="AABBCC" w:sz="2"/>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Request Cost</w:t>
            </w:r>
          </w:p>
        </w:tc>
        <w:tc>
          <w:tcPr>
            <w:tcW w:type="dxa" w:w="1560"/>
            <w:tcBorders>
              <w:top w:val="single" w:color="AABBCC" w:sz="2"/>
              <w:left w:val="single" w:color="AABBCC" w:sz="2"/>
              <w:bottom w:val="single" w:color="AABBCC" w:sz="2"/>
              <w:right w:val="single" w:color="AABBCC" w:sz="2"/>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Total/Month</w:t>
            </w:r>
          </w:p>
        </w:tc>
      </w:tr>
      <w:tr>
        <w:tc>
          <w:tcPr>
            <w:tcW w:type="dxa" w:w="2000"/>
            <w:tcBorders>
              <w:top w:val="single" w:color="AABBCC" w:sz="2"/>
              <w:left w:val="single" w:color="AABBCC" w:sz="2"/>
              <w:bottom w:val="single" w:color="AABBCC" w:sz="2"/>
              <w:right w:val="single" w:color="AABBCC" w:sz="2"/>
            </w:tcBorders>
            <w:shd w:fill="DFF0D8" w:val="clear"/>
            <w:tcMar>
              <w:top w:type="dxa" w:w="70"/>
              <w:left w:type="dxa" w:w="120"/>
              <w:bottom w:type="dxa" w:w="70"/>
              <w:right w:type="dxa" w:w="120"/>
            </w:tcMar>
          </w:tcPr>
          <w:p>
            <w:r>
              <w:rPr>
                <w:rFonts w:ascii="Arial" w:cs="Arial" w:eastAsia="Arial" w:hAnsi="Arial"/>
                <w:color w:val="1A1A1A"/>
                <w:sz w:val="19"/>
                <w:szCs w:val="19"/>
              </w:rPr>
              <w:t xml:space="preserve">Dev/Test (scale-to-zero)</w:t>
            </w:r>
          </w:p>
        </w:tc>
        <w:tc>
          <w:tcPr>
            <w:tcW w:type="dxa" w:w="1600"/>
            <w:tcBorders>
              <w:top w:val="single" w:color="AABBCC" w:sz="2"/>
              <w:left w:val="single" w:color="AABBCC" w:sz="2"/>
              <w:bottom w:val="single" w:color="AABBCC" w:sz="2"/>
              <w:right w:val="single" w:color="AABBCC" w:sz="2"/>
            </w:tcBorders>
            <w:shd w:fill="DFF0D8" w:val="clear"/>
            <w:tcMar>
              <w:top w:type="dxa" w:w="70"/>
              <w:left w:type="dxa" w:w="120"/>
              <w:bottom w:type="dxa" w:w="70"/>
              <w:right w:type="dxa" w:w="120"/>
            </w:tcMar>
          </w:tcPr>
          <w:p>
            <w:r>
              <w:rPr>
                <w:rFonts w:ascii="Arial" w:cs="Arial" w:eastAsia="Arial" w:hAnsi="Arial"/>
                <w:color w:val="1A1A1A"/>
                <w:sz w:val="19"/>
                <w:szCs w:val="19"/>
              </w:rPr>
              <w:t xml:space="preserve">0.25 vCPU / 0.5 GiB; min-replicas=0</w:t>
            </w:r>
          </w:p>
        </w:tc>
        <w:tc>
          <w:tcPr>
            <w:tcW w:type="dxa" w:w="1400"/>
            <w:tcBorders>
              <w:top w:val="single" w:color="AABBCC" w:sz="2"/>
              <w:left w:val="single" w:color="AABBCC" w:sz="2"/>
              <w:bottom w:val="single" w:color="AABBCC" w:sz="2"/>
              <w:right w:val="single" w:color="AABBCC" w:sz="2"/>
            </w:tcBorders>
            <w:shd w:fill="DFF0D8" w:val="clear"/>
            <w:tcMar>
              <w:top w:type="dxa" w:w="70"/>
              <w:left w:type="dxa" w:w="120"/>
              <w:bottom w:type="dxa" w:w="70"/>
              <w:right w:type="dxa" w:w="120"/>
            </w:tcMar>
          </w:tcPr>
          <w:p>
            <w:r>
              <w:rPr>
                <w:rFonts w:ascii="Arial" w:cs="Arial" w:eastAsia="Arial" w:hAnsi="Arial"/>
                <w:color w:val="1A1A1A"/>
                <w:sz w:val="19"/>
                <w:szCs w:val="19"/>
              </w:rPr>
              <w:t xml:space="preserve">~$0 idle</w:t>
            </w:r>
          </w:p>
        </w:tc>
        <w:tc>
          <w:tcPr>
            <w:tcW w:type="dxa" w:w="1400"/>
            <w:tcBorders>
              <w:top w:val="single" w:color="AABBCC" w:sz="2"/>
              <w:left w:val="single" w:color="AABBCC" w:sz="2"/>
              <w:bottom w:val="single" w:color="AABBCC" w:sz="2"/>
              <w:right w:val="single" w:color="AABBCC" w:sz="2"/>
            </w:tcBorders>
            <w:shd w:fill="DFF0D8" w:val="clear"/>
            <w:tcMar>
              <w:top w:type="dxa" w:w="70"/>
              <w:left w:type="dxa" w:w="120"/>
              <w:bottom w:type="dxa" w:w="70"/>
              <w:right w:type="dxa" w:w="120"/>
            </w:tcMar>
          </w:tcPr>
          <w:p>
            <w:r>
              <w:rPr>
                <w:rFonts w:ascii="Arial" w:cs="Arial" w:eastAsia="Arial" w:hAnsi="Arial"/>
                <w:color w:val="1A1A1A"/>
                <w:sz w:val="19"/>
                <w:szCs w:val="19"/>
              </w:rPr>
              <w:t xml:space="preserve">~$0 idle</w:t>
            </w:r>
          </w:p>
        </w:tc>
        <w:tc>
          <w:tcPr>
            <w:tcW w:type="dxa" w:w="1400"/>
            <w:tcBorders>
              <w:top w:val="single" w:color="AABBCC" w:sz="2"/>
              <w:left w:val="single" w:color="AABBCC" w:sz="2"/>
              <w:bottom w:val="single" w:color="AABBCC" w:sz="2"/>
              <w:right w:val="single" w:color="AABBCC" w:sz="2"/>
            </w:tcBorders>
            <w:shd w:fill="DFF0D8" w:val="clear"/>
            <w:tcMar>
              <w:top w:type="dxa" w:w="70"/>
              <w:left w:type="dxa" w:w="120"/>
              <w:bottom w:type="dxa" w:w="70"/>
              <w:right w:type="dxa" w:w="120"/>
            </w:tcMar>
          </w:tcPr>
          <w:p>
            <w:r>
              <w:rPr>
                <w:rFonts w:ascii="Arial" w:cs="Arial" w:eastAsia="Arial" w:hAnsi="Arial"/>
                <w:color w:val="1A1A1A"/>
                <w:sz w:val="19"/>
                <w:szCs w:val="19"/>
              </w:rPr>
              <w:t xml:space="preserve">&lt;2M reqs free</w:t>
            </w:r>
          </w:p>
        </w:tc>
        <w:tc>
          <w:tcPr>
            <w:tcW w:type="dxa" w:w="1560"/>
            <w:tcBorders>
              <w:top w:val="single" w:color="AABBCC" w:sz="2"/>
              <w:left w:val="single" w:color="AABBCC" w:sz="2"/>
              <w:bottom w:val="single" w:color="AABBCC" w:sz="2"/>
              <w:right w:val="single" w:color="AABBCC" w:sz="2"/>
            </w:tcBorders>
            <w:shd w:fill="DFF0D8" w:val="clear"/>
            <w:tcMar>
              <w:top w:type="dxa" w:w="70"/>
              <w:left w:type="dxa" w:w="120"/>
              <w:bottom w:type="dxa" w:w="70"/>
              <w:right w:type="dxa" w:w="120"/>
            </w:tcMar>
          </w:tcPr>
          <w:p>
            <w:r>
              <w:rPr>
                <w:rFonts w:ascii="Arial" w:cs="Arial" w:eastAsia="Arial" w:hAnsi="Arial"/>
                <w:color w:val="1A1A1A"/>
                <w:sz w:val="19"/>
                <w:szCs w:val="19"/>
              </w:rPr>
              <w:t xml:space="preserve">~$0–2</w:t>
            </w:r>
          </w:p>
        </w:tc>
      </w:tr>
      <w:tr>
        <w:tc>
          <w:tcPr>
            <w:tcW w:type="dxa" w:w="200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Low-volume production</w:t>
            </w:r>
          </w:p>
        </w:tc>
        <w:tc>
          <w:tcPr>
            <w:tcW w:type="dxa" w:w="160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0.5 vCPU / 1 GiB; min-replicas=1; idle 90% of time</w:t>
            </w:r>
          </w:p>
        </w:tc>
        <w:tc>
          <w:tcPr>
            <w:tcW w:type="dxa" w:w="140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~$3.90 idle</w:t>
            </w:r>
          </w:p>
        </w:tc>
        <w:tc>
          <w:tcPr>
            <w:tcW w:type="dxa" w:w="140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~$0.81 idle</w:t>
            </w:r>
          </w:p>
        </w:tc>
        <w:tc>
          <w:tcPr>
            <w:tcW w:type="dxa" w:w="140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~$0 (&lt; 2M)</w:t>
            </w:r>
          </w:p>
        </w:tc>
        <w:tc>
          <w:tcPr>
            <w:tcW w:type="dxa" w:w="156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~$5/month</w:t>
            </w:r>
          </w:p>
        </w:tc>
      </w:tr>
      <w:tr>
        <w:tc>
          <w:tcPr>
            <w:tcW w:type="dxa" w:w="200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Medium-volume production</w:t>
            </w:r>
          </w:p>
        </w:tc>
        <w:tc>
          <w:tcPr>
            <w:tcW w:type="dxa" w:w="160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0.5 vCPU / 1 GiB; min=1; 40% active, 60% idle</w:t>
            </w:r>
          </w:p>
        </w:tc>
        <w:tc>
          <w:tcPr>
            <w:tcW w:type="dxa" w:w="140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~$7.20 combined</w:t>
            </w:r>
          </w:p>
        </w:tc>
        <w:tc>
          <w:tcPr>
            <w:tcW w:type="dxa" w:w="140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~$1.50 combined</w:t>
            </w:r>
          </w:p>
        </w:tc>
        <w:tc>
          <w:tcPr>
            <w:tcW w:type="dxa" w:w="140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~$0–2</w:t>
            </w:r>
          </w:p>
        </w:tc>
        <w:tc>
          <w:tcPr>
            <w:tcW w:type="dxa" w:w="156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~$9–11/month</w:t>
            </w:r>
          </w:p>
        </w:tc>
      </w:tr>
      <w:tr>
        <w:tc>
          <w:tcPr>
            <w:tcW w:type="dxa" w:w="200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High-volume (2 replicas, always active)</w:t>
            </w:r>
          </w:p>
        </w:tc>
        <w:tc>
          <w:tcPr>
            <w:tcW w:type="dxa" w:w="160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1 vCPU / 2 GiB × 2 replicas; always active</w:t>
            </w:r>
          </w:p>
        </w:tc>
        <w:tc>
          <w:tcPr>
            <w:tcW w:type="dxa" w:w="140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~$124/month</w:t>
            </w:r>
          </w:p>
        </w:tc>
        <w:tc>
          <w:tcPr>
            <w:tcW w:type="dxa" w:w="140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~$26/month</w:t>
            </w:r>
          </w:p>
        </w:tc>
        <w:tc>
          <w:tcPr>
            <w:tcW w:type="dxa" w:w="140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~$2–8</w:t>
            </w:r>
          </w:p>
        </w:tc>
        <w:tc>
          <w:tcPr>
            <w:tcW w:type="dxa" w:w="156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~$150–160/month</w:t>
            </w:r>
          </w:p>
        </w:tc>
      </w:tr>
    </w:tbl>
    <w:p>
      <w:pPr>
        <w:spacing w:after="80" w:before="80"/>
      </w:pPr>
    </w:p>
    <w:p>
      <w:pPr>
        <w:spacing w:after="80" w:before="60"/>
      </w:pPr>
      <w:r>
        <w:rPr>
          <w:rFonts w:ascii="Arial" w:cs="Arial" w:eastAsia="Arial" w:hAnsi="Arial"/>
          <w:color w:val="1A1A1A"/>
          <w:sz w:val="20"/>
          <w:szCs w:val="20"/>
        </w:rPr>
        <w:t xml:space="preserve">The low-volume production scenario at ~$5/month represents the dominant operational cost for most enterprise agent deployments where Kintone interactions are driven by business events rather than continuous polling. This is the most realistic baseline. The $150+/month high-volume scenario would only apply to agents handling thousands of Kintone operations per hour.</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2563A8"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COST</w:t>
            </w:r>
          </w:p>
        </w:tc>
        <w:tc>
          <w:tcPr>
            <w:tcW w:type="dxa" w:w="8840"/>
            <w:tcBorders>
              <w:top w:val="none" w:color="FFFFFF" w:sz="0"/>
              <w:left w:val="none" w:color="FFFFFF" w:sz="0"/>
              <w:bottom w:val="none" w:color="FFFFFF" w:sz="0"/>
              <w:right w:val="none" w:color="FFFFFF" w:sz="0"/>
            </w:tcBorders>
            <w:shd w:fill="D6E4F0" w:val="clear"/>
            <w:tcMar>
              <w:top w:type="dxa" w:w="80"/>
              <w:left w:type="dxa" w:w="180"/>
              <w:bottom w:type="dxa" w:w="80"/>
              <w:right w:type="dxa" w:w="120"/>
            </w:tcMar>
          </w:tcPr>
          <w:p>
            <w:r>
              <w:rPr>
                <w:rFonts w:ascii="Arial" w:cs="Arial" w:eastAsia="Arial" w:hAnsi="Arial"/>
                <w:color w:val="1A1A1A"/>
                <w:sz w:val="19"/>
                <w:szCs w:val="19"/>
              </w:rPr>
              <w:t xml:space="preserve">Cost comparison with Methods 1 &amp; 2: At the low-volume baseline (~$5/month for MCP server + ~$2/month for inference token overhead), Method 3 is cost-competitive with Method 2 (~$2–5/month total) and significantly cheaper than a Logic Apps workflow with Standard connector calls at scale. The fixed idle cost (~$5/month) disappears if the agent is low-frequency and min-replicas is set to 0 — though this reintroduces cold start latency.</w:t>
            </w:r>
          </w:p>
        </w:tc>
      </w:tr>
    </w:tbl>
    <w:p>
      <w:pPr>
        <w:spacing w:after="80" w:before="80"/>
      </w:pPr>
    </w:p>
    <w:p>
      <w:pPr>
        <w:pStyle w:val="Heading2"/>
        <w:pBdr>
          <w:bottom w:val="single" w:color="2563A8" w:sz="6"/>
        </w:pBdr>
        <w:spacing w:after="120" w:before="300"/>
      </w:pPr>
      <w:r>
        <w:rPr>
          <w:rFonts w:ascii="Arial" w:cs="Arial" w:eastAsia="Arial" w:hAnsi="Arial"/>
          <w:b/>
          <w:bCs/>
          <w:color w:val="1A3C5E"/>
          <w:sz w:val="26"/>
          <w:szCs w:val="26"/>
        </w:rPr>
        <w:t xml:space="preserve">4.2  Protocol Latency — The MCP Hop</w:t>
      </w:r>
    </w:p>
    <w:p>
      <w:pPr>
        <w:spacing w:after="80" w:before="60"/>
      </w:pPr>
      <w:r>
        <w:rPr>
          <w:rFonts w:ascii="Arial" w:cs="Arial" w:eastAsia="Arial" w:hAnsi="Arial"/>
          <w:color w:val="1A1A1A"/>
          <w:sz w:val="20"/>
          <w:szCs w:val="20"/>
        </w:rPr>
        <w:t xml:space="preserve">Method 3 introduces an additional network hop that does not exist in Method 2. The total agent-to-Kintone latency chain is: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600"/>
            <w:tcBorders>
              <w:top w:val="single" w:color="AABBCC" w:sz="2"/>
              <w:left w:val="single" w:color="AABBCC" w:sz="2"/>
              <w:bottom w:val="single" w:color="AABBCC" w:sz="2"/>
              <w:right w:val="single" w:color="AABBCC" w:sz="2"/>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Segment</w:t>
            </w:r>
          </w:p>
        </w:tc>
        <w:tc>
          <w:tcPr>
            <w:tcW w:type="dxa" w:w="2200"/>
            <w:tcBorders>
              <w:top w:val="single" w:color="AABBCC" w:sz="2"/>
              <w:left w:val="single" w:color="AABBCC" w:sz="2"/>
              <w:bottom w:val="single" w:color="AABBCC" w:sz="2"/>
              <w:right w:val="single" w:color="AABBCC" w:sz="2"/>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Method 2 (Direct REST)</w:t>
            </w:r>
          </w:p>
        </w:tc>
        <w:tc>
          <w:tcPr>
            <w:tcW w:type="dxa" w:w="2200"/>
            <w:tcBorders>
              <w:top w:val="single" w:color="AABBCC" w:sz="2"/>
              <w:left w:val="single" w:color="AABBCC" w:sz="2"/>
              <w:bottom w:val="single" w:color="AABBCC" w:sz="2"/>
              <w:right w:val="single" w:color="AABBCC" w:sz="2"/>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Method 3 (via MCP)</w:t>
            </w:r>
          </w:p>
        </w:tc>
        <w:tc>
          <w:tcPr>
            <w:tcW w:type="dxa" w:w="2360"/>
            <w:tcBorders>
              <w:top w:val="single" w:color="AABBCC" w:sz="2"/>
              <w:left w:val="single" w:color="AABBCC" w:sz="2"/>
              <w:bottom w:val="single" w:color="AABBCC" w:sz="2"/>
              <w:right w:val="single" w:color="AABBCC" w:sz="2"/>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Delta</w:t>
            </w:r>
          </w:p>
        </w:tc>
      </w:tr>
      <w:tr>
        <w:tc>
          <w:tcPr>
            <w:tcW w:type="dxa" w:w="260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Foundry agent → tool endpoint</w:t>
            </w:r>
          </w:p>
        </w:tc>
        <w:tc>
          <w:tcPr>
            <w:tcW w:type="dxa" w:w="220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80–350ms (direct Kintone)</w:t>
            </w:r>
          </w:p>
        </w:tc>
        <w:tc>
          <w:tcPr>
            <w:tcW w:type="dxa" w:w="220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5–30ms (to ACA MCP server)</w:t>
            </w:r>
          </w:p>
        </w:tc>
        <w:tc>
          <w:tcPr>
            <w:tcW w:type="dxa" w:w="236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−45 to −320ms (MCP server is closer)</w:t>
            </w:r>
          </w:p>
        </w:tc>
      </w:tr>
      <w:tr>
        <w:tc>
          <w:tcPr>
            <w:tcW w:type="dxa" w:w="260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Tool endpoint → Kintone API</w:t>
            </w:r>
          </w:p>
        </w:tc>
        <w:tc>
          <w:tcPr>
            <w:tcW w:type="dxa" w:w="220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Included above</w:t>
            </w:r>
          </w:p>
        </w:tc>
        <w:tc>
          <w:tcPr>
            <w:tcW w:type="dxa" w:w="220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80–350ms (MCP server → Kintone)</w:t>
            </w:r>
          </w:p>
        </w:tc>
        <w:tc>
          <w:tcPr>
            <w:tcW w:type="dxa" w:w="236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Same as Method 2</w:t>
            </w:r>
          </w:p>
        </w:tc>
      </w:tr>
      <w:tr>
        <w:tc>
          <w:tcPr>
            <w:tcW w:type="dxa" w:w="260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JSON-RPC 2.0 serialisation overhead</w:t>
            </w:r>
          </w:p>
        </w:tc>
        <w:tc>
          <w:tcPr>
            <w:tcW w:type="dxa" w:w="220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None (raw HTTP)</w:t>
            </w:r>
          </w:p>
        </w:tc>
        <w:tc>
          <w:tcPr>
            <w:tcW w:type="dxa" w:w="220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2–8ms (MCP framing + routing)</w:t>
            </w:r>
          </w:p>
        </w:tc>
        <w:tc>
          <w:tcPr>
            <w:tcW w:type="dxa" w:w="236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Minimal</w:t>
            </w:r>
          </w:p>
        </w:tc>
      </w:tr>
      <w:tr>
        <w:tc>
          <w:tcPr>
            <w:tcW w:type="dxa" w:w="260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Cold start (scale to 0)</w:t>
            </w:r>
          </w:p>
        </w:tc>
        <w:tc>
          <w:tcPr>
            <w:tcW w:type="dxa" w:w="220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None (stateless)</w:t>
            </w:r>
          </w:p>
        </w:tc>
        <w:tc>
          <w:tcPr>
            <w:tcW w:type="dxa" w:w="220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500ms–3s (container startup)</w:t>
            </w:r>
          </w:p>
        </w:tc>
        <w:tc>
          <w:tcPr>
            <w:tcW w:type="dxa" w:w="236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Significant if min-replicas=0</w:t>
            </w:r>
          </w:p>
        </w:tc>
      </w:tr>
      <w:tr>
        <w:tc>
          <w:tcPr>
            <w:tcW w:type="dxa" w:w="260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Warm total (record op)</w:t>
            </w:r>
          </w:p>
        </w:tc>
        <w:tc>
          <w:tcPr>
            <w:tcW w:type="dxa" w:w="220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80–350ms</w:t>
            </w:r>
          </w:p>
        </w:tc>
        <w:tc>
          <w:tcPr>
            <w:tcW w:type="dxa" w:w="220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90–390ms</w:t>
            </w:r>
          </w:p>
        </w:tc>
        <w:tc>
          <w:tcPr>
            <w:tcW w:type="dxa" w:w="236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+5–40ms overhead</w:t>
            </w:r>
          </w:p>
        </w:tc>
      </w:tr>
      <w:tr>
        <w:tc>
          <w:tcPr>
            <w:tcW w:type="dxa" w:w="2600"/>
            <w:tcBorders>
              <w:top w:val="single" w:color="AABBCC" w:sz="2"/>
              <w:left w:val="single" w:color="AABBCC" w:sz="2"/>
              <w:bottom w:val="single" w:color="AABBCC" w:sz="2"/>
              <w:right w:val="single" w:color="AABBCC" w:sz="2"/>
            </w:tcBorders>
            <w:shd w:fill="DFF0D8" w:val="clear"/>
            <w:tcMar>
              <w:top w:type="dxa" w:w="70"/>
              <w:left w:type="dxa" w:w="120"/>
              <w:bottom w:type="dxa" w:w="70"/>
              <w:right w:type="dxa" w:w="120"/>
            </w:tcMar>
          </w:tcPr>
          <w:p>
            <w:r>
              <w:rPr>
                <w:rFonts w:ascii="Arial" w:cs="Arial" w:eastAsia="Arial" w:hAnsi="Arial"/>
                <w:color w:val="1A1A1A"/>
                <w:sz w:val="19"/>
                <w:szCs w:val="19"/>
              </w:rPr>
              <w:t xml:space="preserve">Warm total (file op)</w:t>
            </w:r>
          </w:p>
        </w:tc>
        <w:tc>
          <w:tcPr>
            <w:tcW w:type="dxa" w:w="2200"/>
            <w:tcBorders>
              <w:top w:val="single" w:color="AABBCC" w:sz="2"/>
              <w:left w:val="single" w:color="AABBCC" w:sz="2"/>
              <w:bottom w:val="single" w:color="AABBCC" w:sz="2"/>
              <w:right w:val="single" w:color="AABBCC" w:sz="2"/>
            </w:tcBorders>
            <w:shd w:fill="DFF0D8" w:val="clear"/>
            <w:tcMar>
              <w:top w:type="dxa" w:w="70"/>
              <w:left w:type="dxa" w:w="120"/>
              <w:bottom w:type="dxa" w:w="70"/>
              <w:right w:type="dxa" w:w="120"/>
            </w:tcMar>
          </w:tcPr>
          <w:p>
            <w:r>
              <w:rPr>
                <w:rFonts w:ascii="Arial" w:cs="Arial" w:eastAsia="Arial" w:hAnsi="Arial"/>
                <w:color w:val="1A1A1A"/>
                <w:sz w:val="19"/>
                <w:szCs w:val="19"/>
              </w:rPr>
              <w:t xml:space="preserve">130–850ms (includes Function bridge)</w:t>
            </w:r>
          </w:p>
        </w:tc>
        <w:tc>
          <w:tcPr>
            <w:tcW w:type="dxa" w:w="2200"/>
            <w:tcBorders>
              <w:top w:val="single" w:color="AABBCC" w:sz="2"/>
              <w:left w:val="single" w:color="AABBCC" w:sz="2"/>
              <w:bottom w:val="single" w:color="AABBCC" w:sz="2"/>
              <w:right w:val="single" w:color="AABBCC" w:sz="2"/>
            </w:tcBorders>
            <w:shd w:fill="DFF0D8" w:val="clear"/>
            <w:tcMar>
              <w:top w:type="dxa" w:w="70"/>
              <w:left w:type="dxa" w:w="120"/>
              <w:bottom w:type="dxa" w:w="70"/>
              <w:right w:type="dxa" w:w="120"/>
            </w:tcMar>
          </w:tcPr>
          <w:p>
            <w:r>
              <w:rPr>
                <w:rFonts w:ascii="Arial" w:cs="Arial" w:eastAsia="Arial" w:hAnsi="Arial"/>
                <w:color w:val="1A1A1A"/>
                <w:sz w:val="19"/>
                <w:szCs w:val="19"/>
              </w:rPr>
              <w:t xml:space="preserve">90–410ms (no bridge needed)</w:t>
            </w:r>
          </w:p>
        </w:tc>
        <w:tc>
          <w:tcPr>
            <w:tcW w:type="dxa" w:w="2360"/>
            <w:tcBorders>
              <w:top w:val="single" w:color="AABBCC" w:sz="2"/>
              <w:left w:val="single" w:color="AABBCC" w:sz="2"/>
              <w:bottom w:val="single" w:color="AABBCC" w:sz="2"/>
              <w:right w:val="single" w:color="AABBCC" w:sz="2"/>
            </w:tcBorders>
            <w:shd w:fill="DFF0D8" w:val="clear"/>
            <w:tcMar>
              <w:top w:type="dxa" w:w="70"/>
              <w:left w:type="dxa" w:w="120"/>
              <w:bottom w:type="dxa" w:w="70"/>
              <w:right w:type="dxa" w:w="120"/>
            </w:tcMar>
          </w:tcPr>
          <w:p>
            <w:r>
              <w:rPr>
                <w:rFonts w:ascii="Arial" w:cs="Arial" w:eastAsia="Arial" w:hAnsi="Arial"/>
                <w:color w:val="1A1A1A"/>
                <w:sz w:val="19"/>
                <w:szCs w:val="19"/>
              </w:rPr>
              <w:t xml:space="preserve">MCP is faster by ~50–440ms</w:t>
            </w:r>
          </w:p>
        </w:tc>
      </w:tr>
      <w:tr>
        <w:tc>
          <w:tcPr>
            <w:tcW w:type="dxa" w:w="260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End-to-end agent round-trip (warm)</w:t>
            </w:r>
          </w:p>
        </w:tc>
        <w:tc>
          <w:tcPr>
            <w:tcW w:type="dxa" w:w="220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1.5–5s total</w:t>
            </w:r>
          </w:p>
        </w:tc>
        <w:tc>
          <w:tcPr>
            <w:tcW w:type="dxa" w:w="220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1.5–5s total</w:t>
            </w:r>
          </w:p>
        </w:tc>
        <w:tc>
          <w:tcPr>
            <w:tcW w:type="dxa" w:w="236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Comparable</w:t>
            </w:r>
          </w:p>
        </w:tc>
      </w:tr>
    </w:tbl>
    <w:p>
      <w:pPr>
        <w:spacing w:after="80" w:before="80"/>
      </w:pPr>
    </w:p>
    <w:p>
      <w:pPr>
        <w:spacing w:after="80" w:before="60"/>
      </w:pPr>
      <w:r>
        <w:rPr>
          <w:rFonts w:ascii="Arial" w:cs="Arial" w:eastAsia="Arial" w:hAnsi="Arial"/>
          <w:color w:val="1A1A1A"/>
          <w:sz w:val="20"/>
          <w:szCs w:val="20"/>
        </w:rPr>
        <w:t xml:space="preserve">The MCP protocol overhead per call (JSON-RPC framing, session lookup, tool dispatch) adds approximately 5–30ms. This is negligible relative to the dominant latency factors of LLM inference time and the Kintone API round-trip. For file operations specifically, Method 3 is measurably faster than Method 2 because it eliminates the Azure Function bridge cold-start and encoding overhead.</w:t>
      </w:r>
    </w:p>
    <w:p>
      <w:pPr>
        <w:spacing w:after="80" w:before="80"/>
      </w:pPr>
    </w:p>
    <w:p>
      <w:pPr>
        <w:pStyle w:val="Heading2"/>
        <w:pBdr>
          <w:bottom w:val="single" w:color="2563A8" w:sz="6"/>
        </w:pBdr>
        <w:spacing w:after="120" w:before="300"/>
      </w:pPr>
      <w:r>
        <w:rPr>
          <w:rFonts w:ascii="Arial" w:cs="Arial" w:eastAsia="Arial" w:hAnsi="Arial"/>
          <w:b/>
          <w:bCs/>
          <w:color w:val="1A3C5E"/>
          <w:sz w:val="26"/>
          <w:szCs w:val="26"/>
        </w:rPr>
        <w:t xml:space="preserve">4.3  Cold Start Management</w:t>
      </w:r>
    </w:p>
    <w:p>
      <w:pPr>
        <w:spacing w:after="80" w:before="60"/>
      </w:pPr>
      <w:r>
        <w:rPr>
          <w:rFonts w:ascii="Arial" w:cs="Arial" w:eastAsia="Arial" w:hAnsi="Arial"/>
          <w:color w:val="1A1A1A"/>
          <w:sz w:val="20"/>
          <w:szCs w:val="20"/>
        </w:rPr>
        <w:t xml:space="preserve">Cold starts are the primary latency risk in Method 3. If min-replicas is set to 0 (to eliminate idle compute cost), the container must start from scratch on the first agent call after an idle period: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400"/>
            <w:tcBorders>
              <w:top w:val="single" w:color="AABBCC" w:sz="2"/>
              <w:left w:val="single" w:color="AABBCC" w:sz="2"/>
              <w:bottom w:val="single" w:color="AABBCC" w:sz="2"/>
              <w:right w:val="single" w:color="AABBCC" w:sz="2"/>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Cold Start Scenario</w:t>
            </w:r>
          </w:p>
        </w:tc>
        <w:tc>
          <w:tcPr>
            <w:tcW w:type="dxa" w:w="1600"/>
            <w:tcBorders>
              <w:top w:val="single" w:color="AABBCC" w:sz="2"/>
              <w:left w:val="single" w:color="AABBCC" w:sz="2"/>
              <w:bottom w:val="single" w:color="AABBCC" w:sz="2"/>
              <w:right w:val="single" w:color="AABBCC" w:sz="2"/>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Startup Time</w:t>
            </w:r>
          </w:p>
        </w:tc>
        <w:tc>
          <w:tcPr>
            <w:tcW w:type="dxa" w:w="2400"/>
            <w:tcBorders>
              <w:top w:val="single" w:color="AABBCC" w:sz="2"/>
              <w:left w:val="single" w:color="AABBCC" w:sz="2"/>
              <w:bottom w:val="single" w:color="AABBCC" w:sz="2"/>
              <w:right w:val="single" w:color="AABBCC" w:sz="2"/>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Impact on Agent SLA</w:t>
            </w:r>
          </w:p>
        </w:tc>
        <w:tc>
          <w:tcPr>
            <w:tcW w:type="dxa" w:w="2960"/>
            <w:tcBorders>
              <w:top w:val="single" w:color="AABBCC" w:sz="2"/>
              <w:left w:val="single" w:color="AABBCC" w:sz="2"/>
              <w:bottom w:val="single" w:color="AABBCC" w:sz="2"/>
              <w:right w:val="single" w:color="AABBCC" w:sz="2"/>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Mitigation</w:t>
            </w:r>
          </w:p>
        </w:tc>
      </w:tr>
      <w:tr>
        <w:tc>
          <w:tcPr>
            <w:tcW w:type="dxa" w:w="2400"/>
            <w:tcBorders>
              <w:top w:val="single" w:color="AABBCC" w:sz="2"/>
              <w:left w:val="single" w:color="AABBCC" w:sz="2"/>
              <w:bottom w:val="single" w:color="AABBCC" w:sz="2"/>
              <w:right w:val="single" w:color="AABBCC" w:sz="2"/>
            </w:tcBorders>
            <w:shd w:fill="FFF3CD" w:val="clear"/>
            <w:tcMar>
              <w:top w:type="dxa" w:w="70"/>
              <w:left w:type="dxa" w:w="120"/>
              <w:bottom w:type="dxa" w:w="70"/>
              <w:right w:type="dxa" w:w="120"/>
            </w:tcMar>
          </w:tcPr>
          <w:p>
            <w:r>
              <w:rPr>
                <w:rFonts w:ascii="Arial" w:cs="Arial" w:eastAsia="Arial" w:hAnsi="Arial"/>
                <w:color w:val="1A1A1A"/>
                <w:sz w:val="19"/>
                <w:szCs w:val="19"/>
              </w:rPr>
              <w:t xml:space="preserve">ACA Consumption, min-replicas=0</w:t>
            </w:r>
          </w:p>
        </w:tc>
        <w:tc>
          <w:tcPr>
            <w:tcW w:type="dxa" w:w="1600"/>
            <w:tcBorders>
              <w:top w:val="single" w:color="AABBCC" w:sz="2"/>
              <w:left w:val="single" w:color="AABBCC" w:sz="2"/>
              <w:bottom w:val="single" w:color="AABBCC" w:sz="2"/>
              <w:right w:val="single" w:color="AABBCC" w:sz="2"/>
            </w:tcBorders>
            <w:shd w:fill="FFF3CD" w:val="clear"/>
            <w:tcMar>
              <w:top w:type="dxa" w:w="70"/>
              <w:left w:type="dxa" w:w="120"/>
              <w:bottom w:type="dxa" w:w="70"/>
              <w:right w:type="dxa" w:w="120"/>
            </w:tcMar>
          </w:tcPr>
          <w:p>
            <w:r>
              <w:rPr>
                <w:rFonts w:ascii="Arial" w:cs="Arial" w:eastAsia="Arial" w:hAnsi="Arial"/>
                <w:color w:val="1A1A1A"/>
                <w:sz w:val="19"/>
                <w:szCs w:val="19"/>
              </w:rPr>
              <w:t xml:space="preserve">800ms–3s (Node.js)</w:t>
            </w:r>
          </w:p>
        </w:tc>
        <w:tc>
          <w:tcPr>
            <w:tcW w:type="dxa" w:w="2400"/>
            <w:tcBorders>
              <w:top w:val="single" w:color="AABBCC" w:sz="2"/>
              <w:left w:val="single" w:color="AABBCC" w:sz="2"/>
              <w:bottom w:val="single" w:color="AABBCC" w:sz="2"/>
              <w:right w:val="single" w:color="AABBCC" w:sz="2"/>
            </w:tcBorders>
            <w:shd w:fill="FFF3CD" w:val="clear"/>
            <w:tcMar>
              <w:top w:type="dxa" w:w="70"/>
              <w:left w:type="dxa" w:w="120"/>
              <w:bottom w:type="dxa" w:w="70"/>
              <w:right w:type="dxa" w:w="120"/>
            </w:tcMar>
          </w:tcPr>
          <w:p>
            <w:r>
              <w:rPr>
                <w:rFonts w:ascii="Arial" w:cs="Arial" w:eastAsia="Arial" w:hAnsi="Arial"/>
                <w:color w:val="1A1A1A"/>
                <w:sz w:val="19"/>
                <w:szCs w:val="19"/>
              </w:rPr>
              <w:t xml:space="preserve">First call after idle ≥5min is slow</w:t>
            </w:r>
          </w:p>
        </w:tc>
        <w:tc>
          <w:tcPr>
            <w:tcW w:type="dxa" w:w="2960"/>
            <w:tcBorders>
              <w:top w:val="single" w:color="AABBCC" w:sz="2"/>
              <w:left w:val="single" w:color="AABBCC" w:sz="2"/>
              <w:bottom w:val="single" w:color="AABBCC" w:sz="2"/>
              <w:right w:val="single" w:color="AABBCC" w:sz="2"/>
            </w:tcBorders>
            <w:shd w:fill="FFF3CD" w:val="clear"/>
            <w:tcMar>
              <w:top w:type="dxa" w:w="70"/>
              <w:left w:type="dxa" w:w="120"/>
              <w:bottom w:type="dxa" w:w="70"/>
              <w:right w:type="dxa" w:w="120"/>
            </w:tcMar>
          </w:tcPr>
          <w:p>
            <w:r>
              <w:rPr>
                <w:rFonts w:ascii="Arial" w:cs="Arial" w:eastAsia="Arial" w:hAnsi="Arial"/>
                <w:color w:val="1A1A1A"/>
                <w:sz w:val="19"/>
                <w:szCs w:val="19"/>
              </w:rPr>
              <w:t xml:space="preserve">Accept for dev/test; use min=1 for production</w:t>
            </w:r>
          </w:p>
        </w:tc>
      </w:tr>
      <w:tr>
        <w:tc>
          <w:tcPr>
            <w:tcW w:type="dxa" w:w="2400"/>
            <w:tcBorders>
              <w:top w:val="single" w:color="AABBCC" w:sz="2"/>
              <w:left w:val="single" w:color="AABBCC" w:sz="2"/>
              <w:bottom w:val="single" w:color="AABBCC" w:sz="2"/>
              <w:right w:val="single" w:color="AABBCC" w:sz="2"/>
            </w:tcBorders>
            <w:shd w:fill="DFF0D8" w:val="clear"/>
            <w:tcMar>
              <w:top w:type="dxa" w:w="70"/>
              <w:left w:type="dxa" w:w="120"/>
              <w:bottom w:type="dxa" w:w="70"/>
              <w:right w:type="dxa" w:w="120"/>
            </w:tcMar>
          </w:tcPr>
          <w:p>
            <w:r>
              <w:rPr>
                <w:rFonts w:ascii="Arial" w:cs="Arial" w:eastAsia="Arial" w:hAnsi="Arial"/>
                <w:color w:val="1A1A1A"/>
                <w:sz w:val="19"/>
                <w:szCs w:val="19"/>
              </w:rPr>
              <w:t xml:space="preserve">ACA Consumption, min-replicas=1</w:t>
            </w:r>
          </w:p>
        </w:tc>
        <w:tc>
          <w:tcPr>
            <w:tcW w:type="dxa" w:w="1600"/>
            <w:tcBorders>
              <w:top w:val="single" w:color="AABBCC" w:sz="2"/>
              <w:left w:val="single" w:color="AABBCC" w:sz="2"/>
              <w:bottom w:val="single" w:color="AABBCC" w:sz="2"/>
              <w:right w:val="single" w:color="AABBCC" w:sz="2"/>
            </w:tcBorders>
            <w:shd w:fill="DFF0D8" w:val="clear"/>
            <w:tcMar>
              <w:top w:type="dxa" w:w="70"/>
              <w:left w:type="dxa" w:w="120"/>
              <w:bottom w:type="dxa" w:w="70"/>
              <w:right w:type="dxa" w:w="120"/>
            </w:tcMar>
          </w:tcPr>
          <w:p>
            <w:r>
              <w:rPr>
                <w:rFonts w:ascii="Arial" w:cs="Arial" w:eastAsia="Arial" w:hAnsi="Arial"/>
                <w:color w:val="1A1A1A"/>
                <w:sz w:val="19"/>
                <w:szCs w:val="19"/>
              </w:rPr>
              <w:t xml:space="preserve">0ms (warm)</w:t>
            </w:r>
          </w:p>
        </w:tc>
        <w:tc>
          <w:tcPr>
            <w:tcW w:type="dxa" w:w="2400"/>
            <w:tcBorders>
              <w:top w:val="single" w:color="AABBCC" w:sz="2"/>
              <w:left w:val="single" w:color="AABBCC" w:sz="2"/>
              <w:bottom w:val="single" w:color="AABBCC" w:sz="2"/>
              <w:right w:val="single" w:color="AABBCC" w:sz="2"/>
            </w:tcBorders>
            <w:shd w:fill="DFF0D8" w:val="clear"/>
            <w:tcMar>
              <w:top w:type="dxa" w:w="70"/>
              <w:left w:type="dxa" w:w="120"/>
              <w:bottom w:type="dxa" w:w="70"/>
              <w:right w:type="dxa" w:w="120"/>
            </w:tcMar>
          </w:tcPr>
          <w:p>
            <w:r>
              <w:rPr>
                <w:rFonts w:ascii="Arial" w:cs="Arial" w:eastAsia="Arial" w:hAnsi="Arial"/>
                <w:color w:val="1A1A1A"/>
                <w:sz w:val="19"/>
                <w:szCs w:val="19"/>
              </w:rPr>
              <w:t xml:space="preserve">No cold start</w:t>
            </w:r>
          </w:p>
        </w:tc>
        <w:tc>
          <w:tcPr>
            <w:tcW w:type="dxa" w:w="2960"/>
            <w:tcBorders>
              <w:top w:val="single" w:color="AABBCC" w:sz="2"/>
              <w:left w:val="single" w:color="AABBCC" w:sz="2"/>
              <w:bottom w:val="single" w:color="AABBCC" w:sz="2"/>
              <w:right w:val="single" w:color="AABBCC" w:sz="2"/>
            </w:tcBorders>
            <w:shd w:fill="DFF0D8" w:val="clear"/>
            <w:tcMar>
              <w:top w:type="dxa" w:w="70"/>
              <w:left w:type="dxa" w:w="120"/>
              <w:bottom w:type="dxa" w:w="70"/>
              <w:right w:type="dxa" w:w="120"/>
            </w:tcMar>
          </w:tcPr>
          <w:p>
            <w:r>
              <w:rPr>
                <w:rFonts w:ascii="Arial" w:cs="Arial" w:eastAsia="Arial" w:hAnsi="Arial"/>
                <w:color w:val="1A1A1A"/>
                <w:sz w:val="19"/>
                <w:szCs w:val="19"/>
              </w:rPr>
              <w:t xml:space="preserve">Idle billing applies (~$5/month); recommended default</w:t>
            </w:r>
          </w:p>
        </w:tc>
      </w:tr>
      <w:tr>
        <w:tc>
          <w:tcPr>
            <w:tcW w:type="dxa" w:w="240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ACA Dedicated plan</w:t>
            </w:r>
          </w:p>
        </w:tc>
        <w:tc>
          <w:tcPr>
            <w:tcW w:type="dxa" w:w="160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0ms (always-on instance)</w:t>
            </w:r>
          </w:p>
        </w:tc>
        <w:tc>
          <w:tcPr>
            <w:tcW w:type="dxa" w:w="240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No cold start; predictable latency</w:t>
            </w:r>
          </w:p>
        </w:tc>
        <w:tc>
          <w:tcPr>
            <w:tcW w:type="dxa" w:w="296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Higher cost; use only for high-throughput or SLA-critical agents</w:t>
            </w:r>
          </w:p>
        </w:tc>
      </w:tr>
    </w:tbl>
    <w:p>
      <w:pPr>
        <w:spacing w:after="80" w:before="80"/>
      </w:pPr>
    </w:p>
    <w:p>
      <w:pPr>
        <w:spacing w:after="80" w:before="60"/>
      </w:pPr>
      <w:r>
        <w:rPr>
          <w:rFonts w:ascii="Arial" w:cs="Arial" w:eastAsia="Arial" w:hAnsi="Arial"/>
          <w:color w:val="1A1A1A"/>
          <w:sz w:val="20"/>
          <w:szCs w:val="20"/>
        </w:rPr>
        <w:t xml:space="preserve">Recommendation: set min-replicas=1 for any production agent deployment. The idle cost of ~$5/month is trivially low compared to the risk of a 2–3 second latency spike on the first agent call of each business day.</w:t>
      </w:r>
    </w:p>
    <w:p>
      <w:pPr>
        <w:spacing w:after="80" w:before="80"/>
      </w:pPr>
    </w:p>
    <w:p>
      <w:pPr>
        <w:pStyle w:val="Heading2"/>
        <w:pBdr>
          <w:bottom w:val="single" w:color="2563A8" w:sz="6"/>
        </w:pBdr>
        <w:spacing w:after="120" w:before="300"/>
      </w:pPr>
      <w:r>
        <w:rPr>
          <w:rFonts w:ascii="Arial" w:cs="Arial" w:eastAsia="Arial" w:hAnsi="Arial"/>
          <w:b/>
          <w:bCs/>
          <w:color w:val="1A3C5E"/>
          <w:sz w:val="26"/>
          <w:szCs w:val="26"/>
        </w:rPr>
        <w:t xml:space="preserve">4.4  Token Economics — MCP vs OpenAPI Tool</w:t>
      </w:r>
    </w:p>
    <w:p>
      <w:pPr>
        <w:spacing w:after="80" w:before="60"/>
      </w:pPr>
      <w:r>
        <w:rPr>
          <w:rFonts w:ascii="Arial" w:cs="Arial" w:eastAsia="Arial" w:hAnsi="Arial"/>
          <w:color w:val="1A1A1A"/>
          <w:sz w:val="20"/>
          <w:szCs w:val="20"/>
        </w:rPr>
        <w:t xml:space="preserve">Unlike the OpenAPI tool (Method 2), where the schema definition is injected into the system prompt on every inference call, the MCP tool list is discovered at agent creation time via the MCP tools/list RPC and cached. The tool definitions are not re-injected on every LLM call. This means: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400"/>
            <w:tcBorders>
              <w:top w:val="single" w:color="AABBCC" w:sz="2"/>
              <w:left w:val="single" w:color="AABBCC" w:sz="2"/>
              <w:bottom w:val="single" w:color="AABBCC" w:sz="2"/>
              <w:right w:val="single" w:color="AABBCC" w:sz="2"/>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Factor</w:t>
            </w:r>
          </w:p>
        </w:tc>
        <w:tc>
          <w:tcPr>
            <w:tcW w:type="dxa" w:w="2600"/>
            <w:tcBorders>
              <w:top w:val="single" w:color="AABBCC" w:sz="2"/>
              <w:left w:val="single" w:color="AABBCC" w:sz="2"/>
              <w:bottom w:val="single" w:color="AABBCC" w:sz="2"/>
              <w:right w:val="single" w:color="AABBCC" w:sz="2"/>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Method 2 (OpenAPI)</w:t>
            </w:r>
          </w:p>
        </w:tc>
        <w:tc>
          <w:tcPr>
            <w:tcW w:type="dxa" w:w="2600"/>
            <w:tcBorders>
              <w:top w:val="single" w:color="AABBCC" w:sz="2"/>
              <w:left w:val="single" w:color="AABBCC" w:sz="2"/>
              <w:bottom w:val="single" w:color="AABBCC" w:sz="2"/>
              <w:right w:val="single" w:color="AABBCC" w:sz="2"/>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Method 3 (MCP)</w:t>
            </w:r>
          </w:p>
        </w:tc>
        <w:tc>
          <w:tcPr>
            <w:tcW w:type="dxa" w:w="1760"/>
            <w:tcBorders>
              <w:top w:val="single" w:color="AABBCC" w:sz="2"/>
              <w:left w:val="single" w:color="AABBCC" w:sz="2"/>
              <w:bottom w:val="single" w:color="AABBCC" w:sz="2"/>
              <w:right w:val="single" w:color="AABBCC" w:sz="2"/>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Winner</w:t>
            </w:r>
          </w:p>
        </w:tc>
      </w:tr>
      <w:tr>
        <w:tc>
          <w:tcPr>
            <w:tcW w:type="dxa" w:w="2400"/>
            <w:tcBorders>
              <w:top w:val="single" w:color="AABBCC" w:sz="2"/>
              <w:left w:val="single" w:color="AABBCC" w:sz="2"/>
              <w:bottom w:val="single" w:color="AABBCC" w:sz="2"/>
              <w:right w:val="single" w:color="AABBCC" w:sz="2"/>
            </w:tcBorders>
            <w:shd w:fill="DFF0D8" w:val="clear"/>
            <w:tcMar>
              <w:top w:type="dxa" w:w="70"/>
              <w:left w:type="dxa" w:w="120"/>
              <w:bottom w:type="dxa" w:w="70"/>
              <w:right w:type="dxa" w:w="120"/>
            </w:tcMar>
          </w:tcPr>
          <w:p>
            <w:r>
              <w:rPr>
                <w:rFonts w:ascii="Arial" w:cs="Arial" w:eastAsia="Arial" w:hAnsi="Arial"/>
                <w:color w:val="1A1A1A"/>
                <w:sz w:val="19"/>
                <w:szCs w:val="19"/>
              </w:rPr>
              <w:t xml:space="preserve">Schema tokens per inference call</w:t>
            </w:r>
          </w:p>
        </w:tc>
        <w:tc>
          <w:tcPr>
            <w:tcW w:type="dxa" w:w="2600"/>
            <w:tcBorders>
              <w:top w:val="single" w:color="AABBCC" w:sz="2"/>
              <w:left w:val="single" w:color="AABBCC" w:sz="2"/>
              <w:bottom w:val="single" w:color="AABBCC" w:sz="2"/>
              <w:right w:val="single" w:color="AABBCC" w:sz="2"/>
            </w:tcBorders>
            <w:shd w:fill="DFF0D8" w:val="clear"/>
            <w:tcMar>
              <w:top w:type="dxa" w:w="70"/>
              <w:left w:type="dxa" w:w="120"/>
              <w:bottom w:type="dxa" w:w="70"/>
              <w:right w:type="dxa" w:w="120"/>
            </w:tcMar>
          </w:tcPr>
          <w:p>
            <w:r>
              <w:rPr>
                <w:rFonts w:ascii="Arial" w:cs="Arial" w:eastAsia="Arial" w:hAnsi="Arial"/>
                <w:color w:val="1A1A1A"/>
                <w:sz w:val="19"/>
                <w:szCs w:val="19"/>
              </w:rPr>
              <w:t xml:space="preserve">800–1,500 input tokens (spec in context)</w:t>
            </w:r>
          </w:p>
        </w:tc>
        <w:tc>
          <w:tcPr>
            <w:tcW w:type="dxa" w:w="2600"/>
            <w:tcBorders>
              <w:top w:val="single" w:color="AABBCC" w:sz="2"/>
              <w:left w:val="single" w:color="AABBCC" w:sz="2"/>
              <w:bottom w:val="single" w:color="AABBCC" w:sz="2"/>
              <w:right w:val="single" w:color="AABBCC" w:sz="2"/>
            </w:tcBorders>
            <w:shd w:fill="DFF0D8" w:val="clear"/>
            <w:tcMar>
              <w:top w:type="dxa" w:w="70"/>
              <w:left w:type="dxa" w:w="120"/>
              <w:bottom w:type="dxa" w:w="70"/>
              <w:right w:type="dxa" w:w="120"/>
            </w:tcMar>
          </w:tcPr>
          <w:p>
            <w:r>
              <w:rPr>
                <w:rFonts w:ascii="Arial" w:cs="Arial" w:eastAsia="Arial" w:hAnsi="Arial"/>
                <w:color w:val="1A1A1A"/>
                <w:sz w:val="19"/>
                <w:szCs w:val="19"/>
              </w:rPr>
              <w:t xml:space="preserve">0 (tool list cached; not in context per call)</w:t>
            </w:r>
          </w:p>
        </w:tc>
        <w:tc>
          <w:tcPr>
            <w:tcW w:type="dxa" w:w="1760"/>
            <w:tcBorders>
              <w:top w:val="single" w:color="AABBCC" w:sz="2"/>
              <w:left w:val="single" w:color="AABBCC" w:sz="2"/>
              <w:bottom w:val="single" w:color="AABBCC" w:sz="2"/>
              <w:right w:val="single" w:color="AABBCC" w:sz="2"/>
            </w:tcBorders>
            <w:shd w:fill="DFF0D8" w:val="clear"/>
            <w:tcMar>
              <w:top w:type="dxa" w:w="70"/>
              <w:left w:type="dxa" w:w="120"/>
              <w:bottom w:type="dxa" w:w="70"/>
              <w:right w:type="dxa" w:w="120"/>
            </w:tcMar>
          </w:tcPr>
          <w:p>
            <w:r>
              <w:rPr>
                <w:rFonts w:ascii="Arial" w:cs="Arial" w:eastAsia="Arial" w:hAnsi="Arial"/>
                <w:color w:val="1A1A1A"/>
                <w:sz w:val="19"/>
                <w:szCs w:val="19"/>
              </w:rPr>
              <w:t xml:space="preserve">🏆 MCP</w:t>
            </w:r>
          </w:p>
        </w:tc>
      </w:tr>
      <w:tr>
        <w:tc>
          <w:tcPr>
            <w:tcW w:type="dxa" w:w="240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Tool discovery overhead</w:t>
            </w:r>
          </w:p>
        </w:tc>
        <w:tc>
          <w:tcPr>
            <w:tcW w:type="dxa" w:w="260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None (spec pre-registered)</w:t>
            </w:r>
          </w:p>
        </w:tc>
        <w:tc>
          <w:tcPr>
            <w:tcW w:type="dxa" w:w="260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tools/list RPC at agent startup (~1 call)</w:t>
            </w:r>
          </w:p>
        </w:tc>
        <w:tc>
          <w:tcPr>
            <w:tcW w:type="dxa" w:w="176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Tie</w:t>
            </w:r>
          </w:p>
        </w:tc>
      </w:tr>
      <w:tr>
        <w:tc>
          <w:tcPr>
            <w:tcW w:type="dxa" w:w="2400"/>
            <w:tcBorders>
              <w:top w:val="single" w:color="AABBCC" w:sz="2"/>
              <w:left w:val="single" w:color="AABBCC" w:sz="2"/>
              <w:bottom w:val="single" w:color="AABBCC" w:sz="2"/>
              <w:right w:val="single" w:color="AABBCC" w:sz="2"/>
            </w:tcBorders>
            <w:shd w:fill="DFF0D8" w:val="clear"/>
            <w:tcMar>
              <w:top w:type="dxa" w:w="70"/>
              <w:left w:type="dxa" w:w="120"/>
              <w:bottom w:type="dxa" w:w="70"/>
              <w:right w:type="dxa" w:w="120"/>
            </w:tcMar>
          </w:tcPr>
          <w:p>
            <w:r>
              <w:rPr>
                <w:rFonts w:ascii="Arial" w:cs="Arial" w:eastAsia="Arial" w:hAnsi="Arial"/>
                <w:color w:val="1A1A1A"/>
                <w:sz w:val="19"/>
                <w:szCs w:val="19"/>
              </w:rPr>
              <w:t xml:space="preserve">Per-call LLM inference cost (GPT-4.1)</w:t>
            </w:r>
          </w:p>
        </w:tc>
        <w:tc>
          <w:tcPr>
            <w:tcW w:type="dxa" w:w="2600"/>
            <w:tcBorders>
              <w:top w:val="single" w:color="AABBCC" w:sz="2"/>
              <w:left w:val="single" w:color="AABBCC" w:sz="2"/>
              <w:bottom w:val="single" w:color="AABBCC" w:sz="2"/>
              <w:right w:val="single" w:color="AABBCC" w:sz="2"/>
            </w:tcBorders>
            <w:shd w:fill="DFF0D8" w:val="clear"/>
            <w:tcMar>
              <w:top w:type="dxa" w:w="70"/>
              <w:left w:type="dxa" w:w="120"/>
              <w:bottom w:type="dxa" w:w="70"/>
              <w:right w:type="dxa" w:w="120"/>
            </w:tcMar>
          </w:tcPr>
          <w:p>
            <w:r>
              <w:rPr>
                <w:rFonts w:ascii="Arial" w:cs="Arial" w:eastAsia="Arial" w:hAnsi="Arial"/>
                <w:color w:val="1A1A1A"/>
                <w:sz w:val="19"/>
                <w:szCs w:val="19"/>
              </w:rPr>
              <w:t xml:space="preserve">~$0.004–0.006 (schema overhead included)</w:t>
            </w:r>
          </w:p>
        </w:tc>
        <w:tc>
          <w:tcPr>
            <w:tcW w:type="dxa" w:w="2600"/>
            <w:tcBorders>
              <w:top w:val="single" w:color="AABBCC" w:sz="2"/>
              <w:left w:val="single" w:color="AABBCC" w:sz="2"/>
              <w:bottom w:val="single" w:color="AABBCC" w:sz="2"/>
              <w:right w:val="single" w:color="AABBCC" w:sz="2"/>
            </w:tcBorders>
            <w:shd w:fill="DFF0D8" w:val="clear"/>
            <w:tcMar>
              <w:top w:type="dxa" w:w="70"/>
              <w:left w:type="dxa" w:w="120"/>
              <w:bottom w:type="dxa" w:w="70"/>
              <w:right w:type="dxa" w:w="120"/>
            </w:tcMar>
          </w:tcPr>
          <w:p>
            <w:r>
              <w:rPr>
                <w:rFonts w:ascii="Arial" w:cs="Arial" w:eastAsia="Arial" w:hAnsi="Arial"/>
                <w:color w:val="1A1A1A"/>
                <w:sz w:val="19"/>
                <w:szCs w:val="19"/>
              </w:rPr>
              <w:t xml:space="preserve">~$0.002–0.004 (no schema in context)</w:t>
            </w:r>
          </w:p>
        </w:tc>
        <w:tc>
          <w:tcPr>
            <w:tcW w:type="dxa" w:w="1760"/>
            <w:tcBorders>
              <w:top w:val="single" w:color="AABBCC" w:sz="2"/>
              <w:left w:val="single" w:color="AABBCC" w:sz="2"/>
              <w:bottom w:val="single" w:color="AABBCC" w:sz="2"/>
              <w:right w:val="single" w:color="AABBCC" w:sz="2"/>
            </w:tcBorders>
            <w:shd w:fill="DFF0D8" w:val="clear"/>
            <w:tcMar>
              <w:top w:type="dxa" w:w="70"/>
              <w:left w:type="dxa" w:w="120"/>
              <w:bottom w:type="dxa" w:w="70"/>
              <w:right w:type="dxa" w:w="120"/>
            </w:tcMar>
          </w:tcPr>
          <w:p>
            <w:r>
              <w:rPr>
                <w:rFonts w:ascii="Arial" w:cs="Arial" w:eastAsia="Arial" w:hAnsi="Arial"/>
                <w:color w:val="1A1A1A"/>
                <w:sz w:val="19"/>
                <w:szCs w:val="19"/>
              </w:rPr>
              <w:t xml:space="preserve">🏆 MCP (≈50% lower)</w:t>
            </w:r>
          </w:p>
        </w:tc>
      </w:tr>
      <w:tr>
        <w:tc>
          <w:tcPr>
            <w:tcW w:type="dxa" w:w="240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Prompt cache applicability</w:t>
            </w:r>
          </w:p>
        </w:tc>
        <w:tc>
          <w:tcPr>
            <w:tcW w:type="dxa" w:w="260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High (stable schema prefix)</w:t>
            </w:r>
          </w:p>
        </w:tc>
        <w:tc>
          <w:tcPr>
            <w:tcW w:type="dxa" w:w="260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N/A (no schema in prompt)</w:t>
            </w:r>
          </w:p>
        </w:tc>
        <w:tc>
          <w:tcPr>
            <w:tcW w:type="dxa" w:w="176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Method 2 caches well; MCP needs no caching</w:t>
            </w:r>
          </w:p>
        </w:tc>
      </w:tr>
    </w:tbl>
    <w:p>
      <w:pPr>
        <w:spacing w:after="80" w:before="80"/>
      </w:pPr>
    </w:p>
    <w:p>
      <w:pPr>
        <w:spacing w:after="80" w:before="60"/>
      </w:pPr>
      <w:r>
        <w:rPr>
          <w:rFonts w:ascii="Arial" w:cs="Arial" w:eastAsia="Arial" w:hAnsi="Arial"/>
          <w:color w:val="1A1A1A"/>
          <w:sz w:val="20"/>
          <w:szCs w:val="20"/>
        </w:rPr>
        <w:t xml:space="preserve">This is a meaningful token-cost advantage for MCP at scale. At 10,000 agent calls/day, eliminating 1,000 schema tokens per call saves approximately $20/day (at GPT-4.1 pricing) compared to Method 2 without prompt caching.</w:t>
      </w:r>
    </w:p>
    <w:p>
      <w:pPr>
        <w:spacing w:after="80" w:before="80"/>
      </w:pPr>
    </w:p>
    <w:p>
      <w:pPr>
        <w:pStyle w:val="Heading1"/>
        <w:shd w:fill="1A3C5E" w:val="clear"/>
        <w:spacing w:after="200" w:before="400"/>
        <w:ind w:left="160" w:right="160"/>
      </w:pPr>
      <w:r>
        <w:rPr>
          <w:rFonts w:ascii="Arial" w:cs="Arial" w:eastAsia="Arial" w:hAnsi="Arial"/>
          <w:b/>
          <w:bCs/>
          <w:color w:val="FFFFFF"/>
          <w:sz w:val="30"/>
          <w:szCs w:val="30"/>
        </w:rPr>
        <w:t xml:space="preserve">  5  Summary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400"/>
            <w:tcBorders>
              <w:top w:val="single" w:color="AABBCC" w:sz="2"/>
              <w:left w:val="single" w:color="AABBCC" w:sz="2"/>
              <w:bottom w:val="single" w:color="AABBCC" w:sz="2"/>
              <w:right w:val="single" w:color="AABBCC" w:sz="2"/>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Dimension</w:t>
            </w:r>
          </w:p>
        </w:tc>
        <w:tc>
          <w:tcPr>
            <w:tcW w:type="dxa" w:w="4160"/>
            <w:tcBorders>
              <w:top w:val="single" w:color="AABBCC" w:sz="2"/>
              <w:left w:val="single" w:color="AABBCC" w:sz="2"/>
              <w:bottom w:val="single" w:color="AABBCC" w:sz="2"/>
              <w:right w:val="single" w:color="AABBCC" w:sz="2"/>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Finding</w:t>
            </w:r>
          </w:p>
        </w:tc>
        <w:tc>
          <w:tcPr>
            <w:tcW w:type="dxa" w:w="1600"/>
            <w:tcBorders>
              <w:top w:val="single" w:color="AABBCC" w:sz="2"/>
              <w:left w:val="single" w:color="AABBCC" w:sz="2"/>
              <w:bottom w:val="single" w:color="AABBCC" w:sz="2"/>
              <w:right w:val="single" w:color="AABBCC" w:sz="2"/>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Verdict</w:t>
            </w:r>
          </w:p>
        </w:tc>
        <w:tc>
          <w:tcPr>
            <w:tcW w:type="dxa" w:w="1200"/>
            <w:tcBorders>
              <w:top w:val="single" w:color="AABBCC" w:sz="2"/>
              <w:left w:val="single" w:color="AABBCC" w:sz="2"/>
              <w:bottom w:val="single" w:color="AABBCC" w:sz="2"/>
              <w:right w:val="single" w:color="AABBCC" w:sz="2"/>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Risk</w:t>
            </w:r>
          </w:p>
        </w:tc>
      </w:tr>
      <w:tr>
        <w:tc>
          <w:tcPr>
            <w:tcW w:type="dxa" w:w="2400"/>
            <w:tcBorders>
              <w:top w:val="single" w:color="AABBCC" w:sz="2"/>
              <w:left w:val="single" w:color="AABBCC" w:sz="2"/>
              <w:bottom w:val="single" w:color="AABBCC" w:sz="2"/>
              <w:right w:val="single" w:color="AABBCC" w:sz="2"/>
            </w:tcBorders>
            <w:shd w:fill="DFF0D8" w:val="clear"/>
            <w:tcMar>
              <w:top w:type="dxa" w:w="70"/>
              <w:left w:type="dxa" w:w="120"/>
              <w:bottom w:type="dxa" w:w="70"/>
              <w:right w:type="dxa" w:w="120"/>
            </w:tcMar>
          </w:tcPr>
          <w:p>
            <w:r>
              <w:rPr>
                <w:rFonts w:ascii="Arial" w:cs="Arial" w:eastAsia="Arial" w:hAnsi="Arial"/>
                <w:color w:val="1A1A1A"/>
                <w:sz w:val="19"/>
                <w:szCs w:val="19"/>
              </w:rPr>
              <w:t xml:space="preserve">Official MCP server</w:t>
            </w:r>
          </w:p>
        </w:tc>
        <w:tc>
          <w:tcPr>
            <w:tcW w:type="dxa" w:w="4160"/>
            <w:tcBorders>
              <w:top w:val="single" w:color="AABBCC" w:sz="2"/>
              <w:left w:val="single" w:color="AABBCC" w:sz="2"/>
              <w:bottom w:val="single" w:color="AABBCC" w:sz="2"/>
              <w:right w:val="single" w:color="AABBCC" w:sz="2"/>
            </w:tcBorders>
            <w:shd w:fill="DFF0D8" w:val="clear"/>
            <w:tcMar>
              <w:top w:type="dxa" w:w="70"/>
              <w:left w:type="dxa" w:w="120"/>
              <w:bottom w:type="dxa" w:w="70"/>
              <w:right w:type="dxa" w:w="120"/>
            </w:tcMar>
          </w:tcPr>
          <w:p>
            <w:r>
              <w:rPr>
                <w:rFonts w:ascii="Arial" w:cs="Arial" w:eastAsia="Arial" w:hAnsi="Arial"/>
                <w:color w:val="1A1A1A"/>
                <w:sz w:val="19"/>
                <w:szCs w:val="19"/>
              </w:rPr>
              <w:t xml:space="preserve">✅ Available</w:t>
            </w:r>
          </w:p>
        </w:tc>
        <w:tc>
          <w:tcPr>
            <w:tcW w:type="dxa" w:w="1600"/>
            <w:tcBorders>
              <w:top w:val="single" w:color="AABBCC" w:sz="2"/>
              <w:left w:val="single" w:color="AABBCC" w:sz="2"/>
              <w:bottom w:val="single" w:color="AABBCC" w:sz="2"/>
              <w:right w:val="single" w:color="AABBCC" w:sz="2"/>
            </w:tcBorders>
            <w:shd w:fill="DFF0D8" w:val="clear"/>
            <w:tcMar>
              <w:top w:type="dxa" w:w="70"/>
              <w:left w:type="dxa" w:w="120"/>
              <w:bottom w:type="dxa" w:w="70"/>
              <w:right w:type="dxa" w:w="120"/>
            </w:tcMar>
          </w:tcPr>
          <w:p>
            <w:r>
              <w:rPr>
                <w:rFonts w:ascii="Arial" w:cs="Arial" w:eastAsia="Arial" w:hAnsi="Arial"/>
                <w:color w:val="1A1A1A"/>
                <w:sz w:val="19"/>
                <w:szCs w:val="19"/>
              </w:rPr>
              <w:t xml:space="preserve">Cybozu official v1.1.0 (Sep 2025); Apache 2.0; full target endpoint coverage</w:t>
            </w:r>
          </w:p>
        </w:tc>
      </w:tr>
      <w:tr>
        <w:tc>
          <w:tcPr>
            <w:tcW w:type="dxa" w:w="2400"/>
            <w:tcBorders>
              <w:top w:val="single" w:color="AABBCC" w:sz="2"/>
              <w:left w:val="single" w:color="AABBCC" w:sz="2"/>
              <w:bottom w:val="single" w:color="AABBCC" w:sz="2"/>
              <w:right w:val="single" w:color="AABBCC" w:sz="2"/>
            </w:tcBorders>
            <w:shd w:fill="DFF0D8" w:val="clear"/>
            <w:tcMar>
              <w:top w:type="dxa" w:w="70"/>
              <w:left w:type="dxa" w:w="120"/>
              <w:bottom w:type="dxa" w:w="70"/>
              <w:right w:type="dxa" w:w="120"/>
            </w:tcMar>
          </w:tcPr>
          <w:p>
            <w:r>
              <w:rPr>
                <w:rFonts w:ascii="Arial" w:cs="Arial" w:eastAsia="Arial" w:hAnsi="Arial"/>
                <w:color w:val="1A1A1A"/>
                <w:sz w:val="19"/>
                <w:szCs w:val="19"/>
              </w:rPr>
              <w:t xml:space="preserve">All 5 required operations</w:t>
            </w:r>
          </w:p>
        </w:tc>
        <w:tc>
          <w:tcPr>
            <w:tcW w:type="dxa" w:w="4160"/>
            <w:tcBorders>
              <w:top w:val="single" w:color="AABBCC" w:sz="2"/>
              <w:left w:val="single" w:color="AABBCC" w:sz="2"/>
              <w:bottom w:val="single" w:color="AABBCC" w:sz="2"/>
              <w:right w:val="single" w:color="AABBCC" w:sz="2"/>
            </w:tcBorders>
            <w:shd w:fill="DFF0D8" w:val="clear"/>
            <w:tcMar>
              <w:top w:type="dxa" w:w="70"/>
              <w:left w:type="dxa" w:w="120"/>
              <w:bottom w:type="dxa" w:w="70"/>
              <w:right w:type="dxa" w:w="120"/>
            </w:tcMar>
          </w:tcPr>
          <w:p>
            <w:r>
              <w:rPr>
                <w:rFonts w:ascii="Arial" w:cs="Arial" w:eastAsia="Arial" w:hAnsi="Arial"/>
                <w:color w:val="1A1A1A"/>
                <w:sz w:val="19"/>
                <w:szCs w:val="19"/>
              </w:rPr>
              <w:t xml:space="preserve">✅ Fully covered</w:t>
            </w:r>
          </w:p>
        </w:tc>
        <w:tc>
          <w:tcPr>
            <w:tcW w:type="dxa" w:w="1600"/>
            <w:tcBorders>
              <w:top w:val="single" w:color="AABBCC" w:sz="2"/>
              <w:left w:val="single" w:color="AABBCC" w:sz="2"/>
              <w:bottom w:val="single" w:color="AABBCC" w:sz="2"/>
              <w:right w:val="single" w:color="AABBCC" w:sz="2"/>
            </w:tcBorders>
            <w:shd w:fill="DFF0D8" w:val="clear"/>
            <w:tcMar>
              <w:top w:type="dxa" w:w="70"/>
              <w:left w:type="dxa" w:w="120"/>
              <w:bottom w:type="dxa" w:w="70"/>
              <w:right w:type="dxa" w:w="120"/>
            </w:tcMar>
          </w:tcPr>
          <w:p>
            <w:r>
              <w:rPr>
                <w:rFonts w:ascii="Arial" w:cs="Arial" w:eastAsia="Arial" w:hAnsi="Arial"/>
                <w:color w:val="1A1A1A"/>
                <w:sz w:val="19"/>
                <w:szCs w:val="19"/>
              </w:rPr>
              <w:t xml:space="preserve">GET/POST/PUT record + GET/POST file all present; no bridge needed</w:t>
            </w:r>
          </w:p>
        </w:tc>
        <w:tc>
          <w:tcPr>
            <w:tcW w:type="dxa" w:w="1200"/>
            <w:tcBorders>
              <w:top w:val="single" w:color="AABBCC" w:sz="2"/>
              <w:left w:val="single" w:color="AABBCC" w:sz="2"/>
              <w:bottom w:val="single" w:color="AABBCC" w:sz="2"/>
              <w:right w:val="single" w:color="AABBCC" w:sz="2"/>
            </w:tcBorders>
            <w:shd w:fill="DFF0D8" w:val="clear"/>
            <w:tcMar>
              <w:top w:type="dxa" w:w="70"/>
              <w:left w:type="dxa" w:w="120"/>
              <w:bottom w:type="dxa" w:w="70"/>
              <w:right w:type="dxa" w:w="120"/>
            </w:tcMar>
          </w:tcPr>
          <w:p>
            <w:r>
              <w:rPr>
                <w:rFonts w:ascii="Arial" w:cs="Arial" w:eastAsia="Arial" w:hAnsi="Arial"/>
                <w:color w:val="1A1A1A"/>
                <w:sz w:val="19"/>
                <w:szCs w:val="19"/>
              </w:rPr>
              <w:t xml:space="preserve">Low</w:t>
            </w:r>
          </w:p>
        </w:tc>
      </w:tr>
      <w:tr>
        <w:tc>
          <w:tcPr>
            <w:tcW w:type="dxa" w:w="2400"/>
            <w:tcBorders>
              <w:top w:val="single" w:color="AABBCC" w:sz="2"/>
              <w:left w:val="single" w:color="AABBCC" w:sz="2"/>
              <w:bottom w:val="single" w:color="AABBCC" w:sz="2"/>
              <w:right w:val="single" w:color="AABBCC" w:sz="2"/>
            </w:tcBorders>
            <w:shd w:fill="DFF0D8" w:val="clear"/>
            <w:tcMar>
              <w:top w:type="dxa" w:w="70"/>
              <w:left w:type="dxa" w:w="120"/>
              <w:bottom w:type="dxa" w:w="70"/>
              <w:right w:type="dxa" w:w="120"/>
            </w:tcMar>
          </w:tcPr>
          <w:p>
            <w:r>
              <w:rPr>
                <w:rFonts w:ascii="Arial" w:cs="Arial" w:eastAsia="Arial" w:hAnsi="Arial"/>
                <w:color w:val="1A1A1A"/>
                <w:sz w:val="19"/>
                <w:szCs w:val="19"/>
              </w:rPr>
              <w:t xml:space="preserve">File upload (multipart)</w:t>
            </w:r>
          </w:p>
        </w:tc>
        <w:tc>
          <w:tcPr>
            <w:tcW w:type="dxa" w:w="4160"/>
            <w:tcBorders>
              <w:top w:val="single" w:color="AABBCC" w:sz="2"/>
              <w:left w:val="single" w:color="AABBCC" w:sz="2"/>
              <w:bottom w:val="single" w:color="AABBCC" w:sz="2"/>
              <w:right w:val="single" w:color="AABBCC" w:sz="2"/>
            </w:tcBorders>
            <w:shd w:fill="DFF0D8" w:val="clear"/>
            <w:tcMar>
              <w:top w:type="dxa" w:w="70"/>
              <w:left w:type="dxa" w:w="120"/>
              <w:bottom w:type="dxa" w:w="70"/>
              <w:right w:type="dxa" w:w="120"/>
            </w:tcMar>
          </w:tcPr>
          <w:p>
            <w:r>
              <w:rPr>
                <w:rFonts w:ascii="Arial" w:cs="Arial" w:eastAsia="Arial" w:hAnsi="Arial"/>
                <w:color w:val="1A1A1A"/>
                <w:sz w:val="19"/>
                <w:szCs w:val="19"/>
              </w:rPr>
              <w:t xml:space="preserve">✅ Handled server-side</w:t>
            </w:r>
          </w:p>
        </w:tc>
        <w:tc>
          <w:tcPr>
            <w:tcW w:type="dxa" w:w="1600"/>
            <w:tcBorders>
              <w:top w:val="single" w:color="AABBCC" w:sz="2"/>
              <w:left w:val="single" w:color="AABBCC" w:sz="2"/>
              <w:bottom w:val="single" w:color="AABBCC" w:sz="2"/>
              <w:right w:val="single" w:color="AABBCC" w:sz="2"/>
            </w:tcBorders>
            <w:shd w:fill="DFF0D8" w:val="clear"/>
            <w:tcMar>
              <w:top w:type="dxa" w:w="70"/>
              <w:left w:type="dxa" w:w="120"/>
              <w:bottom w:type="dxa" w:w="70"/>
              <w:right w:type="dxa" w:w="120"/>
            </w:tcMar>
          </w:tcPr>
          <w:p>
            <w:r>
              <w:rPr>
                <w:rFonts w:ascii="Arial" w:cs="Arial" w:eastAsia="Arial" w:hAnsi="Arial"/>
                <w:color w:val="1A1A1A"/>
                <w:sz w:val="19"/>
                <w:szCs w:val="19"/>
              </w:rPr>
              <w:t xml:space="preserve">MCP server performs multipart internally; agent uses JSON interface only</w:t>
            </w:r>
          </w:p>
        </w:tc>
        <w:tc>
          <w:tcPr>
            <w:tcW w:type="dxa" w:w="1200"/>
            <w:tcBorders>
              <w:top w:val="single" w:color="AABBCC" w:sz="2"/>
              <w:left w:val="single" w:color="AABBCC" w:sz="2"/>
              <w:bottom w:val="single" w:color="AABBCC" w:sz="2"/>
              <w:right w:val="single" w:color="AABBCC" w:sz="2"/>
            </w:tcBorders>
            <w:shd w:fill="DFF0D8" w:val="clear"/>
            <w:tcMar>
              <w:top w:type="dxa" w:w="70"/>
              <w:left w:type="dxa" w:w="120"/>
              <w:bottom w:type="dxa" w:w="70"/>
              <w:right w:type="dxa" w:w="120"/>
            </w:tcMar>
          </w:tcPr>
          <w:p>
            <w:r>
              <w:rPr>
                <w:rFonts w:ascii="Arial" w:cs="Arial" w:eastAsia="Arial" w:hAnsi="Arial"/>
                <w:color w:val="1A1A1A"/>
                <w:sz w:val="19"/>
                <w:szCs w:val="19"/>
              </w:rPr>
              <w:t xml:space="preserve">Low</w:t>
            </w:r>
          </w:p>
        </w:tc>
      </w:tr>
      <w:tr>
        <w:tc>
          <w:tcPr>
            <w:tcW w:type="dxa" w:w="2400"/>
            <w:tcBorders>
              <w:top w:val="single" w:color="AABBCC" w:sz="2"/>
              <w:left w:val="single" w:color="AABBCC" w:sz="2"/>
              <w:bottom w:val="single" w:color="AABBCC" w:sz="2"/>
              <w:right w:val="single" w:color="AABBCC" w:sz="2"/>
            </w:tcBorders>
            <w:shd w:fill="FFF3CD" w:val="clear"/>
            <w:tcMar>
              <w:top w:type="dxa" w:w="70"/>
              <w:left w:type="dxa" w:w="120"/>
              <w:bottom w:type="dxa" w:w="70"/>
              <w:right w:type="dxa" w:w="120"/>
            </w:tcMar>
          </w:tcPr>
          <w:p>
            <w:r>
              <w:rPr>
                <w:rFonts w:ascii="Arial" w:cs="Arial" w:eastAsia="Arial" w:hAnsi="Arial"/>
                <w:color w:val="1A1A1A"/>
                <w:sz w:val="19"/>
                <w:szCs w:val="19"/>
              </w:rPr>
              <w:t xml:space="preserve">HTTP transport to Foundry</w:t>
            </w:r>
          </w:p>
        </w:tc>
        <w:tc>
          <w:tcPr>
            <w:tcW w:type="dxa" w:w="4160"/>
            <w:tcBorders>
              <w:top w:val="single" w:color="AABBCC" w:sz="2"/>
              <w:left w:val="single" w:color="AABBCC" w:sz="2"/>
              <w:bottom w:val="single" w:color="AABBCC" w:sz="2"/>
              <w:right w:val="single" w:color="AABBCC" w:sz="2"/>
            </w:tcBorders>
            <w:shd w:fill="FFF3CD" w:val="clear"/>
            <w:tcMar>
              <w:top w:type="dxa" w:w="70"/>
              <w:left w:type="dxa" w:w="120"/>
              <w:bottom w:type="dxa" w:w="70"/>
              <w:right w:type="dxa" w:w="120"/>
            </w:tcMar>
          </w:tcPr>
          <w:p>
            <w:r>
              <w:rPr>
                <w:rFonts w:ascii="Arial" w:cs="Arial" w:eastAsia="Arial" w:hAnsi="Arial"/>
                <w:color w:val="1A1A1A"/>
                <w:sz w:val="19"/>
                <w:szCs w:val="19"/>
              </w:rPr>
              <w:t xml:space="preserve">⚠️ Wrapper required</w:t>
            </w:r>
          </w:p>
        </w:tc>
        <w:tc>
          <w:tcPr>
            <w:tcW w:type="dxa" w:w="1600"/>
            <w:tcBorders>
              <w:top w:val="single" w:color="AABBCC" w:sz="2"/>
              <w:left w:val="single" w:color="AABBCC" w:sz="2"/>
              <w:bottom w:val="single" w:color="AABBCC" w:sz="2"/>
              <w:right w:val="single" w:color="AABBCC" w:sz="2"/>
            </w:tcBorders>
            <w:shd w:fill="FFF3CD" w:val="clear"/>
            <w:tcMar>
              <w:top w:type="dxa" w:w="70"/>
              <w:left w:type="dxa" w:w="120"/>
              <w:bottom w:type="dxa" w:w="70"/>
              <w:right w:type="dxa" w:w="120"/>
            </w:tcMar>
          </w:tcPr>
          <w:p>
            <w:r>
              <w:rPr>
                <w:rFonts w:ascii="Arial" w:cs="Arial" w:eastAsia="Arial" w:hAnsi="Arial"/>
                <w:color w:val="1A1A1A"/>
                <w:sz w:val="19"/>
                <w:szCs w:val="19"/>
              </w:rPr>
              <w:t xml:space="preserve">Official image is stdio-first; Streamable HTTP wrapper must be built</w:t>
            </w:r>
          </w:p>
        </w:tc>
        <w:tc>
          <w:tcPr>
            <w:tcW w:type="dxa" w:w="1200"/>
            <w:tcBorders>
              <w:top w:val="single" w:color="AABBCC" w:sz="2"/>
              <w:left w:val="single" w:color="AABBCC" w:sz="2"/>
              <w:bottom w:val="single" w:color="AABBCC" w:sz="2"/>
              <w:right w:val="single" w:color="AABBCC" w:sz="2"/>
            </w:tcBorders>
            <w:shd w:fill="FFF3CD" w:val="clear"/>
            <w:tcMar>
              <w:top w:type="dxa" w:w="70"/>
              <w:left w:type="dxa" w:w="120"/>
              <w:bottom w:type="dxa" w:w="70"/>
              <w:right w:type="dxa" w:w="120"/>
            </w:tcMar>
          </w:tcPr>
          <w:p>
            <w:r>
              <w:rPr>
                <w:rFonts w:ascii="Arial" w:cs="Arial" w:eastAsia="Arial" w:hAnsi="Arial"/>
                <w:color w:val="1A1A1A"/>
                <w:sz w:val="19"/>
                <w:szCs w:val="19"/>
              </w:rPr>
              <w:t xml:space="preserve">Medium</w:t>
            </w:r>
          </w:p>
        </w:tc>
      </w:tr>
      <w:tr>
        <w:tc>
          <w:tcPr>
            <w:tcW w:type="dxa" w:w="2400"/>
            <w:tcBorders>
              <w:top w:val="single" w:color="AABBCC" w:sz="2"/>
              <w:left w:val="single" w:color="AABBCC" w:sz="2"/>
              <w:bottom w:val="single" w:color="AABBCC" w:sz="2"/>
              <w:right w:val="single" w:color="AABBCC" w:sz="2"/>
            </w:tcBorders>
            <w:shd w:fill="DFF0D8" w:val="clear"/>
            <w:tcMar>
              <w:top w:type="dxa" w:w="70"/>
              <w:left w:type="dxa" w:w="120"/>
              <w:bottom w:type="dxa" w:w="70"/>
              <w:right w:type="dxa" w:w="120"/>
            </w:tcMar>
          </w:tcPr>
          <w:p>
            <w:r>
              <w:rPr>
                <w:rFonts w:ascii="Arial" w:cs="Arial" w:eastAsia="Arial" w:hAnsi="Arial"/>
                <w:color w:val="1A1A1A"/>
                <w:sz w:val="19"/>
                <w:szCs w:val="19"/>
              </w:rPr>
              <w:t xml:space="preserve">API token authentication</w:t>
            </w:r>
          </w:p>
        </w:tc>
        <w:tc>
          <w:tcPr>
            <w:tcW w:type="dxa" w:w="4160"/>
            <w:tcBorders>
              <w:top w:val="single" w:color="AABBCC" w:sz="2"/>
              <w:left w:val="single" w:color="AABBCC" w:sz="2"/>
              <w:bottom w:val="single" w:color="AABBCC" w:sz="2"/>
              <w:right w:val="single" w:color="AABBCC" w:sz="2"/>
            </w:tcBorders>
            <w:shd w:fill="DFF0D8" w:val="clear"/>
            <w:tcMar>
              <w:top w:type="dxa" w:w="70"/>
              <w:left w:type="dxa" w:w="120"/>
              <w:bottom w:type="dxa" w:w="70"/>
              <w:right w:type="dxa" w:w="120"/>
            </w:tcMar>
          </w:tcPr>
          <w:p>
            <w:r>
              <w:rPr>
                <w:rFonts w:ascii="Arial" w:cs="Arial" w:eastAsia="Arial" w:hAnsi="Arial"/>
                <w:color w:val="1A1A1A"/>
                <w:sz w:val="19"/>
                <w:szCs w:val="19"/>
              </w:rPr>
              <w:t xml:space="preserve">✅ Supported (KINTONE_API_TOKEN)</w:t>
            </w:r>
          </w:p>
        </w:tc>
        <w:tc>
          <w:tcPr>
            <w:tcW w:type="dxa" w:w="1600"/>
            <w:tcBorders>
              <w:top w:val="single" w:color="AABBCC" w:sz="2"/>
              <w:left w:val="single" w:color="AABBCC" w:sz="2"/>
              <w:bottom w:val="single" w:color="AABBCC" w:sz="2"/>
              <w:right w:val="single" w:color="AABBCC" w:sz="2"/>
            </w:tcBorders>
            <w:shd w:fill="DFF0D8" w:val="clear"/>
            <w:tcMar>
              <w:top w:type="dxa" w:w="70"/>
              <w:left w:type="dxa" w:w="120"/>
              <w:bottom w:type="dxa" w:w="70"/>
              <w:right w:type="dxa" w:w="120"/>
            </w:tcMar>
          </w:tcPr>
          <w:p>
            <w:r>
              <w:rPr>
                <w:rFonts w:ascii="Arial" w:cs="Arial" w:eastAsia="Arial" w:hAnsi="Arial"/>
                <w:color w:val="1A1A1A"/>
                <w:sz w:val="19"/>
                <w:szCs w:val="19"/>
              </w:rPr>
              <w:t xml:space="preserve">Full API token support; Key Vault injection recommended</w:t>
            </w:r>
          </w:p>
        </w:tc>
        <w:tc>
          <w:tcPr>
            <w:tcW w:type="dxa" w:w="1200"/>
            <w:tcBorders>
              <w:top w:val="single" w:color="AABBCC" w:sz="2"/>
              <w:left w:val="single" w:color="AABBCC" w:sz="2"/>
              <w:bottom w:val="single" w:color="AABBCC" w:sz="2"/>
              <w:right w:val="single" w:color="AABBCC" w:sz="2"/>
            </w:tcBorders>
            <w:shd w:fill="DFF0D8" w:val="clear"/>
            <w:tcMar>
              <w:top w:type="dxa" w:w="70"/>
              <w:left w:type="dxa" w:w="120"/>
              <w:bottom w:type="dxa" w:w="70"/>
              <w:right w:type="dxa" w:w="120"/>
            </w:tcMar>
          </w:tcPr>
          <w:p>
            <w:r>
              <w:rPr>
                <w:rFonts w:ascii="Arial" w:cs="Arial" w:eastAsia="Arial" w:hAnsi="Arial"/>
                <w:color w:val="1A1A1A"/>
                <w:sz w:val="19"/>
                <w:szCs w:val="19"/>
              </w:rPr>
              <w:t xml:space="preserve">Low</w:t>
            </w:r>
          </w:p>
        </w:tc>
      </w:tr>
      <w:tr>
        <w:tc>
          <w:tcPr>
            <w:tcW w:type="dxa" w:w="2400"/>
            <w:tcBorders>
              <w:top w:val="single" w:color="AABBCC" w:sz="2"/>
              <w:left w:val="single" w:color="AABBCC" w:sz="2"/>
              <w:bottom w:val="single" w:color="AABBCC" w:sz="2"/>
              <w:right w:val="single" w:color="AABBCC" w:sz="2"/>
            </w:tcBorders>
            <w:shd w:fill="FFF3CD" w:val="clear"/>
            <w:tcMar>
              <w:top w:type="dxa" w:w="70"/>
              <w:left w:type="dxa" w:w="120"/>
              <w:bottom w:type="dxa" w:w="70"/>
              <w:right w:type="dxa" w:w="120"/>
            </w:tcMar>
          </w:tcPr>
          <w:p>
            <w:r>
              <w:rPr>
                <w:rFonts w:ascii="Arial" w:cs="Arial" w:eastAsia="Arial" w:hAnsi="Arial"/>
                <w:color w:val="1A1A1A"/>
                <w:sz w:val="19"/>
                <w:szCs w:val="19"/>
              </w:rPr>
              <w:t xml:space="preserve">Contextual secret leakage (OWASP MCP01)</w:t>
            </w:r>
          </w:p>
        </w:tc>
        <w:tc>
          <w:tcPr>
            <w:tcW w:type="dxa" w:w="4160"/>
            <w:tcBorders>
              <w:top w:val="single" w:color="AABBCC" w:sz="2"/>
              <w:left w:val="single" w:color="AABBCC" w:sz="2"/>
              <w:bottom w:val="single" w:color="AABBCC" w:sz="2"/>
              <w:right w:val="single" w:color="AABBCC" w:sz="2"/>
            </w:tcBorders>
            <w:shd w:fill="FFF3CD" w:val="clear"/>
            <w:tcMar>
              <w:top w:type="dxa" w:w="70"/>
              <w:left w:type="dxa" w:w="120"/>
              <w:bottom w:type="dxa" w:w="70"/>
              <w:right w:type="dxa" w:w="120"/>
            </w:tcMar>
          </w:tcPr>
          <w:p>
            <w:r>
              <w:rPr>
                <w:rFonts w:ascii="Arial" w:cs="Arial" w:eastAsia="Arial" w:hAnsi="Arial"/>
                <w:color w:val="1A1A1A"/>
                <w:sz w:val="19"/>
                <w:szCs w:val="19"/>
              </w:rPr>
              <w:t xml:space="preserve">⚠️ MCP-specific risk</w:t>
            </w:r>
          </w:p>
        </w:tc>
        <w:tc>
          <w:tcPr>
            <w:tcW w:type="dxa" w:w="1600"/>
            <w:tcBorders>
              <w:top w:val="single" w:color="AABBCC" w:sz="2"/>
              <w:left w:val="single" w:color="AABBCC" w:sz="2"/>
              <w:bottom w:val="single" w:color="AABBCC" w:sz="2"/>
              <w:right w:val="single" w:color="AABBCC" w:sz="2"/>
            </w:tcBorders>
            <w:shd w:fill="FFF3CD" w:val="clear"/>
            <w:tcMar>
              <w:top w:type="dxa" w:w="70"/>
              <w:left w:type="dxa" w:w="120"/>
              <w:bottom w:type="dxa" w:w="70"/>
              <w:right w:type="dxa" w:w="120"/>
            </w:tcMar>
          </w:tcPr>
          <w:p>
            <w:r>
              <w:rPr>
                <w:rFonts w:ascii="Arial" w:cs="Arial" w:eastAsia="Arial" w:hAnsi="Arial"/>
                <w:color w:val="1A1A1A"/>
                <w:sz w:val="19"/>
                <w:szCs w:val="19"/>
              </w:rPr>
              <w:t xml:space="preserve">Long-lived sessions can persist tokens in context; mitigate with stateless sessions + log redaction</w:t>
            </w:r>
          </w:p>
        </w:tc>
        <w:tc>
          <w:tcPr>
            <w:tcW w:type="dxa" w:w="1200"/>
            <w:tcBorders>
              <w:top w:val="single" w:color="AABBCC" w:sz="2"/>
              <w:left w:val="single" w:color="AABBCC" w:sz="2"/>
              <w:bottom w:val="single" w:color="AABBCC" w:sz="2"/>
              <w:right w:val="single" w:color="AABBCC" w:sz="2"/>
            </w:tcBorders>
            <w:shd w:fill="FFF3CD" w:val="clear"/>
            <w:tcMar>
              <w:top w:type="dxa" w:w="70"/>
              <w:left w:type="dxa" w:w="120"/>
              <w:bottom w:type="dxa" w:w="70"/>
              <w:right w:type="dxa" w:w="120"/>
            </w:tcMar>
          </w:tcPr>
          <w:p>
            <w:r>
              <w:rPr>
                <w:rFonts w:ascii="Arial" w:cs="Arial" w:eastAsia="Arial" w:hAnsi="Arial"/>
                <w:color w:val="1A1A1A"/>
                <w:sz w:val="19"/>
                <w:szCs w:val="19"/>
              </w:rPr>
              <w:t xml:space="preserve">Medium</w:t>
            </w:r>
          </w:p>
        </w:tc>
      </w:tr>
      <w:tr>
        <w:tc>
          <w:tcPr>
            <w:tcW w:type="dxa" w:w="2400"/>
            <w:tcBorders>
              <w:top w:val="single" w:color="AABBCC" w:sz="2"/>
              <w:left w:val="single" w:color="AABBCC" w:sz="2"/>
              <w:bottom w:val="single" w:color="AABBCC" w:sz="2"/>
              <w:right w:val="single" w:color="AABBCC" w:sz="2"/>
            </w:tcBorders>
            <w:shd w:fill="FFF3CD" w:val="clear"/>
            <w:tcMar>
              <w:top w:type="dxa" w:w="70"/>
              <w:left w:type="dxa" w:w="120"/>
              <w:bottom w:type="dxa" w:w="70"/>
              <w:right w:type="dxa" w:w="120"/>
            </w:tcMar>
          </w:tcPr>
          <w:p>
            <w:r>
              <w:rPr>
                <w:rFonts w:ascii="Arial" w:cs="Arial" w:eastAsia="Arial" w:hAnsi="Arial"/>
                <w:color w:val="1A1A1A"/>
                <w:sz w:val="19"/>
                <w:szCs w:val="19"/>
              </w:rPr>
              <w:t xml:space="preserve">Infrastructure overhead</w:t>
            </w:r>
          </w:p>
        </w:tc>
        <w:tc>
          <w:tcPr>
            <w:tcW w:type="dxa" w:w="4160"/>
            <w:tcBorders>
              <w:top w:val="single" w:color="AABBCC" w:sz="2"/>
              <w:left w:val="single" w:color="AABBCC" w:sz="2"/>
              <w:bottom w:val="single" w:color="AABBCC" w:sz="2"/>
              <w:right w:val="single" w:color="AABBCC" w:sz="2"/>
            </w:tcBorders>
            <w:shd w:fill="FFF3CD" w:val="clear"/>
            <w:tcMar>
              <w:top w:type="dxa" w:w="70"/>
              <w:left w:type="dxa" w:w="120"/>
              <w:bottom w:type="dxa" w:w="70"/>
              <w:right w:type="dxa" w:w="120"/>
            </w:tcMar>
          </w:tcPr>
          <w:p>
            <w:r>
              <w:rPr>
                <w:rFonts w:ascii="Arial" w:cs="Arial" w:eastAsia="Arial" w:hAnsi="Arial"/>
                <w:color w:val="1A1A1A"/>
                <w:sz w:val="19"/>
                <w:szCs w:val="19"/>
              </w:rPr>
              <w:t xml:space="preserve">⚠️ Container to own</w:t>
            </w:r>
          </w:p>
        </w:tc>
        <w:tc>
          <w:tcPr>
            <w:tcW w:type="dxa" w:w="1600"/>
            <w:tcBorders>
              <w:top w:val="single" w:color="AABBCC" w:sz="2"/>
              <w:left w:val="single" w:color="AABBCC" w:sz="2"/>
              <w:bottom w:val="single" w:color="AABBCC" w:sz="2"/>
              <w:right w:val="single" w:color="AABBCC" w:sz="2"/>
            </w:tcBorders>
            <w:shd w:fill="FFF3CD" w:val="clear"/>
            <w:tcMar>
              <w:top w:type="dxa" w:w="70"/>
              <w:left w:type="dxa" w:w="120"/>
              <w:bottom w:type="dxa" w:w="70"/>
              <w:right w:type="dxa" w:w="120"/>
            </w:tcMar>
          </w:tcPr>
          <w:p>
            <w:r>
              <w:rPr>
                <w:rFonts w:ascii="Arial" w:cs="Arial" w:eastAsia="Arial" w:hAnsi="Arial"/>
                <w:color w:val="1A1A1A"/>
                <w:sz w:val="19"/>
                <w:szCs w:val="19"/>
              </w:rPr>
              <w:t xml:space="preserve">ACA deployment + image updates + health monitoring; ~0.5 FTE-day/month ongoing ops</w:t>
            </w:r>
          </w:p>
        </w:tc>
        <w:tc>
          <w:tcPr>
            <w:tcW w:type="dxa" w:w="1200"/>
            <w:tcBorders>
              <w:top w:val="single" w:color="AABBCC" w:sz="2"/>
              <w:left w:val="single" w:color="AABBCC" w:sz="2"/>
              <w:bottom w:val="single" w:color="AABBCC" w:sz="2"/>
              <w:right w:val="single" w:color="AABBCC" w:sz="2"/>
            </w:tcBorders>
            <w:shd w:fill="FFF3CD" w:val="clear"/>
            <w:tcMar>
              <w:top w:type="dxa" w:w="70"/>
              <w:left w:type="dxa" w:w="120"/>
              <w:bottom w:type="dxa" w:w="70"/>
              <w:right w:type="dxa" w:w="120"/>
            </w:tcMar>
          </w:tcPr>
          <w:p>
            <w:r>
              <w:rPr>
                <w:rFonts w:ascii="Arial" w:cs="Arial" w:eastAsia="Arial" w:hAnsi="Arial"/>
                <w:color w:val="1A1A1A"/>
                <w:sz w:val="19"/>
                <w:szCs w:val="19"/>
              </w:rPr>
              <w:t xml:space="preserve">Medium</w:t>
            </w:r>
          </w:p>
        </w:tc>
      </w:tr>
      <w:tr>
        <w:tc>
          <w:tcPr>
            <w:tcW w:type="dxa" w:w="2400"/>
            <w:tcBorders>
              <w:top w:val="single" w:color="AABBCC" w:sz="2"/>
              <w:left w:val="single" w:color="AABBCC" w:sz="2"/>
              <w:bottom w:val="single" w:color="AABBCC" w:sz="2"/>
              <w:right w:val="single" w:color="AABBCC" w:sz="2"/>
            </w:tcBorders>
            <w:shd w:fill="FDDEDE" w:val="clear"/>
            <w:tcMar>
              <w:top w:type="dxa" w:w="70"/>
              <w:left w:type="dxa" w:w="120"/>
              <w:bottom w:type="dxa" w:w="70"/>
              <w:right w:type="dxa" w:w="120"/>
            </w:tcMar>
          </w:tcPr>
          <w:p>
            <w:r>
              <w:rPr>
                <w:rFonts w:ascii="Arial" w:cs="Arial" w:eastAsia="Arial" w:hAnsi="Arial"/>
                <w:color w:val="1A1A1A"/>
                <w:sz w:val="19"/>
                <w:szCs w:val="19"/>
              </w:rPr>
              <w:t xml:space="preserve">Operational support from Cybozu</w:t>
            </w:r>
          </w:p>
        </w:tc>
        <w:tc>
          <w:tcPr>
            <w:tcW w:type="dxa" w:w="4160"/>
            <w:tcBorders>
              <w:top w:val="single" w:color="AABBCC" w:sz="2"/>
              <w:left w:val="single" w:color="AABBCC" w:sz="2"/>
              <w:bottom w:val="single" w:color="AABBCC" w:sz="2"/>
              <w:right w:val="single" w:color="AABBCC" w:sz="2"/>
            </w:tcBorders>
            <w:shd w:fill="FDDEDE" w:val="clear"/>
            <w:tcMar>
              <w:top w:type="dxa" w:w="70"/>
              <w:left w:type="dxa" w:w="120"/>
              <w:bottom w:type="dxa" w:w="70"/>
              <w:right w:type="dxa" w:w="120"/>
            </w:tcMar>
          </w:tcPr>
          <w:p>
            <w:r>
              <w:rPr>
                <w:rFonts w:ascii="Arial" w:cs="Arial" w:eastAsia="Arial" w:hAnsi="Arial"/>
                <w:color w:val="1A1A1A"/>
                <w:sz w:val="19"/>
                <w:szCs w:val="19"/>
              </w:rPr>
              <w:t xml:space="preserve">❌ Not covered by support desk</w:t>
            </w:r>
          </w:p>
        </w:tc>
        <w:tc>
          <w:tcPr>
            <w:tcW w:type="dxa" w:w="1600"/>
            <w:tcBorders>
              <w:top w:val="single" w:color="AABBCC" w:sz="2"/>
              <w:left w:val="single" w:color="AABBCC" w:sz="2"/>
              <w:bottom w:val="single" w:color="AABBCC" w:sz="2"/>
              <w:right w:val="single" w:color="AABBCC" w:sz="2"/>
            </w:tcBorders>
            <w:shd w:fill="FDDEDE" w:val="clear"/>
            <w:tcMar>
              <w:top w:type="dxa" w:w="70"/>
              <w:left w:type="dxa" w:w="120"/>
              <w:bottom w:type="dxa" w:w="70"/>
              <w:right w:type="dxa" w:w="120"/>
            </w:tcMar>
          </w:tcPr>
          <w:p>
            <w:r>
              <w:rPr>
                <w:rFonts w:ascii="Arial" w:cs="Arial" w:eastAsia="Arial" w:hAnsi="Arial"/>
                <w:color w:val="1A1A1A"/>
                <w:sz w:val="19"/>
                <w:szCs w:val="19"/>
              </w:rPr>
              <w:t xml:space="preserve">GitHub Issues only; no SLA for bug fixes or compatibility updates</w:t>
            </w:r>
          </w:p>
        </w:tc>
        <w:tc>
          <w:tcPr>
            <w:tcW w:type="dxa" w:w="1200"/>
            <w:tcBorders>
              <w:top w:val="single" w:color="AABBCC" w:sz="2"/>
              <w:left w:val="single" w:color="AABBCC" w:sz="2"/>
              <w:bottom w:val="single" w:color="AABBCC" w:sz="2"/>
              <w:right w:val="single" w:color="AABBCC" w:sz="2"/>
            </w:tcBorders>
            <w:shd w:fill="FDDEDE" w:val="clear"/>
            <w:tcMar>
              <w:top w:type="dxa" w:w="70"/>
              <w:left w:type="dxa" w:w="120"/>
              <w:bottom w:type="dxa" w:w="70"/>
              <w:right w:type="dxa" w:w="120"/>
            </w:tcMar>
          </w:tcPr>
          <w:p>
            <w:r>
              <w:rPr>
                <w:rFonts w:ascii="Arial" w:cs="Arial" w:eastAsia="Arial" w:hAnsi="Arial"/>
                <w:color w:val="1A1A1A"/>
                <w:sz w:val="19"/>
                <w:szCs w:val="19"/>
              </w:rPr>
              <w:t xml:space="preserve">Medium</w:t>
            </w:r>
          </w:p>
        </w:tc>
      </w:tr>
      <w:tr>
        <w:tc>
          <w:tcPr>
            <w:tcW w:type="dxa" w:w="2400"/>
            <w:tcBorders>
              <w:top w:val="single" w:color="AABBCC" w:sz="2"/>
              <w:left w:val="single" w:color="AABBCC" w:sz="2"/>
              <w:bottom w:val="single" w:color="AABBCC" w:sz="2"/>
              <w:right w:val="single" w:color="AABBCC" w:sz="2"/>
            </w:tcBorders>
            <w:shd w:fill="DFF0D8" w:val="clear"/>
            <w:tcMar>
              <w:top w:type="dxa" w:w="70"/>
              <w:left w:type="dxa" w:w="120"/>
              <w:bottom w:type="dxa" w:w="70"/>
              <w:right w:type="dxa" w:w="120"/>
            </w:tcMar>
          </w:tcPr>
          <w:p>
            <w:r>
              <w:rPr>
                <w:rFonts w:ascii="Arial" w:cs="Arial" w:eastAsia="Arial" w:hAnsi="Arial"/>
                <w:color w:val="1A1A1A"/>
                <w:sz w:val="19"/>
                <w:szCs w:val="19"/>
              </w:rPr>
              <w:t xml:space="preserve">Compute cost (production baseline)</w:t>
            </w:r>
          </w:p>
        </w:tc>
        <w:tc>
          <w:tcPr>
            <w:tcW w:type="dxa" w:w="4160"/>
            <w:tcBorders>
              <w:top w:val="single" w:color="AABBCC" w:sz="2"/>
              <w:left w:val="single" w:color="AABBCC" w:sz="2"/>
              <w:bottom w:val="single" w:color="AABBCC" w:sz="2"/>
              <w:right w:val="single" w:color="AABBCC" w:sz="2"/>
            </w:tcBorders>
            <w:shd w:fill="DFF0D8" w:val="clear"/>
            <w:tcMar>
              <w:top w:type="dxa" w:w="70"/>
              <w:left w:type="dxa" w:w="120"/>
              <w:bottom w:type="dxa" w:w="70"/>
              <w:right w:type="dxa" w:w="120"/>
            </w:tcMar>
          </w:tcPr>
          <w:p>
            <w:r>
              <w:rPr>
                <w:rFonts w:ascii="Arial" w:cs="Arial" w:eastAsia="Arial" w:hAnsi="Arial"/>
                <w:color w:val="1A1A1A"/>
                <w:sz w:val="19"/>
                <w:szCs w:val="19"/>
              </w:rPr>
              <w:t xml:space="preserve">✅ ~$5–11/month</w:t>
            </w:r>
          </w:p>
        </w:tc>
        <w:tc>
          <w:tcPr>
            <w:tcW w:type="dxa" w:w="1600"/>
            <w:tcBorders>
              <w:top w:val="single" w:color="AABBCC" w:sz="2"/>
              <w:left w:val="single" w:color="AABBCC" w:sz="2"/>
              <w:bottom w:val="single" w:color="AABBCC" w:sz="2"/>
              <w:right w:val="single" w:color="AABBCC" w:sz="2"/>
            </w:tcBorders>
            <w:shd w:fill="DFF0D8" w:val="clear"/>
            <w:tcMar>
              <w:top w:type="dxa" w:w="70"/>
              <w:left w:type="dxa" w:w="120"/>
              <w:bottom w:type="dxa" w:w="70"/>
              <w:right w:type="dxa" w:w="120"/>
            </w:tcMar>
          </w:tcPr>
          <w:p>
            <w:r>
              <w:rPr>
                <w:rFonts w:ascii="Arial" w:cs="Arial" w:eastAsia="Arial" w:hAnsi="Arial"/>
                <w:color w:val="1A1A1A"/>
                <w:sz w:val="19"/>
                <w:szCs w:val="19"/>
              </w:rPr>
              <w:t xml:space="preserve">Low-medium volume on ACA Consumption with min-replicas=1</w:t>
            </w:r>
          </w:p>
        </w:tc>
        <w:tc>
          <w:tcPr>
            <w:tcW w:type="dxa" w:w="1200"/>
            <w:tcBorders>
              <w:top w:val="single" w:color="AABBCC" w:sz="2"/>
              <w:left w:val="single" w:color="AABBCC" w:sz="2"/>
              <w:bottom w:val="single" w:color="AABBCC" w:sz="2"/>
              <w:right w:val="single" w:color="AABBCC" w:sz="2"/>
            </w:tcBorders>
            <w:shd w:fill="DFF0D8" w:val="clear"/>
            <w:tcMar>
              <w:top w:type="dxa" w:w="70"/>
              <w:left w:type="dxa" w:w="120"/>
              <w:bottom w:type="dxa" w:w="70"/>
              <w:right w:type="dxa" w:w="120"/>
            </w:tcMar>
          </w:tcPr>
          <w:p>
            <w:r>
              <w:rPr>
                <w:rFonts w:ascii="Arial" w:cs="Arial" w:eastAsia="Arial" w:hAnsi="Arial"/>
                <w:color w:val="1A1A1A"/>
                <w:sz w:val="19"/>
                <w:szCs w:val="19"/>
              </w:rPr>
              <w:t xml:space="preserve">Low</w:t>
            </w:r>
          </w:p>
        </w:tc>
      </w:tr>
      <w:tr>
        <w:tc>
          <w:tcPr>
            <w:tcW w:type="dxa" w:w="2400"/>
            <w:tcBorders>
              <w:top w:val="single" w:color="AABBCC" w:sz="2"/>
              <w:left w:val="single" w:color="AABBCC" w:sz="2"/>
              <w:bottom w:val="single" w:color="AABBCC" w:sz="2"/>
              <w:right w:val="single" w:color="AABBCC" w:sz="2"/>
            </w:tcBorders>
            <w:shd w:fill="DFF0D8" w:val="clear"/>
            <w:tcMar>
              <w:top w:type="dxa" w:w="70"/>
              <w:left w:type="dxa" w:w="120"/>
              <w:bottom w:type="dxa" w:w="70"/>
              <w:right w:type="dxa" w:w="120"/>
            </w:tcMar>
          </w:tcPr>
          <w:p>
            <w:r>
              <w:rPr>
                <w:rFonts w:ascii="Arial" w:cs="Arial" w:eastAsia="Arial" w:hAnsi="Arial"/>
                <w:color w:val="1A1A1A"/>
                <w:sz w:val="19"/>
                <w:szCs w:val="19"/>
              </w:rPr>
              <w:t xml:space="preserve">Protocol latency overhead</w:t>
            </w:r>
          </w:p>
        </w:tc>
        <w:tc>
          <w:tcPr>
            <w:tcW w:type="dxa" w:w="4160"/>
            <w:tcBorders>
              <w:top w:val="single" w:color="AABBCC" w:sz="2"/>
              <w:left w:val="single" w:color="AABBCC" w:sz="2"/>
              <w:bottom w:val="single" w:color="AABBCC" w:sz="2"/>
              <w:right w:val="single" w:color="AABBCC" w:sz="2"/>
            </w:tcBorders>
            <w:shd w:fill="DFF0D8" w:val="clear"/>
            <w:tcMar>
              <w:top w:type="dxa" w:w="70"/>
              <w:left w:type="dxa" w:w="120"/>
              <w:bottom w:type="dxa" w:w="70"/>
              <w:right w:type="dxa" w:w="120"/>
            </w:tcMar>
          </w:tcPr>
          <w:p>
            <w:r>
              <w:rPr>
                <w:rFonts w:ascii="Arial" w:cs="Arial" w:eastAsia="Arial" w:hAnsi="Arial"/>
                <w:color w:val="1A1A1A"/>
                <w:sz w:val="19"/>
                <w:szCs w:val="19"/>
              </w:rPr>
              <w:t xml:space="preserve">✅ 5–30ms per hop</w:t>
            </w:r>
          </w:p>
        </w:tc>
        <w:tc>
          <w:tcPr>
            <w:tcW w:type="dxa" w:w="1600"/>
            <w:tcBorders>
              <w:top w:val="single" w:color="AABBCC" w:sz="2"/>
              <w:left w:val="single" w:color="AABBCC" w:sz="2"/>
              <w:bottom w:val="single" w:color="AABBCC" w:sz="2"/>
              <w:right w:val="single" w:color="AABBCC" w:sz="2"/>
            </w:tcBorders>
            <w:shd w:fill="DFF0D8" w:val="clear"/>
            <w:tcMar>
              <w:top w:type="dxa" w:w="70"/>
              <w:left w:type="dxa" w:w="120"/>
              <w:bottom w:type="dxa" w:w="70"/>
              <w:right w:type="dxa" w:w="120"/>
            </w:tcMar>
          </w:tcPr>
          <w:p>
            <w:r>
              <w:rPr>
                <w:rFonts w:ascii="Arial" w:cs="Arial" w:eastAsia="Arial" w:hAnsi="Arial"/>
                <w:color w:val="1A1A1A"/>
                <w:sz w:val="19"/>
                <w:szCs w:val="19"/>
              </w:rPr>
              <w:t xml:space="preserve">Negligible for record ops; faster than Method 2 for file ops (no bridge)</w:t>
            </w:r>
          </w:p>
        </w:tc>
        <w:tc>
          <w:tcPr>
            <w:tcW w:type="dxa" w:w="1200"/>
            <w:tcBorders>
              <w:top w:val="single" w:color="AABBCC" w:sz="2"/>
              <w:left w:val="single" w:color="AABBCC" w:sz="2"/>
              <w:bottom w:val="single" w:color="AABBCC" w:sz="2"/>
              <w:right w:val="single" w:color="AABBCC" w:sz="2"/>
            </w:tcBorders>
            <w:shd w:fill="DFF0D8" w:val="clear"/>
            <w:tcMar>
              <w:top w:type="dxa" w:w="70"/>
              <w:left w:type="dxa" w:w="120"/>
              <w:bottom w:type="dxa" w:w="70"/>
              <w:right w:type="dxa" w:w="120"/>
            </w:tcMar>
          </w:tcPr>
          <w:p>
            <w:r>
              <w:rPr>
                <w:rFonts w:ascii="Arial" w:cs="Arial" w:eastAsia="Arial" w:hAnsi="Arial"/>
                <w:color w:val="1A1A1A"/>
                <w:sz w:val="19"/>
                <w:szCs w:val="19"/>
              </w:rPr>
              <w:t xml:space="preserve">Low</w:t>
            </w:r>
          </w:p>
        </w:tc>
      </w:tr>
      <w:tr>
        <w:tc>
          <w:tcPr>
            <w:tcW w:type="dxa" w:w="2400"/>
            <w:tcBorders>
              <w:top w:val="single" w:color="AABBCC" w:sz="2"/>
              <w:left w:val="single" w:color="AABBCC" w:sz="2"/>
              <w:bottom w:val="single" w:color="AABBCC" w:sz="2"/>
              <w:right w:val="single" w:color="AABBCC" w:sz="2"/>
            </w:tcBorders>
            <w:shd w:fill="DFF0D8" w:val="clear"/>
            <w:tcMar>
              <w:top w:type="dxa" w:w="70"/>
              <w:left w:type="dxa" w:w="120"/>
              <w:bottom w:type="dxa" w:w="70"/>
              <w:right w:type="dxa" w:w="120"/>
            </w:tcMar>
          </w:tcPr>
          <w:p>
            <w:r>
              <w:rPr>
                <w:rFonts w:ascii="Arial" w:cs="Arial" w:eastAsia="Arial" w:hAnsi="Arial"/>
                <w:color w:val="1A1A1A"/>
                <w:sz w:val="19"/>
                <w:szCs w:val="19"/>
              </w:rPr>
              <w:t xml:space="preserve">LLM token cost</w:t>
            </w:r>
          </w:p>
        </w:tc>
        <w:tc>
          <w:tcPr>
            <w:tcW w:type="dxa" w:w="4160"/>
            <w:tcBorders>
              <w:top w:val="single" w:color="AABBCC" w:sz="2"/>
              <w:left w:val="single" w:color="AABBCC" w:sz="2"/>
              <w:bottom w:val="single" w:color="AABBCC" w:sz="2"/>
              <w:right w:val="single" w:color="AABBCC" w:sz="2"/>
            </w:tcBorders>
            <w:shd w:fill="DFF0D8" w:val="clear"/>
            <w:tcMar>
              <w:top w:type="dxa" w:w="70"/>
              <w:left w:type="dxa" w:w="120"/>
              <w:bottom w:type="dxa" w:w="70"/>
              <w:right w:type="dxa" w:w="120"/>
            </w:tcMar>
          </w:tcPr>
          <w:p>
            <w:r>
              <w:rPr>
                <w:rFonts w:ascii="Arial" w:cs="Arial" w:eastAsia="Arial" w:hAnsi="Arial"/>
                <w:color w:val="1A1A1A"/>
                <w:sz w:val="19"/>
                <w:szCs w:val="19"/>
              </w:rPr>
              <w:t xml:space="preserve">✅ Lower than Method 2</w:t>
            </w:r>
          </w:p>
        </w:tc>
        <w:tc>
          <w:tcPr>
            <w:tcW w:type="dxa" w:w="1600"/>
            <w:tcBorders>
              <w:top w:val="single" w:color="AABBCC" w:sz="2"/>
              <w:left w:val="single" w:color="AABBCC" w:sz="2"/>
              <w:bottom w:val="single" w:color="AABBCC" w:sz="2"/>
              <w:right w:val="single" w:color="AABBCC" w:sz="2"/>
            </w:tcBorders>
            <w:shd w:fill="DFF0D8" w:val="clear"/>
            <w:tcMar>
              <w:top w:type="dxa" w:w="70"/>
              <w:left w:type="dxa" w:w="120"/>
              <w:bottom w:type="dxa" w:w="70"/>
              <w:right w:type="dxa" w:w="120"/>
            </w:tcMar>
          </w:tcPr>
          <w:p>
            <w:r>
              <w:rPr>
                <w:rFonts w:ascii="Arial" w:cs="Arial" w:eastAsia="Arial" w:hAnsi="Arial"/>
                <w:color w:val="1A1A1A"/>
                <w:sz w:val="19"/>
                <w:szCs w:val="19"/>
              </w:rPr>
              <w:t xml:space="preserve">No schema tokens in inference context; ~50% lower per-call token cost</w:t>
            </w:r>
          </w:p>
        </w:tc>
        <w:tc>
          <w:tcPr>
            <w:tcW w:type="dxa" w:w="1200"/>
            <w:tcBorders>
              <w:top w:val="single" w:color="AABBCC" w:sz="2"/>
              <w:left w:val="single" w:color="AABBCC" w:sz="2"/>
              <w:bottom w:val="single" w:color="AABBCC" w:sz="2"/>
              <w:right w:val="single" w:color="AABBCC" w:sz="2"/>
            </w:tcBorders>
            <w:shd w:fill="DFF0D8" w:val="clear"/>
            <w:tcMar>
              <w:top w:type="dxa" w:w="70"/>
              <w:left w:type="dxa" w:w="120"/>
              <w:bottom w:type="dxa" w:w="70"/>
              <w:right w:type="dxa" w:w="120"/>
            </w:tcMar>
          </w:tcPr>
          <w:p>
            <w:r>
              <w:rPr>
                <w:rFonts w:ascii="Arial" w:cs="Arial" w:eastAsia="Arial" w:hAnsi="Arial"/>
                <w:color w:val="1A1A1A"/>
                <w:sz w:val="19"/>
                <w:szCs w:val="19"/>
              </w:rPr>
              <w:t xml:space="preserve">Low</w:t>
            </w:r>
          </w:p>
        </w:tc>
      </w:tr>
      <w:tr>
        <w:tc>
          <w:tcPr>
            <w:tcW w:type="dxa" w:w="2400"/>
            <w:tcBorders>
              <w:top w:val="single" w:color="AABBCC" w:sz="2"/>
              <w:left w:val="single" w:color="AABBCC" w:sz="2"/>
              <w:bottom w:val="single" w:color="AABBCC" w:sz="2"/>
              <w:right w:val="single" w:color="AABBCC" w:sz="2"/>
            </w:tcBorders>
            <w:shd w:fill="DFF0D8" w:val="clear"/>
            <w:tcMar>
              <w:top w:type="dxa" w:w="70"/>
              <w:left w:type="dxa" w:w="120"/>
              <w:bottom w:type="dxa" w:w="70"/>
              <w:right w:type="dxa" w:w="120"/>
            </w:tcMar>
          </w:tcPr>
          <w:p>
            <w:r>
              <w:rPr>
                <w:rFonts w:ascii="Arial" w:cs="Arial" w:eastAsia="Arial" w:hAnsi="Arial"/>
                <w:color w:val="1A1A1A"/>
                <w:sz w:val="19"/>
                <w:szCs w:val="19"/>
              </w:rPr>
              <w:t xml:space="preserve">Private networking support</w:t>
            </w:r>
          </w:p>
        </w:tc>
        <w:tc>
          <w:tcPr>
            <w:tcW w:type="dxa" w:w="4160"/>
            <w:tcBorders>
              <w:top w:val="single" w:color="AABBCC" w:sz="2"/>
              <w:left w:val="single" w:color="AABBCC" w:sz="2"/>
              <w:bottom w:val="single" w:color="AABBCC" w:sz="2"/>
              <w:right w:val="single" w:color="AABBCC" w:sz="2"/>
            </w:tcBorders>
            <w:shd w:fill="DFF0D8" w:val="clear"/>
            <w:tcMar>
              <w:top w:type="dxa" w:w="70"/>
              <w:left w:type="dxa" w:w="120"/>
              <w:bottom w:type="dxa" w:w="70"/>
              <w:right w:type="dxa" w:w="120"/>
            </w:tcMar>
          </w:tcPr>
          <w:p>
            <w:r>
              <w:rPr>
                <w:rFonts w:ascii="Arial" w:cs="Arial" w:eastAsia="Arial" w:hAnsi="Arial"/>
                <w:color w:val="1A1A1A"/>
                <w:sz w:val="19"/>
                <w:szCs w:val="19"/>
              </w:rPr>
              <w:t xml:space="preserve">✅ Fully supported</w:t>
            </w:r>
          </w:p>
        </w:tc>
        <w:tc>
          <w:tcPr>
            <w:tcW w:type="dxa" w:w="1600"/>
            <w:tcBorders>
              <w:top w:val="single" w:color="AABBCC" w:sz="2"/>
              <w:left w:val="single" w:color="AABBCC" w:sz="2"/>
              <w:bottom w:val="single" w:color="AABBCC" w:sz="2"/>
              <w:right w:val="single" w:color="AABBCC" w:sz="2"/>
            </w:tcBorders>
            <w:shd w:fill="DFF0D8" w:val="clear"/>
            <w:tcMar>
              <w:top w:type="dxa" w:w="70"/>
              <w:left w:type="dxa" w:w="120"/>
              <w:bottom w:type="dxa" w:w="70"/>
              <w:right w:type="dxa" w:w="120"/>
            </w:tcMar>
          </w:tcPr>
          <w:p>
            <w:r>
              <w:rPr>
                <w:rFonts w:ascii="Arial" w:cs="Arial" w:eastAsia="Arial" w:hAnsi="Arial"/>
                <w:color w:val="1A1A1A"/>
                <w:sz w:val="19"/>
                <w:szCs w:val="19"/>
              </w:rPr>
              <w:t xml:space="preserve">ACA internal ingress + Foundry MCP subnet for zero-trust deployments</w:t>
            </w:r>
          </w:p>
        </w:tc>
        <w:tc>
          <w:tcPr>
            <w:tcW w:type="dxa" w:w="1200"/>
            <w:tcBorders>
              <w:top w:val="single" w:color="AABBCC" w:sz="2"/>
              <w:left w:val="single" w:color="AABBCC" w:sz="2"/>
              <w:bottom w:val="single" w:color="AABBCC" w:sz="2"/>
              <w:right w:val="single" w:color="AABBCC" w:sz="2"/>
            </w:tcBorders>
            <w:shd w:fill="DFF0D8" w:val="clear"/>
            <w:tcMar>
              <w:top w:type="dxa" w:w="70"/>
              <w:left w:type="dxa" w:w="120"/>
              <w:bottom w:type="dxa" w:w="70"/>
              <w:right w:type="dxa" w:w="120"/>
            </w:tcMar>
          </w:tcPr>
          <w:p>
            <w:r>
              <w:rPr>
                <w:rFonts w:ascii="Arial" w:cs="Arial" w:eastAsia="Arial" w:hAnsi="Arial"/>
                <w:color w:val="1A1A1A"/>
                <w:sz w:val="19"/>
                <w:szCs w:val="19"/>
              </w:rPr>
              <w:t xml:space="preserve">Low</w:t>
            </w:r>
          </w:p>
        </w:tc>
      </w:tr>
    </w:tbl>
    <w:p>
      <w:pPr>
        <w:spacing w:after="80" w:before="80"/>
      </w:pPr>
    </w:p>
    <w:p>
      <w:pPr>
        <w:pStyle w:val="Heading2"/>
        <w:pBdr>
          <w:bottom w:val="single" w:color="2563A8" w:sz="6"/>
        </w:pBdr>
        <w:spacing w:after="120" w:before="300"/>
      </w:pPr>
      <w:r>
        <w:rPr>
          <w:rFonts w:ascii="Arial" w:cs="Arial" w:eastAsia="Arial" w:hAnsi="Arial"/>
          <w:b/>
          <w:bCs/>
          <w:color w:val="1A3C5E"/>
          <w:sz w:val="26"/>
          <w:szCs w:val="26"/>
        </w:rPr>
        <w:t xml:space="preserve">Comparative Verdict: Method 3 vs Methods 1 &amp;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000"/>
            <w:tcBorders>
              <w:top w:val="single" w:color="AABBCC" w:sz="2"/>
              <w:left w:val="single" w:color="AABBCC" w:sz="2"/>
              <w:bottom w:val="single" w:color="AABBCC" w:sz="2"/>
              <w:right w:val="single" w:color="AABBCC" w:sz="2"/>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Factor</w:t>
            </w:r>
          </w:p>
        </w:tc>
        <w:tc>
          <w:tcPr>
            <w:tcW w:type="dxa" w:w="2400"/>
            <w:tcBorders>
              <w:top w:val="single" w:color="AABBCC" w:sz="2"/>
              <w:left w:val="single" w:color="AABBCC" w:sz="2"/>
              <w:bottom w:val="single" w:color="AABBCC" w:sz="2"/>
              <w:right w:val="single" w:color="AABBCC" w:sz="2"/>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Method 1 (Logic Apps)</w:t>
            </w:r>
          </w:p>
        </w:tc>
        <w:tc>
          <w:tcPr>
            <w:tcW w:type="dxa" w:w="2400"/>
            <w:tcBorders>
              <w:top w:val="single" w:color="AABBCC" w:sz="2"/>
              <w:left w:val="single" w:color="AABBCC" w:sz="2"/>
              <w:bottom w:val="single" w:color="AABBCC" w:sz="2"/>
              <w:right w:val="single" w:color="AABBCC" w:sz="2"/>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Method 2 (OpenAPI REST)</w:t>
            </w:r>
          </w:p>
        </w:tc>
        <w:tc>
          <w:tcPr>
            <w:tcW w:type="dxa" w:w="2560"/>
            <w:tcBorders>
              <w:top w:val="single" w:color="AABBCC" w:sz="2"/>
              <w:left w:val="single" w:color="AABBCC" w:sz="2"/>
              <w:bottom w:val="single" w:color="AABBCC" w:sz="2"/>
              <w:right w:val="single" w:color="AABBCC" w:sz="2"/>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Method 3 (MCP)</w:t>
            </w:r>
          </w:p>
        </w:tc>
      </w:tr>
      <w:tr>
        <w:tc>
          <w:tcPr>
            <w:tcW w:type="dxa" w:w="200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Full endpoint coverage</w:t>
            </w:r>
          </w:p>
        </w:tc>
        <w:tc>
          <w:tcPr>
            <w:tcW w:type="dxa" w:w="240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 2/5 native; 3 need HTTP action</w:t>
            </w:r>
          </w:p>
        </w:tc>
        <w:tc>
          <w:tcPr>
            <w:tcW w:type="dxa" w:w="240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 3/5 native; 2 need bridge</w:t>
            </w:r>
          </w:p>
        </w:tc>
        <w:tc>
          <w:tcPr>
            <w:tcW w:type="dxa" w:w="256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 5/5 native</w:t>
            </w:r>
          </w:p>
        </w:tc>
      </w:tr>
      <w:tr>
        <w:tc>
          <w:tcPr>
            <w:tcW w:type="dxa" w:w="200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File upload/download</w:t>
            </w:r>
          </w:p>
        </w:tc>
        <w:tc>
          <w:tcPr>
            <w:tcW w:type="dxa" w:w="240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 Custom HTTP action</w:t>
            </w:r>
          </w:p>
        </w:tc>
        <w:tc>
          <w:tcPr>
            <w:tcW w:type="dxa" w:w="240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 Azure Function bridge</w:t>
            </w:r>
          </w:p>
        </w:tc>
        <w:tc>
          <w:tcPr>
            <w:tcW w:type="dxa" w:w="256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 Server-side transparent</w:t>
            </w:r>
          </w:p>
        </w:tc>
      </w:tr>
      <w:tr>
        <w:tc>
          <w:tcPr>
            <w:tcW w:type="dxa" w:w="200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Infrastructure to manage</w:t>
            </w:r>
          </w:p>
        </w:tc>
        <w:tc>
          <w:tcPr>
            <w:tcW w:type="dxa" w:w="240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 None (fully managed)</w:t>
            </w:r>
          </w:p>
        </w:tc>
        <w:tc>
          <w:tcPr>
            <w:tcW w:type="dxa" w:w="240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 Serverless (Functions only if files needed)</w:t>
            </w:r>
          </w:p>
        </w:tc>
        <w:tc>
          <w:tcPr>
            <w:tcW w:type="dxa" w:w="256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 Container on ACA</w:t>
            </w:r>
          </w:p>
        </w:tc>
      </w:tr>
      <w:tr>
        <w:tc>
          <w:tcPr>
            <w:tcW w:type="dxa" w:w="200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Operational support</w:t>
            </w:r>
          </w:p>
        </w:tc>
        <w:tc>
          <w:tcPr>
            <w:tcW w:type="dxa" w:w="240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 Microsoft SLA</w:t>
            </w:r>
          </w:p>
        </w:tc>
        <w:tc>
          <w:tcPr>
            <w:tcW w:type="dxa" w:w="240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 Microsoft SLA (Functions)</w:t>
            </w:r>
          </w:p>
        </w:tc>
        <w:tc>
          <w:tcPr>
            <w:tcW w:type="dxa" w:w="256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 Community OSS only</w:t>
            </w:r>
          </w:p>
        </w:tc>
      </w:tr>
      <w:tr>
        <w:tc>
          <w:tcPr>
            <w:tcW w:type="dxa" w:w="200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Token cost per call</w:t>
            </w:r>
          </w:p>
        </w:tc>
        <w:tc>
          <w:tcPr>
            <w:tcW w:type="dxa" w:w="240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N/A (not LLM-context-resident)</w:t>
            </w:r>
          </w:p>
        </w:tc>
        <w:tc>
          <w:tcPr>
            <w:tcW w:type="dxa" w:w="240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800–1,500 tokens overhead</w:t>
            </w:r>
          </w:p>
        </w:tc>
        <w:tc>
          <w:tcPr>
            <w:tcW w:type="dxa" w:w="256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~0 schema tokens overhead</w:t>
            </w:r>
          </w:p>
        </w:tc>
      </w:tr>
      <w:tr>
        <w:tc>
          <w:tcPr>
            <w:tcW w:type="dxa" w:w="200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Latency (record ops, warm)</w:t>
            </w:r>
          </w:p>
        </w:tc>
        <w:tc>
          <w:tcPr>
            <w:tcW w:type="dxa" w:w="240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1.5–5s (Logic Apps scheduling)</w:t>
            </w:r>
          </w:p>
        </w:tc>
        <w:tc>
          <w:tcPr>
            <w:tcW w:type="dxa" w:w="240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1.5–5s (direct REST)</w:t>
            </w:r>
          </w:p>
        </w:tc>
        <w:tc>
          <w:tcPr>
            <w:tcW w:type="dxa" w:w="256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1.5–5s (comparable)</w:t>
            </w:r>
          </w:p>
        </w:tc>
      </w:tr>
      <w:tr>
        <w:tc>
          <w:tcPr>
            <w:tcW w:type="dxa" w:w="200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Latency (file ops, warm)</w:t>
            </w:r>
          </w:p>
        </w:tc>
        <w:tc>
          <w:tcPr>
            <w:tcW w:type="dxa" w:w="240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2–7s (HTTP action)</w:t>
            </w:r>
          </w:p>
        </w:tc>
        <w:tc>
          <w:tcPr>
            <w:tcW w:type="dxa" w:w="240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2–6s (Function bridge)</w:t>
            </w:r>
          </w:p>
        </w:tc>
        <w:tc>
          <w:tcPr>
            <w:tcW w:type="dxa" w:w="2560"/>
            <w:tcBorders>
              <w:top w:val="single" w:color="AABBCC" w:sz="2"/>
              <w:left w:val="single" w:color="AABBCC" w:sz="2"/>
              <w:bottom w:val="single" w:color="AABBCC" w:sz="2"/>
              <w:right w:val="single" w:color="AABBCC" w:sz="2"/>
            </w:tcBorders>
            <w:shd w:fill="F4F6F8" w:val="clear"/>
            <w:tcMar>
              <w:top w:type="dxa" w:w="70"/>
              <w:left w:type="dxa" w:w="120"/>
              <w:bottom w:type="dxa" w:w="70"/>
              <w:right w:type="dxa" w:w="120"/>
            </w:tcMar>
          </w:tcPr>
          <w:p>
            <w:r>
              <w:rPr>
                <w:rFonts w:ascii="Arial" w:cs="Arial" w:eastAsia="Arial" w:hAnsi="Arial"/>
                <w:color w:val="1A1A1A"/>
                <w:sz w:val="19"/>
                <w:szCs w:val="19"/>
              </w:rPr>
              <w:t xml:space="preserve">1.5–4s (no bridge)</w:t>
            </w:r>
          </w:p>
        </w:tc>
      </w:tr>
      <w:tr>
        <w:tc>
          <w:tcPr>
            <w:tcW w:type="dxa" w:w="200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Baseline monthly infra cost</w:t>
            </w:r>
          </w:p>
        </w:tc>
        <w:tc>
          <w:tcPr>
            <w:tcW w:type="dxa" w:w="240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~$2 (per-action billing)</w:t>
            </w:r>
          </w:p>
        </w:tc>
        <w:tc>
          <w:tcPr>
            <w:tcW w:type="dxa" w:w="240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~$0–2 (serverless)</w:t>
            </w:r>
          </w:p>
        </w:tc>
        <w:tc>
          <w:tcPr>
            <w:tcW w:type="dxa" w:w="2560"/>
            <w:tcBorders>
              <w:top w:val="single" w:color="AABBCC" w:sz="2"/>
              <w:left w:val="single" w:color="AABBCC" w:sz="2"/>
              <w:bottom w:val="single" w:color="AABBCC" w:sz="2"/>
              <w:right w:val="single" w:color="AABBCC" w:sz="2"/>
            </w:tcBorders>
            <w:shd w:fill="FFFFFF" w:val="clear"/>
            <w:tcMar>
              <w:top w:type="dxa" w:w="70"/>
              <w:left w:type="dxa" w:w="120"/>
              <w:bottom w:type="dxa" w:w="70"/>
              <w:right w:type="dxa" w:w="120"/>
            </w:tcMar>
          </w:tcPr>
          <w:p>
            <w:r>
              <w:rPr>
                <w:rFonts w:ascii="Arial" w:cs="Arial" w:eastAsia="Arial" w:hAnsi="Arial"/>
                <w:color w:val="1A1A1A"/>
                <w:sz w:val="19"/>
                <w:szCs w:val="19"/>
              </w:rPr>
              <w:t xml:space="preserve">~$5–11 (idle container)</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2563A8"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REC</w:t>
            </w:r>
          </w:p>
        </w:tc>
        <w:tc>
          <w:tcPr>
            <w:tcW w:type="dxa" w:w="8840"/>
            <w:tcBorders>
              <w:top w:val="none" w:color="FFFFFF" w:sz="0"/>
              <w:left w:val="none" w:color="FFFFFF" w:sz="0"/>
              <w:bottom w:val="none" w:color="FFFFFF" w:sz="0"/>
              <w:right w:val="none" w:color="FFFFFF" w:sz="0"/>
            </w:tcBorders>
            <w:shd w:fill="D4EEEE" w:val="clear"/>
            <w:tcMar>
              <w:top w:type="dxa" w:w="80"/>
              <w:left w:type="dxa" w:w="180"/>
              <w:bottom w:type="dxa" w:w="80"/>
              <w:right w:type="dxa" w:w="120"/>
            </w:tcMar>
          </w:tcPr>
          <w:p>
            <w:r>
              <w:rPr>
                <w:rFonts w:ascii="Arial" w:cs="Arial" w:eastAsia="Arial" w:hAnsi="Arial"/>
                <w:color w:val="1A1A1A"/>
                <w:sz w:val="19"/>
                <w:szCs w:val="19"/>
              </w:rPr>
              <w:t xml:space="preserve">RECOMMENDATION: Method 3 is the superior technical choice for the full 5-endpoint coverage requirement — it is the only method where all required operations (including file upload) work without an additional bridge component. The LLM token cost advantage at scale is also meaningful. The primary drawbacks are: (1) a one-time engineering cost to build the Streamable HTTP wrapper for the official server, (2) an ongoing infrastructure ownership burden (~$5/month + ops time), and (3) reliance on a community-supported OSS component with no Cybozu support SLA. For teams with Azure Container Apps operational capability and &gt;5,000 agent calls/month, Method 3 is the recommended architecture. For lower-volume deployments where simplicity is paramount, Method 2 + Azure Function bridge is preferred.</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A8" w:sz="4"/>
      </w:pBdr>
      <w:tabs>
        <w:tab w:val="right" w:pos="9026"/>
      </w:tabs>
      <w:spacing w:before="60"/>
    </w:pPr>
    <w:r>
      <w:rPr>
        <w:rFonts w:ascii="Arial" w:cs="Arial" w:eastAsia="Arial" w:hAnsi="Arial"/>
        <w:color w:val="5A6A7A"/>
        <w:sz w:val="16"/>
        <w:szCs w:val="16"/>
      </w:rPr>
      <w:t xml:space="preserve">Confidential — Internal Architecture Review</w:t>
    </w:r>
    <w:r>
      <w:rPr>
        <w:rFonts w:ascii="Arial" w:cs="Arial" w:eastAsia="Arial" w:hAnsi="Arial"/>
        <w:color w:val="5A6A7A"/>
        <w:sz w:val="16"/>
        <w:szCs w:val="16"/>
      </w:rPr>
      <w:t xml:space="preserve">	Page </w:t>
    </w:r>
    <w:r>
      <w:rPr>
        <w:rFonts w:ascii="Arial" w:cs="Arial" w:eastAsia="Arial" w:hAnsi="Arial"/>
        <w:color w:val="5A6A7A"/>
        <w:sz w:val="16"/>
        <w:szCs w:val="16"/>
      </w:rPr>
      <w:fldChar w:fldCharType="begin"/>
      <w:instrText xml:space="preserve">PAGE</w:instrText>
      <w:fldChar w:fldCharType="separate"/>
      <w:fldChar w:fldCharType="end"/>
    </w:r>
    <w:r>
      <w:rPr>
        <w:rFonts w:ascii="Arial" w:cs="Arial" w:eastAsia="Arial" w:hAnsi="Arial"/>
        <w:color w:val="5A6A7A"/>
        <w:sz w:val="16"/>
        <w:szCs w:val="16"/>
      </w:rPr>
      <w:t xml:space="preserve"> of </w:t>
    </w:r>
    <w:r>
      <w:rPr>
        <w:rFonts w:ascii="Arial" w:cs="Arial" w:eastAsia="Arial" w:hAnsi="Arial"/>
        <w:color w:val="5A6A7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4"/>
      </w:pBdr>
      <w:tabs>
        <w:tab w:val="right" w:pos="9026"/>
      </w:tabs>
      <w:spacing w:after="60" w:before="0"/>
    </w:pPr>
    <w:r>
      <w:rPr>
        <w:rFonts w:ascii="Arial" w:cs="Arial" w:eastAsia="Arial" w:hAnsi="Arial"/>
        <w:color w:val="5A6A7A"/>
        <w:sz w:val="18"/>
        <w:szCs w:val="18"/>
      </w:rPr>
      <w:t xml:space="preserve">INVESTIGATION REPORT  |  METHOD 3: Model Context Protocol (MCP)</w:t>
    </w:r>
    <w:r>
      <w:t xml:space="preserve">	</w:t>
    </w:r>
    <w:r>
      <w:rPr>
        <w:rFonts w:ascii="Arial" w:cs="Arial" w:eastAsia="Arial" w:hAnsi="Arial"/>
        <w:color w:val="5A6A7A"/>
        <w:sz w:val="18"/>
        <w:szCs w:val="18"/>
      </w:rPr>
      <w:t xml:space="preserve">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30"/>
      <w:szCs w:val="30"/>
    </w:rPr>
  </w:style>
  <w:style w:type="paragraph" w:styleId="Heading2">
    <w:name w:val="Heading 2"/>
    <w:basedOn w:val="Normal"/>
    <w:next w:val="Normal"/>
    <w:qFormat/>
    <w:pPr>
      <w:spacing w:after="120" w:before="300"/>
      <w:outlineLvl w:val="1"/>
    </w:pPr>
    <w:rPr>
      <w:rFonts w:ascii="Arial" w:cs="Arial" w:eastAsia="Arial" w:hAnsi="Arial"/>
      <w:b/>
      <w:bCs/>
      <w:color w:val="1A3C5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563A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2026-05-15T10:49:20.844Z</dcterms:created>
  <dcterms:modified xsi:type="dcterms:W3CDTF">2026-05-15T10:49:20.861Z</dcterms:modified>
</cp:coreProperties>
</file>

<file path=docProps/custom.xml><?xml version="1.0" encoding="utf-8"?>
<Properties xmlns="http://schemas.openxmlformats.org/officeDocument/2006/custom-properties" xmlns:vt="http://schemas.openxmlformats.org/officeDocument/2006/docPropsVTypes"/>
</file>