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F50"/>
          <w:sz w:val="20"/>
          <w:szCs w:val="20"/>
        </w:rPr>
        <w:t xml:space="preserve">WEEK 4 · MODULE 2 — RETRIEVAL &amp; RAG</w:t>
      </w:r>
    </w:p>
    <w:p>
      <w:pPr>
        <w:spacing w:after="80"/>
      </w:pPr>
      <w:r>
        <w:rPr>
          <w:b/>
          <w:bCs/>
          <w:sz w:val="40"/>
          <w:szCs w:val="40"/>
        </w:rPr>
        <w:t xml:space="preserve">Debugging Retrieval — Hybrid, Reranking &amp; Failure Separation</w:t>
      </w:r>
    </w:p>
    <w:p>
      <w:pPr>
        <w:shd w:fill="1F6F50" w:val="clear"/>
        <w:spacing w:after="200"/>
      </w:pPr>
      <w:r>
        <w:rPr>
          <w:b/>
          <w:bCs/>
          <w:color w:val="FFFFFF"/>
        </w:rPr>
        <w:t xml:space="preserve">Build week</w:t>
      </w:r>
    </w:p>
    <w:p>
      <w:pPr>
        <w:spacing w:after="300"/>
      </w:pPr>
      <w:r>
        <w:rPr>
          <w:i/>
          <w:iCs/>
          <w:color w:val="444444"/>
          <w:sz w:val="22"/>
          <w:szCs w:val="22"/>
        </w:rPr>
        <w:t xml:space="preserve">Find out exactly why your app gets things wrong, fix it, and prove the fix with a number.</w:t>
      </w:r>
    </w:p>
    <w:tbl>
      <w:tblPr>
        <w:tblW w:type="pct" w:w="100%"/>
        <w:tblBorders>
          <w:top w:val="single" w:color="D8D5CC" w:sz="2"/>
          <w:left w:val="none"/>
          <w:bottom w:val="single" w:color="D8D5CC" w:sz="2"/>
          <w:right w:val="none"/>
          <w:insideH w:val="single" w:color="D8D5CC" w:sz="2"/>
          <w:insideV w:val="none"/>
        </w:tblBorders>
      </w:tblPr>
      <w:tblGrid>
        <w:gridCol w:w="3000"/>
        <w:gridCol w:w="6500"/>
      </w:tblGrid>
      <w:tr>
        <w:tc>
          <w:tcPr>
            <w:tcW w:type="dxa" w:w="3000"/>
            <w:shd w:fill="F5F4EF" w:val="clear"/>
            <w:tcMar>
              <w:top w:type="dxa" w:w="80"/>
              <w:left w:type="dxa" w:w="120"/>
              <w:bottom w:type="dxa" w:w="80"/>
              <w:right w:type="dxa" w:w="120"/>
            </w:tcMar>
          </w:tcPr>
          <w:p>
            <w:r>
              <w:rPr>
                <w:b/>
                <w:bCs/>
                <w:sz w:val="20"/>
                <w:szCs w:val="20"/>
              </w:rPr>
              <w:t xml:space="preserve">Week</w:t>
            </w:r>
          </w:p>
        </w:tc>
        <w:tc>
          <w:tcPr>
            <w:tcW w:type="dxa" w:w="6500"/>
            <w:tcMar>
              <w:top w:type="dxa" w:w="80"/>
              <w:left w:type="dxa" w:w="120"/>
              <w:bottom w:type="dxa" w:w="80"/>
              <w:right w:type="dxa" w:w="120"/>
            </w:tcMar>
          </w:tcPr>
          <w:p>
            <w:r>
              <w:rPr>
                <w:sz w:val="20"/>
                <w:szCs w:val="20"/>
              </w:rPr>
              <w:t xml:space="preserve">4 of 12</w:t>
            </w:r>
          </w:p>
        </w:tc>
      </w:tr>
      <w:tr>
        <w:tc>
          <w:tcPr>
            <w:tcW w:type="dxa" w:w="3000"/>
            <w:shd w:fill="F5F4EF" w:val="clear"/>
            <w:tcMar>
              <w:top w:type="dxa" w:w="80"/>
              <w:left w:type="dxa" w:w="120"/>
              <w:bottom w:type="dxa" w:w="80"/>
              <w:right w:type="dxa" w:w="120"/>
            </w:tcMar>
          </w:tcPr>
          <w:p>
            <w:r>
              <w:rPr>
                <w:b/>
                <w:bCs/>
                <w:sz w:val="20"/>
                <w:szCs w:val="20"/>
              </w:rPr>
              <w:t xml:space="preserve">Module</w:t>
            </w:r>
          </w:p>
        </w:tc>
        <w:tc>
          <w:tcPr>
            <w:tcW w:type="dxa" w:w="6500"/>
            <w:tcMar>
              <w:top w:type="dxa" w:w="80"/>
              <w:left w:type="dxa" w:w="120"/>
              <w:bottom w:type="dxa" w:w="80"/>
              <w:right w:type="dxa" w:w="120"/>
            </w:tcMar>
          </w:tcPr>
          <w:p>
            <w:r>
              <w:rPr>
                <w:sz w:val="20"/>
                <w:szCs w:val="20"/>
              </w:rPr>
              <w:t xml:space="preserve">M2 — Retrieval &amp; RAG</w:t>
            </w:r>
          </w:p>
        </w:tc>
      </w:tr>
      <w:tr>
        <w:tc>
          <w:tcPr>
            <w:tcW w:type="dxa" w:w="3000"/>
            <w:shd w:fill="F5F4EF" w:val="clear"/>
            <w:tcMar>
              <w:top w:type="dxa" w:w="80"/>
              <w:left w:type="dxa" w:w="120"/>
              <w:bottom w:type="dxa" w:w="80"/>
              <w:right w:type="dxa" w:w="120"/>
            </w:tcMar>
          </w:tcPr>
          <w:p>
            <w:r>
              <w:rPr>
                <w:b/>
                <w:bCs/>
                <w:sz w:val="20"/>
                <w:szCs w:val="20"/>
              </w:rPr>
              <w:t xml:space="preserve">Evaluated</w:t>
            </w:r>
          </w:p>
        </w:tc>
        <w:tc>
          <w:tcPr>
            <w:tcW w:type="dxa" w:w="6500"/>
            <w:tcMar>
              <w:top w:type="dxa" w:w="80"/>
              <w:left w:type="dxa" w:w="120"/>
              <w:bottom w:type="dxa" w:w="80"/>
              <w:right w:type="dxa" w:w="120"/>
            </w:tcMar>
          </w:tcPr>
          <w:p>
            <w:r>
              <w:rPr>
                <w:sz w:val="20"/>
                <w:szCs w:val="20"/>
              </w:rPr>
              <w:t xml:space="preserve">Week 5 · Monday</w:t>
            </w:r>
          </w:p>
        </w:tc>
      </w:tr>
      <w:tr>
        <w:tc>
          <w:tcPr>
            <w:tcW w:type="dxa" w:w="3000"/>
            <w:shd w:fill="F5F4EF" w:val="clear"/>
            <w:tcMar>
              <w:top w:type="dxa" w:w="80"/>
              <w:left w:type="dxa" w:w="120"/>
              <w:bottom w:type="dxa" w:w="80"/>
              <w:right w:type="dxa" w:w="120"/>
            </w:tcMar>
          </w:tcPr>
          <w:p>
            <w:r>
              <w:rPr>
                <w:b/>
                <w:bCs/>
                <w:sz w:val="20"/>
                <w:szCs w:val="20"/>
              </w:rPr>
              <w:t xml:space="preserve">Mentor review</w:t>
            </w:r>
          </w:p>
        </w:tc>
        <w:tc>
          <w:tcPr>
            <w:tcW w:type="dxa" w:w="6500"/>
            <w:tcMar>
              <w:top w:type="dxa" w:w="80"/>
              <w:left w:type="dxa" w:w="120"/>
              <w:bottom w:type="dxa" w:w="80"/>
              <w:right w:type="dxa" w:w="120"/>
            </w:tcMar>
          </w:tcPr>
          <w:p>
            <w:r>
              <w:rPr>
                <w:sz w:val="20"/>
                <w:szCs w:val="20"/>
              </w:rPr>
              <w:t xml:space="preserve">Friday, no marks</w:t>
            </w:r>
          </w:p>
        </w:tc>
      </w:tr>
    </w:tbl>
    <w:p>
      <w:pPr>
        <w:spacing w:after="280"/>
      </w:pPr>
    </w:p>
    <w:p>
      <w:pPr>
        <w:pStyle w:val="Heading1"/>
        <w:spacing w:after="160" w:before="300"/>
      </w:pPr>
      <w:r>
        <w:t xml:space="preserve">What this week is about</w:t>
      </w:r>
    </w:p>
    <w:p>
      <w:pPr>
        <w:spacing w:after="160"/>
      </w:pPr>
      <w:r>
        <w:t xml:space="preserve">Your document app from last week works — but sometimes it's wrong. "Wrong sometimes" is useless to fix. This week you learn to tell apart the two kinds of wrong: the app fetched the wrong document, or it fetched the right one and still messed up the answer. They need completely different fixes.</w:t>
      </w:r>
    </w:p>
    <w:p>
      <w:pPr>
        <w:pStyle w:val="Heading1"/>
        <w:spacing w:after="160" w:before="300"/>
      </w:pPr>
      <w:r>
        <w:t xml:space="preserve">Why it matters</w:t>
      </w:r>
    </w:p>
    <w:p>
      <w:pPr>
        <w:spacing w:after="40" w:before="120"/>
      </w:pPr>
      <w:r>
        <w:rPr>
          <w:i/>
          <w:iCs/>
          <w:color w:val="333333"/>
        </w:rPr>
        <w:t xml:space="preserve">Why not just switch to a smarter AI model when it's wrong?</w:t>
      </w:r>
    </w:p>
    <w:p>
      <w:pPr>
        <w:spacing w:after="140"/>
      </w:pPr>
      <w:r>
        <w:t xml:space="preserve">If the problem is that the app fetched the wrong document, a smarter model changes nothing. You'd pay more and fix nothing.</w:t>
      </w:r>
    </w:p>
    <w:p>
      <w:pPr>
        <w:spacing w:after="40" w:before="120"/>
      </w:pPr>
      <w:r>
        <w:rPr>
          <w:i/>
          <w:iCs/>
          <w:color w:val="333333"/>
        </w:rPr>
        <w:t xml:space="preserve">What does "hybrid search" mean?</w:t>
      </w:r>
    </w:p>
    <w:p>
      <w:pPr>
        <w:spacing w:after="140"/>
      </w:pPr>
      <w:r>
        <w:t xml:space="preserve">Combining two ways of searching — by meaning and by exact words — so you catch both "what does the policy say" and exact codes like ERR-4032.</w:t>
      </w:r>
    </w:p>
    <w:p>
      <w:pPr>
        <w:spacing w:after="40" w:before="120"/>
      </w:pPr>
      <w:r>
        <w:rPr>
          <w:i/>
          <w:iCs/>
          <w:color w:val="333333"/>
        </w:rPr>
        <w:t xml:space="preserve">Why measure instead of eyeballing it?</w:t>
      </w:r>
    </w:p>
    <w:p>
      <w:pPr>
        <w:spacing w:after="140"/>
      </w:pPr>
      <w:r>
        <w:t xml:space="preserve">So you can prove a change actually helped, with a number, instead of a gut feeling.</w:t>
      </w:r>
    </w:p>
    <w:p>
      <w:pPr>
        <w:pStyle w:val="Heading1"/>
        <w:spacing w:after="160" w:before="300"/>
      </w:pPr>
      <w:r>
        <w:t xml:space="preserve">What you'll learn</w:t>
      </w:r>
    </w:p>
    <w:p>
      <w:pPr>
        <w:pStyle w:val="ListParagraph"/>
        <w:numPr>
          <w:ilvl w:val="0"/>
          <w:numId w:val="2"/>
        </w:numPr>
        <w:spacing w:after="80"/>
      </w:pPr>
      <w:r>
        <w:t xml:space="preserve">The two kinds of failure: fetched the wrong document, vs. fetched the right one and answered badly</w:t>
      </w:r>
    </w:p>
    <w:p>
      <w:pPr>
        <w:pStyle w:val="ListParagraph"/>
        <w:numPr>
          <w:ilvl w:val="0"/>
          <w:numId w:val="2"/>
        </w:numPr>
        <w:spacing w:after="80"/>
      </w:pPr>
      <w:r>
        <w:t xml:space="preserve">Building a simple view that shows the question, what was fetched, and the final answer side by side</w:t>
      </w:r>
    </w:p>
    <w:p>
      <w:pPr>
        <w:pStyle w:val="ListParagraph"/>
        <w:numPr>
          <w:ilvl w:val="0"/>
          <w:numId w:val="2"/>
        </w:numPr>
        <w:spacing w:after="80"/>
      </w:pPr>
      <w:r>
        <w:t xml:space="preserve">Adding keyword search alongside meaning search, so exact terms (codes, names, IDs) aren't missed</w:t>
      </w:r>
    </w:p>
    <w:p>
      <w:pPr>
        <w:pStyle w:val="ListParagraph"/>
        <w:numPr>
          <w:ilvl w:val="0"/>
          <w:numId w:val="2"/>
        </w:numPr>
        <w:spacing w:after="80"/>
      </w:pPr>
      <w:r>
        <w:t xml:space="preserve">"Reranking": a second pass that pushes the best result to the top</w:t>
      </w:r>
    </w:p>
    <w:p>
      <w:pPr>
        <w:pStyle w:val="ListParagraph"/>
        <w:numPr>
          <w:ilvl w:val="0"/>
          <w:numId w:val="2"/>
        </w:numPr>
        <w:spacing w:after="80"/>
      </w:pPr>
      <w:r>
        <w:t xml:space="preserve">Rewriting a user's messy question into a better search</w:t>
      </w:r>
    </w:p>
    <w:p>
      <w:pPr>
        <w:pStyle w:val="ListParagraph"/>
        <w:numPr>
          <w:ilvl w:val="0"/>
          <w:numId w:val="2"/>
        </w:numPr>
        <w:spacing w:after="80"/>
      </w:pPr>
      <w:r>
        <w:t xml:space="preserve">Measuring "did the right document show up?" as a number, before and after your change</w:t>
      </w:r>
    </w:p>
    <w:p>
      <w:pPr>
        <w:spacing w:after="80"/>
      </w:pPr>
    </w:p>
    <w:p>
      <w:pPr>
        <w:pStyle w:val="Heading1"/>
        <w:spacing w:after="160" w:before="300"/>
      </w:pPr>
      <w:r>
        <w:t xml:space="preserve">Topics covered — the exact concepts to study</w:t>
      </w:r>
    </w:p>
    <w:p>
      <w:pPr>
        <w:spacing w:after="200"/>
      </w:pPr>
      <w:r>
        <w:rPr>
          <w:color w:val="333333"/>
          <w:sz w:val="20"/>
          <w:szCs w:val="20"/>
        </w:rPr>
        <w:t xml:space="preserve">Retrieval vs generation failures  ·  The inspection view  ·  Keyword search (BM25)  ·  Keyword vs semantic search  ·  Hybrid search (RRF fusion)  ·  Reranking (cross-encoder)  ·  Cohere Rerank / BGE-Reranker  ·  MMR  ·  Query rewriting  ·  HyDE  ·  hit-rate@k, recall@k, MRR</w:t>
      </w:r>
    </w:p>
    <w:p>
      <w:pPr>
        <w:pStyle w:val="Heading1"/>
        <w:spacing w:after="160" w:before="300"/>
      </w:pPr>
      <w:r>
        <w:t xml:space="preserve">Your task this week</w:t>
      </w:r>
    </w:p>
    <w:p>
      <w:pPr>
        <w:spacing w:after="120"/>
      </w:pPr>
      <w:r>
        <w:rPr>
          <w:b/>
          <w:bCs/>
          <w:color w:val="6B6B63"/>
          <w:sz w:val="20"/>
          <w:szCs w:val="20"/>
        </w:rPr>
        <w:t xml:space="preserve">Evaluated Week 5 · Monday</w:t>
      </w:r>
    </w:p>
    <w:p>
      <w:pPr>
        <w:spacing w:after="160"/>
      </w:pPr>
      <w:r>
        <w:t xml:space="preserve">Take a set of failing questions and sort each one into "wrong document fetched" or "right document, wrong answer." Then make one improvement, and measure whether the right document now shows up more often — with a before-and-after number.</w:t>
      </w:r>
    </w:p>
    <w:p>
      <w:pPr>
        <w:spacing w:after="80"/>
      </w:pPr>
    </w:p>
    <w:tbl>
      <w:tblPr>
        <w:tblW w:type="pct" w:w="100%"/>
        <w:tblBorders>
          <w:top w:val="single" w:color="D8D5CC" w:sz="2"/>
          <w:left w:val="single" w:color="D8D5CC" w:sz="2"/>
          <w:bottom w:val="single" w:color="D8D5CC" w:sz="2"/>
          <w:right w:val="single" w:color="D8D5CC" w:sz="2"/>
          <w:insideH w:val="none"/>
          <w:insideV w:val="single" w:color="D8D5CC" w:sz="2"/>
        </w:tblBorders>
      </w:tblPr>
      <w:tblGrid>
        <w:gridCol w:w="700"/>
        <w:gridCol w:w="2400"/>
        <w:gridCol w:w="6400"/>
      </w:tblGrid>
      <w:tr>
        <w:tc>
          <w:tcPr>
            <w:tcW w:type="dxa" w:w="700"/>
            <w:shd w:fill="F5F4EF" w:val="clear"/>
            <w:tcMar>
              <w:top w:type="dxa" w:w="100"/>
              <w:left w:type="dxa" w:w="80"/>
              <w:bottom w:type="dxa" w:w="100"/>
              <w:right w:type="dxa" w:w="80"/>
            </w:tcMar>
          </w:tcPr>
          <w:p>
            <w:pPr>
              <w:jc w:val="center"/>
            </w:pPr>
            <w:r>
              <w:rPr>
                <w:b/>
                <w:bCs/>
                <w:color w:val="1F6F50"/>
              </w:rPr>
              <w:t xml:space="preserve">A</w:t>
            </w:r>
          </w:p>
        </w:tc>
        <w:tc>
          <w:tcPr>
            <w:tcW w:type="dxa" w:w="2400"/>
            <w:tcMar>
              <w:top w:type="dxa" w:w="100"/>
              <w:left w:type="dxa" w:w="120"/>
              <w:bottom w:type="dxa" w:w="100"/>
              <w:right w:type="dxa" w:w="80"/>
            </w:tcMar>
          </w:tcPr>
          <w:p>
            <w:r>
              <w:rPr>
                <w:b/>
                <w:bCs/>
              </w:rPr>
              <w:t xml:space="preserve">Customer support tickets</w:t>
            </w:r>
          </w:p>
        </w:tc>
        <w:tc>
          <w:tcPr>
            <w:tcW w:type="dxa" w:w="6400"/>
            <w:tcMar>
              <w:top w:type="dxa" w:w="100"/>
              <w:left w:type="dxa" w:w="120"/>
              <w:bottom w:type="dxa" w:w="100"/>
              <w:right w:type="dxa" w:w="120"/>
            </w:tcMar>
          </w:tcPr>
          <w:p>
            <w:r>
              <w:rPr>
                <w:i/>
                <w:iCs/>
                <w:color w:val="444444"/>
              </w:rPr>
              <w:t xml:space="preserve">Label the failures, then buy back hit-rate@3 with exactly one change</w:t>
            </w:r>
          </w:p>
        </w:tc>
      </w:tr>
    </w:tbl>
    <w:p>
      <w:pPr>
        <w:spacing w:after="40"/>
      </w:pPr>
    </w:p>
    <w:tbl>
      <w:tblPr>
        <w:tblW w:type="pct" w:w="100%"/>
        <w:tblBorders>
          <w:top w:val="single" w:color="D8D5CC" w:sz="2"/>
          <w:left w:val="single" w:color="D8D5CC" w:sz="2"/>
          <w:bottom w:val="single" w:color="D8D5CC" w:sz="2"/>
          <w:right w:val="single" w:color="D8D5CC" w:sz="2"/>
          <w:insideH w:val="none"/>
          <w:insideV w:val="single" w:color="D8D5CC" w:sz="2"/>
        </w:tblBorders>
      </w:tblPr>
      <w:tblGrid>
        <w:gridCol w:w="700"/>
        <w:gridCol w:w="2400"/>
        <w:gridCol w:w="6400"/>
      </w:tblGrid>
      <w:tr>
        <w:tc>
          <w:tcPr>
            <w:tcW w:type="dxa" w:w="700"/>
            <w:shd w:fill="F5F4EF" w:val="clear"/>
            <w:tcMar>
              <w:top w:type="dxa" w:w="100"/>
              <w:left w:type="dxa" w:w="80"/>
              <w:bottom w:type="dxa" w:w="100"/>
              <w:right w:type="dxa" w:w="80"/>
            </w:tcMar>
          </w:tcPr>
          <w:p>
            <w:pPr>
              <w:jc w:val="center"/>
            </w:pPr>
            <w:r>
              <w:rPr>
                <w:b/>
                <w:bCs/>
                <w:color w:val="1F6F50"/>
              </w:rPr>
              <w:t xml:space="preserve">B</w:t>
            </w:r>
          </w:p>
        </w:tc>
        <w:tc>
          <w:tcPr>
            <w:tcW w:type="dxa" w:w="2400"/>
            <w:tcMar>
              <w:top w:type="dxa" w:w="100"/>
              <w:left w:type="dxa" w:w="120"/>
              <w:bottom w:type="dxa" w:w="100"/>
              <w:right w:type="dxa" w:w="80"/>
            </w:tcMar>
          </w:tcPr>
          <w:p>
            <w:r>
              <w:rPr>
                <w:b/>
                <w:bCs/>
              </w:rPr>
              <w:t xml:space="preserve">Recipes &amp; food</w:t>
            </w:r>
          </w:p>
        </w:tc>
        <w:tc>
          <w:tcPr>
            <w:tcW w:type="dxa" w:w="6400"/>
            <w:tcMar>
              <w:top w:type="dxa" w:w="100"/>
              <w:left w:type="dxa" w:w="120"/>
              <w:bottom w:type="dxa" w:w="100"/>
              <w:right w:type="dxa" w:w="120"/>
            </w:tcMar>
          </w:tcPr>
          <w:p>
            <w:r>
              <w:rPr>
                <w:i/>
                <w:iCs/>
                <w:color w:val="444444"/>
              </w:rPr>
              <w:t xml:space="preserve">Label the failures, then buy back hit-rate@3 with exactly one change</w:t>
            </w:r>
          </w:p>
        </w:tc>
      </w:tr>
    </w:tbl>
    <w:p>
      <w:pPr>
        <w:spacing w:after="40"/>
      </w:pPr>
    </w:p>
    <w:tbl>
      <w:tblPr>
        <w:tblW w:type="pct" w:w="100%"/>
        <w:tblBorders>
          <w:top w:val="single" w:color="D8D5CC" w:sz="2"/>
          <w:left w:val="single" w:color="D8D5CC" w:sz="2"/>
          <w:bottom w:val="single" w:color="D8D5CC" w:sz="2"/>
          <w:right w:val="single" w:color="D8D5CC" w:sz="2"/>
          <w:insideH w:val="none"/>
          <w:insideV w:val="single" w:color="D8D5CC" w:sz="2"/>
        </w:tblBorders>
      </w:tblPr>
      <w:tblGrid>
        <w:gridCol w:w="700"/>
        <w:gridCol w:w="2400"/>
        <w:gridCol w:w="6400"/>
      </w:tblGrid>
      <w:tr>
        <w:tc>
          <w:tcPr>
            <w:tcW w:type="dxa" w:w="700"/>
            <w:shd w:fill="F5F4EF" w:val="clear"/>
            <w:tcMar>
              <w:top w:type="dxa" w:w="100"/>
              <w:left w:type="dxa" w:w="80"/>
              <w:bottom w:type="dxa" w:w="100"/>
              <w:right w:type="dxa" w:w="80"/>
            </w:tcMar>
          </w:tcPr>
          <w:p>
            <w:pPr>
              <w:jc w:val="center"/>
            </w:pPr>
            <w:r>
              <w:rPr>
                <w:b/>
                <w:bCs/>
                <w:color w:val="1F6F50"/>
              </w:rPr>
              <w:t xml:space="preserve">C</w:t>
            </w:r>
          </w:p>
        </w:tc>
        <w:tc>
          <w:tcPr>
            <w:tcW w:type="dxa" w:w="2400"/>
            <w:tcMar>
              <w:top w:type="dxa" w:w="100"/>
              <w:left w:type="dxa" w:w="120"/>
              <w:bottom w:type="dxa" w:w="100"/>
              <w:right w:type="dxa" w:w="80"/>
            </w:tcMar>
          </w:tcPr>
          <w:p>
            <w:r>
              <w:rPr>
                <w:b/>
                <w:bCs/>
              </w:rPr>
              <w:t xml:space="preserve">HR policy</w:t>
            </w:r>
          </w:p>
        </w:tc>
        <w:tc>
          <w:tcPr>
            <w:tcW w:type="dxa" w:w="6400"/>
            <w:tcMar>
              <w:top w:type="dxa" w:w="100"/>
              <w:left w:type="dxa" w:w="120"/>
              <w:bottom w:type="dxa" w:w="100"/>
              <w:right w:type="dxa" w:w="120"/>
            </w:tcMar>
          </w:tcPr>
          <w:p>
            <w:r>
              <w:rPr>
                <w:i/>
                <w:iCs/>
                <w:color w:val="444444"/>
              </w:rPr>
              <w:t xml:space="preserve">Label the failures, then buy back hit-rate@3 with exactly one change</w:t>
            </w:r>
          </w:p>
        </w:tc>
      </w:tr>
    </w:tbl>
    <w:p>
      <w:pPr>
        <w:spacing w:after="40"/>
      </w:pPr>
    </w:p>
    <w:tbl>
      <w:tblPr>
        <w:tblW w:type="pct" w:w="100%"/>
        <w:tblBorders>
          <w:top w:val="single" w:color="D8D5CC" w:sz="2"/>
          <w:left w:val="single" w:color="D8D5CC" w:sz="2"/>
          <w:bottom w:val="single" w:color="D8D5CC" w:sz="2"/>
          <w:right w:val="single" w:color="D8D5CC" w:sz="2"/>
          <w:insideH w:val="none"/>
          <w:insideV w:val="single" w:color="D8D5CC" w:sz="2"/>
        </w:tblBorders>
      </w:tblPr>
      <w:tblGrid>
        <w:gridCol w:w="700"/>
        <w:gridCol w:w="2400"/>
        <w:gridCol w:w="6400"/>
      </w:tblGrid>
      <w:tr>
        <w:tc>
          <w:tcPr>
            <w:tcW w:type="dxa" w:w="700"/>
            <w:shd w:fill="F5F4EF" w:val="clear"/>
            <w:tcMar>
              <w:top w:type="dxa" w:w="100"/>
              <w:left w:type="dxa" w:w="80"/>
              <w:bottom w:type="dxa" w:w="100"/>
              <w:right w:type="dxa" w:w="80"/>
            </w:tcMar>
          </w:tcPr>
          <w:p>
            <w:pPr>
              <w:jc w:val="center"/>
            </w:pPr>
            <w:r>
              <w:rPr>
                <w:b/>
                <w:bCs/>
                <w:color w:val="1F6F50"/>
              </w:rPr>
              <w:t xml:space="preserve">D</w:t>
            </w:r>
          </w:p>
        </w:tc>
        <w:tc>
          <w:tcPr>
            <w:tcW w:type="dxa" w:w="2400"/>
            <w:tcMar>
              <w:top w:type="dxa" w:w="100"/>
              <w:left w:type="dxa" w:w="120"/>
              <w:bottom w:type="dxa" w:w="100"/>
              <w:right w:type="dxa" w:w="80"/>
            </w:tcMar>
          </w:tcPr>
          <w:p>
            <w:r>
              <w:rPr>
                <w:b/>
                <w:bCs/>
              </w:rPr>
              <w:t xml:space="preserve">Insurance claims</w:t>
            </w:r>
          </w:p>
        </w:tc>
        <w:tc>
          <w:tcPr>
            <w:tcW w:type="dxa" w:w="6400"/>
            <w:tcMar>
              <w:top w:type="dxa" w:w="100"/>
              <w:left w:type="dxa" w:w="120"/>
              <w:bottom w:type="dxa" w:w="100"/>
              <w:right w:type="dxa" w:w="120"/>
            </w:tcMar>
          </w:tcPr>
          <w:p>
            <w:r>
              <w:rPr>
                <w:i/>
                <w:iCs/>
                <w:color w:val="444444"/>
              </w:rPr>
              <w:t xml:space="preserve">Label the failures, then buy back hit-rate@3 with exactly one change</w:t>
            </w:r>
          </w:p>
        </w:tc>
      </w:tr>
    </w:tbl>
    <w:p>
      <w:pPr>
        <w:spacing w:after="40"/>
      </w:pPr>
    </w:p>
    <w:tbl>
      <w:tblPr>
        <w:tblW w:type="pct" w:w="100%"/>
        <w:tblBorders>
          <w:top w:val="single" w:color="D8D5CC" w:sz="2"/>
          <w:left w:val="single" w:color="D8D5CC" w:sz="2"/>
          <w:bottom w:val="single" w:color="D8D5CC" w:sz="2"/>
          <w:right w:val="single" w:color="D8D5CC" w:sz="2"/>
          <w:insideH w:val="none"/>
          <w:insideV w:val="single" w:color="D8D5CC" w:sz="2"/>
        </w:tblBorders>
      </w:tblPr>
      <w:tblGrid>
        <w:gridCol w:w="700"/>
        <w:gridCol w:w="2400"/>
        <w:gridCol w:w="6400"/>
      </w:tblGrid>
      <w:tr>
        <w:tc>
          <w:tcPr>
            <w:tcW w:type="dxa" w:w="700"/>
            <w:shd w:fill="F5F4EF" w:val="clear"/>
            <w:tcMar>
              <w:top w:type="dxa" w:w="100"/>
              <w:left w:type="dxa" w:w="80"/>
              <w:bottom w:type="dxa" w:w="100"/>
              <w:right w:type="dxa" w:w="80"/>
            </w:tcMar>
          </w:tcPr>
          <w:p>
            <w:pPr>
              <w:jc w:val="center"/>
            </w:pPr>
            <w:r>
              <w:rPr>
                <w:b/>
                <w:bCs/>
                <w:color w:val="1F6F50"/>
              </w:rPr>
              <w:t xml:space="preserve">E</w:t>
            </w:r>
          </w:p>
        </w:tc>
        <w:tc>
          <w:tcPr>
            <w:tcW w:type="dxa" w:w="2400"/>
            <w:tcMar>
              <w:top w:type="dxa" w:w="100"/>
              <w:left w:type="dxa" w:w="120"/>
              <w:bottom w:type="dxa" w:w="100"/>
              <w:right w:type="dxa" w:w="80"/>
            </w:tcMar>
          </w:tcPr>
          <w:p>
            <w:r>
              <w:rPr>
                <w:b/>
                <w:bCs/>
              </w:rPr>
              <w:t xml:space="preserve">Developer documentation</w:t>
            </w:r>
          </w:p>
        </w:tc>
        <w:tc>
          <w:tcPr>
            <w:tcW w:type="dxa" w:w="6400"/>
            <w:tcMar>
              <w:top w:type="dxa" w:w="100"/>
              <w:left w:type="dxa" w:w="120"/>
              <w:bottom w:type="dxa" w:w="100"/>
              <w:right w:type="dxa" w:w="120"/>
            </w:tcMar>
          </w:tcPr>
          <w:p>
            <w:r>
              <w:rPr>
                <w:i/>
                <w:iCs/>
                <w:color w:val="444444"/>
              </w:rPr>
              <w:t xml:space="preserve">Label the failures, then buy back hit-rate@3 with exactly one change</w:t>
            </w:r>
          </w:p>
        </w:tc>
      </w:tr>
    </w:tbl>
    <w:p>
      <w:pPr>
        <w:spacing w:after="40"/>
      </w:pPr>
    </w:p>
    <w:tbl>
      <w:tblPr>
        <w:tblW w:type="pct" w:w="100%"/>
        <w:tblBorders>
          <w:top w:val="single" w:color="D8D5CC" w:sz="2"/>
          <w:left w:val="single" w:color="D8D5CC" w:sz="2"/>
          <w:bottom w:val="single" w:color="D8D5CC" w:sz="2"/>
          <w:right w:val="single" w:color="D8D5CC" w:sz="2"/>
          <w:insideH w:val="none"/>
          <w:insideV w:val="single" w:color="D8D5CC" w:sz="2"/>
        </w:tblBorders>
      </w:tblPr>
      <w:tblGrid>
        <w:gridCol w:w="700"/>
        <w:gridCol w:w="2400"/>
        <w:gridCol w:w="6400"/>
      </w:tblGrid>
      <w:tr>
        <w:tc>
          <w:tcPr>
            <w:tcW w:type="dxa" w:w="700"/>
            <w:shd w:fill="F5F4EF" w:val="clear"/>
            <w:tcMar>
              <w:top w:type="dxa" w:w="100"/>
              <w:left w:type="dxa" w:w="80"/>
              <w:bottom w:type="dxa" w:w="100"/>
              <w:right w:type="dxa" w:w="80"/>
            </w:tcMar>
          </w:tcPr>
          <w:p>
            <w:pPr>
              <w:jc w:val="center"/>
            </w:pPr>
            <w:r>
              <w:rPr>
                <w:b/>
                <w:bCs/>
                <w:color w:val="1F6F50"/>
              </w:rPr>
              <w:t xml:space="preserve">F</w:t>
            </w:r>
          </w:p>
        </w:tc>
        <w:tc>
          <w:tcPr>
            <w:tcW w:type="dxa" w:w="2400"/>
            <w:tcMar>
              <w:top w:type="dxa" w:w="100"/>
              <w:left w:type="dxa" w:w="120"/>
              <w:bottom w:type="dxa" w:w="100"/>
              <w:right w:type="dxa" w:w="80"/>
            </w:tcMar>
          </w:tcPr>
          <w:p>
            <w:r>
              <w:rPr>
                <w:b/>
                <w:bCs/>
              </w:rPr>
              <w:t xml:space="preserve">Legal contracts</w:t>
            </w:r>
          </w:p>
        </w:tc>
        <w:tc>
          <w:tcPr>
            <w:tcW w:type="dxa" w:w="6400"/>
            <w:tcMar>
              <w:top w:type="dxa" w:w="100"/>
              <w:left w:type="dxa" w:w="120"/>
              <w:bottom w:type="dxa" w:w="100"/>
              <w:right w:type="dxa" w:w="120"/>
            </w:tcMar>
          </w:tcPr>
          <w:p>
            <w:r>
              <w:rPr>
                <w:i/>
                <w:iCs/>
                <w:color w:val="444444"/>
              </w:rPr>
              <w:t xml:space="preserve">Label the failures, then buy back hit-rate@3 with exactly one change</w:t>
            </w:r>
          </w:p>
        </w:tc>
      </w:tr>
    </w:tbl>
    <w:p>
      <w:pPr>
        <w:spacing w:after="40"/>
      </w:pPr>
    </w:p>
    <w:p>
      <w:pPr>
        <w:spacing w:after="60"/>
      </w:pPr>
    </w:p>
    <w:p>
      <w:pPr>
        <w:spacing w:after="280"/>
      </w:pPr>
      <w:r>
        <w:rPr>
          <w:i/>
          <w:iCs/>
          <w:color w:val="6B6B63"/>
          <w:sz w:val="20"/>
          <w:szCs w:val="20"/>
        </w:rPr>
        <w:t xml:space="preserve">Same task, six different topics — so everyone works on their own version. Download whichever you're assigned.</w:t>
      </w:r>
    </w:p>
    <w:p>
      <w:pPr>
        <w:pStyle w:val="Heading1"/>
        <w:spacing w:after="160" w:before="300"/>
      </w:pPr>
      <w:r>
        <w:t xml:space="preserve">How your mentor checks</w:t>
      </w:r>
    </w:p>
    <w:p>
      <w:pPr>
        <w:spacing w:after="120"/>
      </w:pPr>
      <w:r>
        <w:rPr>
          <w:b/>
          <w:bCs/>
          <w:color w:val="6B6B63"/>
          <w:sz w:val="20"/>
          <w:szCs w:val="20"/>
        </w:rPr>
        <w:t xml:space="preserve">Friday · no marks</w:t>
      </w:r>
    </w:p>
    <w:p>
      <w:pPr>
        <w:spacing w:after="160"/>
      </w:pPr>
      <w:r>
        <w:t xml:space="preserve">A quick review of your task. Not a test — just a few things your mentor looks at, so you can fix anything before Monday.</w:t>
      </w:r>
    </w:p>
    <w:p>
      <w:pPr>
        <w:pStyle w:val="ListParagraph"/>
        <w:numPr>
          <w:ilvl w:val="0"/>
          <w:numId w:val="2"/>
        </w:numPr>
        <w:spacing w:after="80"/>
      </w:pPr>
      <w:r>
        <w:t xml:space="preserve">Can they show, for a specific failure, which of the two kinds it is — with evidence?</w:t>
      </w:r>
    </w:p>
    <w:p>
      <w:pPr>
        <w:pStyle w:val="ListParagraph"/>
        <w:numPr>
          <w:ilvl w:val="0"/>
          <w:numId w:val="2"/>
        </w:numPr>
        <w:spacing w:after="80"/>
      </w:pPr>
      <w:r>
        <w:t xml:space="preserve">Did they make one change (not five) so they know what actually helped?</w:t>
      </w:r>
    </w:p>
    <w:p>
      <w:pPr>
        <w:pStyle w:val="ListParagraph"/>
        <w:numPr>
          <w:ilvl w:val="0"/>
          <w:numId w:val="2"/>
        </w:numPr>
        <w:spacing w:after="80"/>
      </w:pPr>
      <w:r>
        <w:t xml:space="preserve">Is there a before-and-after number, not just "it feels better"?</w:t>
      </w:r>
    </w:p>
    <w:p>
      <w:pPr>
        <w:pStyle w:val="ListParagraph"/>
        <w:numPr>
          <w:ilvl w:val="0"/>
          <w:numId w:val="2"/>
        </w:numPr>
        <w:spacing w:after="80"/>
      </w:pPr>
      <w:r>
        <w:t xml:space="preserve">Did they notice which failures their change did NOT fix?</w:t>
      </w:r>
    </w:p>
    <w:p>
      <w:pPr>
        <w:spacing w:after="240"/>
      </w:pPr>
    </w:p>
    <w:p>
      <w:pPr>
        <w:jc w:val="center"/>
      </w:pPr>
      <w:r>
        <w:rPr>
          <w:color w:val="6B6B63"/>
          <w:sz w:val="16"/>
          <w:szCs w:val="16"/>
        </w:rPr>
        <w:t xml:space="preserve">Soft Suave · The AI Engineering League</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D8D5CC" w:sz="6" w:space="6"/>
      </w:pBdr>
      <w:spacing w:after="140" w:before="280"/>
    </w:pPr>
    <w:rPr>
      <w:b/>
      <w:bCs/>
      <w:color w:val="14432F"/>
      <w:sz w:val="28"/>
      <w:szCs w:val="28"/>
    </w:rPr>
  </w:style>
  <w:style w:type="paragraph" w:styleId="Heading2">
    <w:name w:val="Heading 2"/>
    <w:basedOn w:val="Normal"/>
    <w:next w:val="Normal"/>
    <w:pPr>
      <w:spacing w:after="100" w:before="220"/>
    </w:pPr>
    <w:rP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2026-08-07T10:30:24.022Z</dcterms:created>
  <dcterms:modified xsi:type="dcterms:W3CDTF">2026-08-07T10:30:24.035Z</dcterms:modified>
</cp:coreProperties>
</file>

<file path=docProps/custom.xml><?xml version="1.0" encoding="utf-8"?>
<Properties xmlns="http://schemas.openxmlformats.org/officeDocument/2006/custom-properties" xmlns:vt="http://schemas.openxmlformats.org/officeDocument/2006/docPropsVTypes"/>
</file>