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rFonts w:ascii="Arial" w:cs="Arial" w:eastAsia="Arial" w:hAnsi="Arial"/>
          <w:b/>
          <w:bCs/>
          <w:color w:val="00D26A"/>
          <w:sz w:val="48"/>
          <w:szCs w:val="48"/>
        </w:rPr>
        <w:t xml:space="preserve">SECRET SANTA APP</w:t>
      </w:r>
    </w:p>
    <w:p>
      <w:pPr>
        <w:spacing w:before="240" w:after="480"/>
        <w:jc w:val="center"/>
      </w:pPr>
      <w:r>
        <w:rPr>
          <w:rFonts w:ascii="Arial" w:cs="Arial" w:eastAsia="Arial" w:hAnsi="Arial"/>
          <w:color w:val="1A1A1A"/>
          <w:sz w:val="32"/>
          <w:szCs w:val="32"/>
        </w:rPr>
        <w:t xml:space="preserve">Complete Design System &amp; Style Guide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Building Modern Collaborative Financial Apps</w:t>
      </w:r>
    </w:p>
    <w:p>
      <w:pPr>
        <w:spacing w:before="144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1.0 • January 2026</w:t>
      </w:r>
    </w:p>
    <w:p>
      <w:r>
        <w:br w:type="page"/>
      </w:r>
    </w:p>
    <w:p>
      <w:pPr>
        <w:pStyle w:val="Heading1"/>
      </w:pPr>
      <w:r>
        <w:t xml:space="preserve">1. Design Philosophy</w:t>
      </w:r>
    </w:p>
    <w:p>
      <w:pPr>
        <w:spacing w:after="240"/>
      </w:pPr>
      <w:r>
        <w:rPr>
          <w:sz w:val="24"/>
          <w:szCs w:val="24"/>
        </w:rPr>
        <w:t xml:space="preserve">This design system powers collaborative financial applications where groups coordinate expenses, budgets, gifts, and events. The style emphasizes clarity, trust, and optimism through a clean, modern aesthetic centered on a vibrant green color (#00D26A).</w:t>
      </w:r>
    </w:p>
    <w:p>
      <w:pPr>
        <w:pStyle w:val="Heading2"/>
      </w:pPr>
      <w:r>
        <w:t xml:space="preserve">Core Principles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Clarity First: </w:t>
      </w:r>
      <w:r>
        <w:rPr>
          <w:sz w:val="24"/>
          <w:szCs w:val="24"/>
        </w:rPr>
        <w:t xml:space="preserve">Financial information must be immediately understandable with clear hierarchy, generous whitespace, and strong visual contrast.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Collaborative by Nature: </w:t>
      </w:r>
      <w:r>
        <w:rPr>
          <w:sz w:val="24"/>
          <w:szCs w:val="24"/>
        </w:rPr>
        <w:t xml:space="preserve">Design for groups. Show participant avatars, shared budgets, and group activities prominently.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Optimistic &amp; Approachable: </w:t>
      </w:r>
      <w:r>
        <w:rPr>
          <w:sz w:val="24"/>
          <w:szCs w:val="24"/>
        </w:rPr>
        <w:t xml:space="preserve">Use vibrant green to convey growth, positivity, and action. Avoid sterile banking aesthetics.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Mobile-First: </w:t>
      </w:r>
      <w:r>
        <w:rPr>
          <w:sz w:val="24"/>
          <w:szCs w:val="24"/>
        </w:rPr>
        <w:t xml:space="preserve">Design for mobile screens first. All interactive elements must meet 44×44px minimum touch targets.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Card-Based Layout: </w:t>
      </w:r>
      <w:r>
        <w:rPr>
          <w:sz w:val="24"/>
          <w:szCs w:val="24"/>
        </w:rPr>
        <w:t xml:space="preserve">Present information through cards with rounded corners, subtle shadows, and clear visual hierarchies.</w:t>
      </w:r>
    </w:p>
    <w:p>
      <w:r>
        <w:br w:type="page"/>
      </w:r>
    </w:p>
    <w:p>
      <w:pPr>
        <w:pStyle w:val="Heading1"/>
      </w:pPr>
      <w:r>
        <w:t xml:space="preserve">2. Color System</w:t>
      </w:r>
    </w:p>
    <w:p>
      <w:pPr>
        <w:spacing w:after="360"/>
      </w:pPr>
      <w:r>
        <w:rPr>
          <w:sz w:val="24"/>
          <w:szCs w:val="24"/>
        </w:rPr>
        <w:t xml:space="preserve">The color palette is intentionally limited to maintain clarity and consistency. Every color serves a specific purpose.</w:t>
      </w:r>
    </w:p>
    <w:p>
      <w:pPr>
        <w:pStyle w:val="Heading2"/>
      </w:pPr>
      <w:r>
        <w:t xml:space="preserve">Primary Colors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00D26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sz w:val="1"/>
                <w:szCs w:val="1"/>
              </w:rPr>
              <w:t xml:space="preserve"> </w:t>
            </w:r>
          </w:p>
        </w:tc>
        <w:tc>
          <w:tcPr>
            <w:tcW w:type="dxa" w:w="7020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A1A1A"/>
                <w:sz w:val="26"/>
                <w:szCs w:val="26"/>
              </w:rPr>
              <w:t xml:space="preserve">Primary Green</w:t>
            </w:r>
          </w:p>
          <w:p>
            <w:r>
              <w:rPr>
                <w:color w:val="666666"/>
                <w:sz w:val="22"/>
                <w:szCs w:val="22"/>
              </w:rPr>
              <w:t xml:space="preserve">#00D26A • RGB(0, 210, 106)</w:t>
            </w:r>
          </w:p>
          <w:p>
            <w:pPr>
              <w:spacing w:before="120"/>
            </w:pPr>
            <w:r>
              <w:rPr>
                <w:b/>
                <w:bCs/>
                <w:sz w:val="22"/>
                <w:szCs w:val="22"/>
              </w:rPr>
              <w:t xml:space="preserve">Usage: </w:t>
            </w:r>
            <w:r>
              <w:rPr>
                <w:sz w:val="22"/>
                <w:szCs w:val="22"/>
              </w:rPr>
              <w:t xml:space="preserve">Primary CTAs, active states, success indicators, key highlights, confirmation buttons</w:t>
            </w:r>
          </w:p>
        </w:tc>
      </w:tr>
    </w:tbl>
    <w:p>
      <w:pPr>
        <w:spacing w:before="2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E8FFF4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sz w:val="1"/>
                <w:szCs w:val="1"/>
              </w:rPr>
              <w:t xml:space="preserve"> </w:t>
            </w:r>
          </w:p>
        </w:tc>
        <w:tc>
          <w:tcPr>
            <w:tcW w:type="dxa" w:w="7020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A1A1A"/>
                <w:sz w:val="26"/>
                <w:szCs w:val="26"/>
              </w:rPr>
              <w:t xml:space="preserve">Light Green</w:t>
            </w:r>
          </w:p>
          <w:p>
            <w:r>
              <w:rPr>
                <w:color w:val="666666"/>
                <w:sz w:val="22"/>
                <w:szCs w:val="22"/>
              </w:rPr>
              <w:t xml:space="preserve">#E8FFF4 • RGB(232, 255, 244)</w:t>
            </w:r>
          </w:p>
          <w:p>
            <w:pPr>
              <w:spacing w:before="120"/>
            </w:pPr>
            <w:r>
              <w:rPr>
                <w:b/>
                <w:bCs/>
                <w:sz w:val="22"/>
                <w:szCs w:val="22"/>
              </w:rPr>
              <w:t xml:space="preserve">Usage: </w:t>
            </w:r>
            <w:r>
              <w:rPr>
                <w:sz w:val="22"/>
                <w:szCs w:val="22"/>
              </w:rPr>
              <w:t xml:space="preserve">Subtle backgrounds, hover states, success message backgrounds</w:t>
            </w:r>
          </w:p>
        </w:tc>
      </w:tr>
    </w:tbl>
    <w:p>
      <w:pPr>
        <w:spacing w:before="360"/>
      </w:pPr>
    </w:p>
    <w:p>
      <w:pPr>
        <w:pStyle w:val="Heading2"/>
      </w:pPr>
      <w:r>
        <w:t xml:space="preserve">Neutral Colors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1A1A1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sz w:val="1"/>
                <w:szCs w:val="1"/>
              </w:rPr>
              <w:t xml:space="preserve"> </w:t>
            </w:r>
          </w:p>
        </w:tc>
        <w:tc>
          <w:tcPr>
            <w:tcW w:type="dxa" w:w="7020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A1A1A"/>
                <w:sz w:val="26"/>
                <w:szCs w:val="26"/>
              </w:rPr>
              <w:t xml:space="preserve">Dark Gray</w:t>
            </w:r>
          </w:p>
          <w:p>
            <w:r>
              <w:rPr>
                <w:color w:val="666666"/>
                <w:sz w:val="22"/>
                <w:szCs w:val="22"/>
              </w:rPr>
              <w:t xml:space="preserve">#1A1A1A • RGB(26, 26, 26)</w:t>
            </w:r>
          </w:p>
          <w:p>
            <w:pPr>
              <w:spacing w:before="120"/>
            </w:pPr>
            <w:r>
              <w:rPr>
                <w:b/>
                <w:bCs/>
                <w:sz w:val="22"/>
                <w:szCs w:val="22"/>
              </w:rPr>
              <w:t xml:space="preserve">Usage: </w:t>
            </w:r>
            <w:r>
              <w:rPr>
                <w:sz w:val="22"/>
                <w:szCs w:val="22"/>
              </w:rPr>
              <w:t xml:space="preserve">Primary text, headings, high-emphasis content</w:t>
            </w:r>
          </w:p>
        </w:tc>
      </w:tr>
    </w:tbl>
    <w:p>
      <w:pPr>
        <w:spacing w:before="2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666666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sz w:val="1"/>
                <w:szCs w:val="1"/>
              </w:rPr>
              <w:t xml:space="preserve"> </w:t>
            </w:r>
          </w:p>
        </w:tc>
        <w:tc>
          <w:tcPr>
            <w:tcW w:type="dxa" w:w="7020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A1A1A"/>
                <w:sz w:val="26"/>
                <w:szCs w:val="26"/>
              </w:rPr>
              <w:t xml:space="preserve">Medium Gray</w:t>
            </w:r>
          </w:p>
          <w:p>
            <w:r>
              <w:rPr>
                <w:color w:val="666666"/>
                <w:sz w:val="22"/>
                <w:szCs w:val="22"/>
              </w:rPr>
              <w:t xml:space="preserve">#666666 • RGB(102, 102, 102)</w:t>
            </w:r>
          </w:p>
          <w:p>
            <w:pPr>
              <w:spacing w:before="120"/>
            </w:pPr>
            <w:r>
              <w:rPr>
                <w:b/>
                <w:bCs/>
                <w:sz w:val="22"/>
                <w:szCs w:val="22"/>
              </w:rPr>
              <w:t xml:space="preserve">Usage: </w:t>
            </w:r>
            <w:r>
              <w:rPr>
                <w:sz w:val="22"/>
                <w:szCs w:val="22"/>
              </w:rPr>
              <w:t xml:space="preserve">Secondary text, labels, descriptions, timestamps</w:t>
            </w:r>
          </w:p>
        </w:tc>
      </w:tr>
    </w:tbl>
    <w:p>
      <w:pPr>
        <w:spacing w:before="2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F5F5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sz w:val="1"/>
                <w:szCs w:val="1"/>
              </w:rPr>
              <w:t xml:space="preserve"> </w:t>
            </w:r>
          </w:p>
        </w:tc>
        <w:tc>
          <w:tcPr>
            <w:tcW w:type="dxa" w:w="7020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A1A1A"/>
                <w:sz w:val="26"/>
                <w:szCs w:val="26"/>
              </w:rPr>
              <w:t xml:space="preserve">Light Gray</w:t>
            </w:r>
          </w:p>
          <w:p>
            <w:r>
              <w:rPr>
                <w:color w:val="666666"/>
                <w:sz w:val="22"/>
                <w:szCs w:val="22"/>
              </w:rPr>
              <w:t xml:space="preserve">#F5F5F5 • RGB(245, 245, 245)</w:t>
            </w:r>
          </w:p>
          <w:p>
            <w:pPr>
              <w:spacing w:before="120"/>
            </w:pPr>
            <w:r>
              <w:rPr>
                <w:b/>
                <w:bCs/>
                <w:sz w:val="22"/>
                <w:szCs w:val="22"/>
              </w:rPr>
              <w:t xml:space="preserve">Usage: </w:t>
            </w:r>
            <w:r>
              <w:rPr>
                <w:sz w:val="22"/>
                <w:szCs w:val="22"/>
              </w:rPr>
              <w:t xml:space="preserve">Card backgrounds, container fills, subtle separations</w:t>
            </w:r>
          </w:p>
        </w:tc>
      </w:tr>
    </w:tbl>
    <w:p>
      <w:pPr>
        <w:spacing w:before="2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E0E0E0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sz w:val="1"/>
                <w:szCs w:val="1"/>
              </w:rPr>
              <w:t xml:space="preserve"> </w:t>
            </w:r>
          </w:p>
        </w:tc>
        <w:tc>
          <w:tcPr>
            <w:tcW w:type="dxa" w:w="7020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A1A1A"/>
                <w:sz w:val="26"/>
                <w:szCs w:val="26"/>
              </w:rPr>
              <w:t xml:space="preserve">Border Gray</w:t>
            </w:r>
          </w:p>
          <w:p>
            <w:r>
              <w:rPr>
                <w:color w:val="666666"/>
                <w:sz w:val="22"/>
                <w:szCs w:val="22"/>
              </w:rPr>
              <w:t xml:space="preserve">#E0E0E0 • RGB(224, 224, 224)</w:t>
            </w:r>
          </w:p>
          <w:p>
            <w:pPr>
              <w:spacing w:before="120"/>
            </w:pPr>
            <w:r>
              <w:rPr>
                <w:b/>
                <w:bCs/>
                <w:sz w:val="22"/>
                <w:szCs w:val="22"/>
              </w:rPr>
              <w:t xml:space="preserve">Usage: </w:t>
            </w:r>
            <w:r>
              <w:rPr>
                <w:sz w:val="22"/>
                <w:szCs w:val="22"/>
              </w:rPr>
              <w:t xml:space="preserve">Borders, dividers, input outlines, separators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Accent Colors</w:t>
      </w:r>
    </w:p>
    <w:p>
      <w:pPr>
        <w:spacing w:after="240"/>
      </w:pPr>
      <w:r>
        <w:rPr>
          <w:sz w:val="24"/>
          <w:szCs w:val="24"/>
        </w:rPr>
        <w:t xml:space="preserve">Use sparingly for specific interactions.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4A90E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sz w:val="1"/>
                <w:szCs w:val="1"/>
              </w:rPr>
              <w:t xml:space="preserve"> </w:t>
            </w:r>
          </w:p>
        </w:tc>
        <w:tc>
          <w:tcPr>
            <w:tcW w:type="dxa" w:w="7020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A1A1A"/>
                <w:sz w:val="26"/>
                <w:szCs w:val="26"/>
              </w:rPr>
              <w:t xml:space="preserve">Blue Accent</w:t>
            </w:r>
          </w:p>
          <w:p>
            <w:r>
              <w:rPr>
                <w:color w:val="666666"/>
                <w:sz w:val="22"/>
                <w:szCs w:val="22"/>
              </w:rPr>
              <w:t xml:space="preserve">#4A90E2 • RGB(74, 144, 226)</w:t>
            </w:r>
          </w:p>
          <w:p>
            <w:pPr>
              <w:spacing w:before="120"/>
            </w:pPr>
            <w:r>
              <w:rPr>
                <w:b/>
                <w:bCs/>
                <w:sz w:val="22"/>
                <w:szCs w:val="22"/>
              </w:rPr>
              <w:t xml:space="preserve">Usage: </w:t>
            </w:r>
            <w:r>
              <w:rPr>
                <w:sz w:val="22"/>
                <w:szCs w:val="22"/>
              </w:rPr>
              <w:t xml:space="preserve">Information indicators, hyperlinks, info badges</w:t>
            </w:r>
          </w:p>
        </w:tc>
      </w:tr>
    </w:tbl>
    <w:p>
      <w:pPr>
        <w:spacing w:before="2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FF6B6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sz w:val="1"/>
                <w:szCs w:val="1"/>
              </w:rPr>
              <w:t xml:space="preserve"> </w:t>
            </w:r>
          </w:p>
        </w:tc>
        <w:tc>
          <w:tcPr>
            <w:tcW w:type="dxa" w:w="7020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A1A1A"/>
                <w:sz w:val="26"/>
                <w:szCs w:val="26"/>
              </w:rPr>
              <w:t xml:space="preserve">Coral Accent</w:t>
            </w:r>
          </w:p>
          <w:p>
            <w:r>
              <w:rPr>
                <w:color w:val="666666"/>
                <w:sz w:val="22"/>
                <w:szCs w:val="22"/>
              </w:rPr>
              <w:t xml:space="preserve">#FF6B6B • RGB(255, 107, 107)</w:t>
            </w:r>
          </w:p>
          <w:p>
            <w:pPr>
              <w:spacing w:before="120"/>
            </w:pPr>
            <w:r>
              <w:rPr>
                <w:b/>
                <w:bCs/>
                <w:sz w:val="22"/>
                <w:szCs w:val="22"/>
              </w:rPr>
              <w:t xml:space="preserve">Usage: </w:t>
            </w:r>
            <w:r>
              <w:rPr>
                <w:sz w:val="22"/>
                <w:szCs w:val="22"/>
              </w:rPr>
              <w:t xml:space="preserve">Edit actions, warnings, error states (use cautiously)</w:t>
            </w:r>
          </w:p>
        </w:tc>
      </w:tr>
    </w:tbl>
    <w:p>
      <w:pPr>
        <w:spacing w:before="480"/>
      </w:pPr>
    </w:p>
    <w:p>
      <w:pPr>
        <w:pStyle w:val="Heading2"/>
      </w:pPr>
      <w:r>
        <w:t xml:space="preserve">Color Usage Rules</w:t>
      </w:r>
    </w:p>
    <w:p>
      <w:pPr>
        <w:pStyle w:val="Heading3"/>
      </w:pPr>
      <w:r>
        <w:t xml:space="preserve">DO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Use Primary Green for all primary actions and confirmation buttons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Maintain 60-70% white space with green as accents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Ensure text meets WCAG AA contrast (4.5:1 minimum for body, 3:1 for large text)</w:t>
      </w:r>
    </w:p>
    <w:p>
      <w:pPr>
        <w:pStyle w:val="Heading3"/>
      </w:pPr>
      <w:r>
        <w:t xml:space="preserve">DON'T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Never use Primary Green for body text or long-form content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Avoid using multiple accent colors in the same view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Never create gradients with brand colors</w:t>
      </w:r>
    </w:p>
    <w:p>
      <w:r>
        <w:br w:type="page"/>
      </w:r>
    </w:p>
    <w:p>
      <w:pPr>
        <w:pStyle w:val="Heading1"/>
      </w:pPr>
      <w:r>
        <w:t xml:space="preserve">3. Typography</w:t>
      </w:r>
    </w:p>
    <w:p>
      <w:pPr>
        <w:spacing w:after="240"/>
      </w:pPr>
      <w:r>
        <w:rPr>
          <w:sz w:val="24"/>
          <w:szCs w:val="24"/>
        </w:rPr>
        <w:t xml:space="preserve">Typography establishes hierarchy and guides users through the interface. This system uses clean, universally-supported system fonts.</w:t>
      </w:r>
    </w:p>
    <w:p>
      <w:pPr>
        <w:pStyle w:val="Heading2"/>
      </w:pPr>
      <w:r>
        <w:t xml:space="preserve">Font Stack</w:t>
      </w:r>
    </w:p>
    <w:p>
      <w:pPr>
        <w:spacing w:after="240"/>
      </w:pPr>
      <w:r>
        <w:rPr>
          <w:rFonts w:ascii="Courier New" w:cs="Courier New" w:eastAsia="Courier New" w:hAnsi="Courier New"/>
          <w:color w:val="666666"/>
          <w:sz w:val="22"/>
          <w:szCs w:val="22"/>
        </w:rPr>
        <w:t xml:space="preserve">-apple-system, BlinkMacSystemFont, "Segoe UI", Roboto, "Helvetica Neue", Arial, sans-serif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iOS/macOS: SF Pro (system font)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Android: Roboto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Windows: Segoe UI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Fallback: Arial</w:t>
      </w:r>
    </w:p>
    <w:p>
      <w:pPr>
        <w:spacing w:before="480"/>
      </w:pPr>
    </w:p>
    <w:p>
      <w:pPr>
        <w:pStyle w:val="Heading2"/>
      </w:pPr>
      <w:r>
        <w:t xml:space="preserve">Type Scale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600"/>
        <w:gridCol w:w="3560"/>
      </w:tblGrid>
      <w:tr>
        <w:tc>
          <w:tcPr>
            <w:tcW w:type="dxa" w:w="2800"/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Element</w:t>
            </w:r>
          </w:p>
        </w:tc>
        <w:tc>
          <w:tcPr>
            <w:tcW w:type="dxa" w:w="1400"/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Size</w:t>
            </w:r>
          </w:p>
        </w:tc>
        <w:tc>
          <w:tcPr>
            <w:tcW w:type="dxa" w:w="1600"/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Weight</w:t>
            </w:r>
          </w:p>
        </w:tc>
        <w:tc>
          <w:tcPr>
            <w:tcW w:type="dxa" w:w="3560"/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Line Height</w:t>
            </w:r>
          </w:p>
        </w:tc>
      </w:tr>
      <w:tr>
        <w:tc>
          <w:tcPr>
            <w:tcW w:type="dxa" w:w="28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H1 - Screen Title</w:t>
            </w:r>
          </w:p>
        </w:tc>
        <w:tc>
          <w:tcPr>
            <w:tcW w:type="dxa" w:w="14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28px</w:t>
            </w:r>
          </w:p>
        </w:tc>
        <w:tc>
          <w:tcPr>
            <w:tcW w:type="dxa" w:w="16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700 (Bold)</w:t>
            </w:r>
          </w:p>
        </w:tc>
        <w:tc>
          <w:tcPr>
            <w:tcW w:type="dxa" w:w="35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1.2 (34px)</w:t>
            </w:r>
          </w:p>
        </w:tc>
      </w:tr>
      <w:tr>
        <w:tc>
          <w:tcPr>
            <w:tcW w:type="dxa" w:w="28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H2 - Section Header</w:t>
            </w:r>
          </w:p>
        </w:tc>
        <w:tc>
          <w:tcPr>
            <w:tcW w:type="dxa" w:w="14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22px</w:t>
            </w:r>
          </w:p>
        </w:tc>
        <w:tc>
          <w:tcPr>
            <w:tcW w:type="dxa" w:w="16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600 (Semibold)</w:t>
            </w:r>
          </w:p>
        </w:tc>
        <w:tc>
          <w:tcPr>
            <w:tcW w:type="dxa" w:w="35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1.3 (29px)</w:t>
            </w:r>
          </w:p>
        </w:tc>
      </w:tr>
      <w:tr>
        <w:tc>
          <w:tcPr>
            <w:tcW w:type="dxa" w:w="28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H3 - Card Title</w:t>
            </w:r>
          </w:p>
        </w:tc>
        <w:tc>
          <w:tcPr>
            <w:tcW w:type="dxa" w:w="14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18px</w:t>
            </w:r>
          </w:p>
        </w:tc>
        <w:tc>
          <w:tcPr>
            <w:tcW w:type="dxa" w:w="16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600 (Semibold)</w:t>
            </w:r>
          </w:p>
        </w:tc>
        <w:tc>
          <w:tcPr>
            <w:tcW w:type="dxa" w:w="35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1.4 (25px)</w:t>
            </w:r>
          </w:p>
        </w:tc>
      </w:tr>
      <w:tr>
        <w:tc>
          <w:tcPr>
            <w:tcW w:type="dxa" w:w="28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Body Large</w:t>
            </w:r>
          </w:p>
        </w:tc>
        <w:tc>
          <w:tcPr>
            <w:tcW w:type="dxa" w:w="14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16px</w:t>
            </w:r>
          </w:p>
        </w:tc>
        <w:tc>
          <w:tcPr>
            <w:tcW w:type="dxa" w:w="16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400 (Regular)</w:t>
            </w:r>
          </w:p>
        </w:tc>
        <w:tc>
          <w:tcPr>
            <w:tcW w:type="dxa" w:w="35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1.5 (24px)</w:t>
            </w:r>
          </w:p>
        </w:tc>
      </w:tr>
      <w:tr>
        <w:tc>
          <w:tcPr>
            <w:tcW w:type="dxa" w:w="28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Body Regular</w:t>
            </w:r>
          </w:p>
        </w:tc>
        <w:tc>
          <w:tcPr>
            <w:tcW w:type="dxa" w:w="14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14px</w:t>
            </w:r>
          </w:p>
        </w:tc>
        <w:tc>
          <w:tcPr>
            <w:tcW w:type="dxa" w:w="16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400 (Regular)</w:t>
            </w:r>
          </w:p>
        </w:tc>
        <w:tc>
          <w:tcPr>
            <w:tcW w:type="dxa" w:w="35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1.5 (21px)</w:t>
            </w:r>
          </w:p>
        </w:tc>
      </w:tr>
      <w:tr>
        <w:tc>
          <w:tcPr>
            <w:tcW w:type="dxa" w:w="28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Caption / Label</w:t>
            </w:r>
          </w:p>
        </w:tc>
        <w:tc>
          <w:tcPr>
            <w:tcW w:type="dxa" w:w="14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12px</w:t>
            </w:r>
          </w:p>
        </w:tc>
        <w:tc>
          <w:tcPr>
            <w:tcW w:type="dxa" w:w="16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500 (Medium)</w:t>
            </w:r>
          </w:p>
        </w:tc>
        <w:tc>
          <w:tcPr>
            <w:tcW w:type="dxa" w:w="35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1.3 (16px)</w:t>
            </w:r>
          </w:p>
        </w:tc>
      </w:tr>
      <w:tr>
        <w:tc>
          <w:tcPr>
            <w:tcW w:type="dxa" w:w="28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Button Text</w:t>
            </w:r>
          </w:p>
        </w:tc>
        <w:tc>
          <w:tcPr>
            <w:tcW w:type="dxa" w:w="14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16px</w:t>
            </w:r>
          </w:p>
        </w:tc>
        <w:tc>
          <w:tcPr>
            <w:tcW w:type="dxa" w:w="16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600 (Semibold)</w:t>
            </w:r>
          </w:p>
        </w:tc>
        <w:tc>
          <w:tcPr>
            <w:tcW w:type="dxa" w:w="35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Inherit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Typography Best Practices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Minimum body text: 14px (never smaller)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Line height: 1.5× minimum for body text readability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Letter spacing: Keep at default (0) for body. Use -0.3px to -0.5px only for large headings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Alignment: Left-align body text. Center-align titles only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Case: Use sentence case. Avoid ALL CAPS except for small labels (≤12px)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Mobile scaling: Reduce heading sizes by 15-20%. Body text stays at 14px minimum</w:t>
      </w:r>
    </w:p>
    <w:p>
      <w:r>
        <w:br w:type="page"/>
      </w:r>
    </w:p>
    <w:p>
      <w:pPr>
        <w:pStyle w:val="Heading1"/>
      </w:pPr>
      <w:r>
        <w:t xml:space="preserve">4. Layout &amp; Spacing</w:t>
      </w:r>
    </w:p>
    <w:p>
      <w:pPr>
        <w:spacing w:after="240"/>
      </w:pPr>
      <w:r>
        <w:rPr>
          <w:sz w:val="24"/>
          <w:szCs w:val="24"/>
        </w:rPr>
        <w:t xml:space="preserve">Consistent spacing creates visual rhythm and helps users scan efficiently.</w:t>
      </w:r>
    </w:p>
    <w:p>
      <w:pPr>
        <w:pStyle w:val="Heading2"/>
      </w:pPr>
      <w:r>
        <w:t xml:space="preserve">Spacing System (4px Base Unit)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Token</w:t>
            </w:r>
          </w:p>
        </w:tc>
        <w:tc>
          <w:tcPr>
            <w:tcW w:type="dxa" w:w="2000"/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Size</w:t>
            </w:r>
          </w:p>
        </w:tc>
        <w:tc>
          <w:tcPr>
            <w:tcW w:type="dxa" w:w="5360"/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20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xs</w:t>
            </w:r>
          </w:p>
        </w:tc>
        <w:tc>
          <w:tcPr>
            <w:tcW w:type="dxa" w:w="20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4px</w:t>
            </w:r>
          </w:p>
        </w:tc>
        <w:tc>
          <w:tcPr>
            <w:tcW w:type="dxa" w:w="53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Icon padding, tight spacing</w:t>
            </w:r>
          </w:p>
        </w:tc>
      </w:tr>
      <w:tr>
        <w:tc>
          <w:tcPr>
            <w:tcW w:type="dxa" w:w="20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sm</w:t>
            </w:r>
          </w:p>
        </w:tc>
        <w:tc>
          <w:tcPr>
            <w:tcW w:type="dxa" w:w="20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8px</w:t>
            </w:r>
          </w:p>
        </w:tc>
        <w:tc>
          <w:tcPr>
            <w:tcW w:type="dxa" w:w="53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Small gaps between related elements</w:t>
            </w:r>
          </w:p>
        </w:tc>
      </w:tr>
      <w:tr>
        <w:tc>
          <w:tcPr>
            <w:tcW w:type="dxa" w:w="20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md</w:t>
            </w:r>
          </w:p>
        </w:tc>
        <w:tc>
          <w:tcPr>
            <w:tcW w:type="dxa" w:w="20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12px</w:t>
            </w:r>
          </w:p>
        </w:tc>
        <w:tc>
          <w:tcPr>
            <w:tcW w:type="dxa" w:w="53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List item spacing, moderate gaps</w:t>
            </w:r>
          </w:p>
        </w:tc>
      </w:tr>
      <w:tr>
        <w:tc>
          <w:tcPr>
            <w:tcW w:type="dxa" w:w="20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lg</w:t>
            </w:r>
          </w:p>
        </w:tc>
        <w:tc>
          <w:tcPr>
            <w:tcW w:type="dxa" w:w="20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16px</w:t>
            </w:r>
          </w:p>
        </w:tc>
        <w:tc>
          <w:tcPr>
            <w:tcW w:type="dxa" w:w="53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Container padding, card padding</w:t>
            </w:r>
          </w:p>
        </w:tc>
      </w:tr>
      <w:tr>
        <w:tc>
          <w:tcPr>
            <w:tcW w:type="dxa" w:w="20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xl</w:t>
            </w:r>
          </w:p>
        </w:tc>
        <w:tc>
          <w:tcPr>
            <w:tcW w:type="dxa" w:w="20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20px</w:t>
            </w:r>
          </w:p>
        </w:tc>
        <w:tc>
          <w:tcPr>
            <w:tcW w:type="dxa" w:w="53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Screen padding (mobile)</w:t>
            </w:r>
          </w:p>
        </w:tc>
      </w:tr>
      <w:tr>
        <w:tc>
          <w:tcPr>
            <w:tcW w:type="dxa" w:w="20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2xl</w:t>
            </w:r>
          </w:p>
        </w:tc>
        <w:tc>
          <w:tcPr>
            <w:tcW w:type="dxa" w:w="20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24px</w:t>
            </w:r>
          </w:p>
        </w:tc>
        <w:tc>
          <w:tcPr>
            <w:tcW w:type="dxa" w:w="53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Section spacing</w:t>
            </w:r>
          </w:p>
        </w:tc>
      </w:tr>
      <w:tr>
        <w:tc>
          <w:tcPr>
            <w:tcW w:type="dxa" w:w="20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3xl</w:t>
            </w:r>
          </w:p>
        </w:tc>
        <w:tc>
          <w:tcPr>
            <w:tcW w:type="dxa" w:w="20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32px</w:t>
            </w:r>
          </w:p>
        </w:tc>
        <w:tc>
          <w:tcPr>
            <w:tcW w:type="dxa" w:w="53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Large section breaks</w:t>
            </w:r>
          </w:p>
        </w:tc>
      </w:tr>
    </w:tbl>
    <w:p>
      <w:pPr>
        <w:spacing w:before="480"/>
      </w:pPr>
    </w:p>
    <w:p>
      <w:pPr>
        <w:pStyle w:val="Heading2"/>
      </w:pPr>
      <w:r>
        <w:t xml:space="preserve">Border Radius &amp; Elevation</w:t>
      </w:r>
    </w:p>
    <w:p>
      <w:pPr>
        <w:pStyle w:val="Heading3"/>
      </w:pPr>
      <w:r>
        <w:t xml:space="preserve">Border Radius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Small (4px): Input fields, small buttons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Medium (8px): Cards, standard buttons, containers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Large (12px): Modals, large cards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Extra Large (16px): Feature cards, hero images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Round (50%): Avatars, icon buttons, pills</w:t>
      </w:r>
    </w:p>
    <w:p>
      <w:pPr>
        <w:spacing w:before="360"/>
      </w:pPr>
    </w:p>
    <w:p>
      <w:pPr>
        <w:pStyle w:val="Heading3"/>
      </w:pPr>
      <w:r>
        <w:t xml:space="preserve">Shadows (Elevation)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Level 1 (Subtle): 0 1px 3px rgba(0,0,0,0.08) — Cards, inputs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Level 2 (Medium): 0 4px 12px rgba(0,0,0,0.1) — Elevated cards, dropdowns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Level 3 (High): 0 8px 24px rgba(0,0,0,0.12) — Modals, popovers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Level 4 (Highest): 0 16px 48px rgba(0,0,0,0.15) — Dialogs, overlays</w:t>
      </w:r>
    </w:p>
    <w:p>
      <w:r>
        <w:br w:type="page"/>
      </w:r>
    </w:p>
    <w:p>
      <w:pPr>
        <w:pStyle w:val="Heading1"/>
      </w:pPr>
      <w:r>
        <w:t xml:space="preserve">5. Component Library</w:t>
      </w:r>
    </w:p>
    <w:p>
      <w:pPr>
        <w:pStyle w:val="Heading2"/>
      </w:pPr>
      <w:r>
        <w:t xml:space="preserve">Primary Button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Background: #00D26A, Text: #FFFFFF (16px, 600 weight)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Padding: 12px × 24px, Border Radius: 8px, Min Height: 48px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Hover: #00BA5E, Active: #00A850, Disabled: #E0E0E0</w:t>
      </w:r>
    </w:p>
    <w:p>
      <w:pPr>
        <w:spacing w:before="360"/>
      </w:pPr>
    </w:p>
    <w:p>
      <w:pPr>
        <w:pStyle w:val="Heading2"/>
      </w:pPr>
      <w:r>
        <w:t xml:space="preserve">Input Fields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Background: #FFFFFF, Border: 1px solid #E0E0E0, Radius: 8px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Padding: 12px × 16px, Min Height: 48px, Text: 14px #1A1A1A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Focus: Border #00D26A, Shadow: 0 0 0 3px rgba(0,210,106,0.1)</w:t>
      </w:r>
    </w:p>
    <w:p>
      <w:pPr>
        <w:spacing w:before="360"/>
      </w:pPr>
    </w:p>
    <w:p>
      <w:pPr>
        <w:pStyle w:val="Heading2"/>
      </w:pPr>
      <w:r>
        <w:t xml:space="preserve">Cards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Background: #FFFFFF, Border Radius: 12px, Padding: 16px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Shadow: Level 1, Hover: Level 2 + translateY(-2px)</w:t>
      </w:r>
    </w:p>
    <w:p>
      <w:pPr>
        <w:spacing w:before="360"/>
      </w:pPr>
    </w:p>
    <w:p>
      <w:pPr>
        <w:pStyle w:val="Heading2"/>
      </w:pPr>
      <w:r>
        <w:t xml:space="preserve">Avatars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Sizes: 32px (small), 40px (medium), 56px (large), 80px (XL)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Border Radius: 50%, Border: 2px solid #FFFFFF (when overlapping)</w:t>
      </w:r>
    </w:p>
    <w:p>
      <w:pPr>
        <w:spacing w:before="360"/>
      </w:pPr>
    </w:p>
    <w:p>
      <w:pPr>
        <w:pStyle w:val="Heading2"/>
      </w:pPr>
      <w:r>
        <w:t xml:space="preserve">Status Badges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Padding: 4px × 12px, Border Radius: 999px, Text: 12px 500 weight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Success: Bg #E8FFF4, Text #00D26A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Warning: Bg #FFF4E6, Text #FFA726</w:t>
      </w:r>
    </w:p>
    <w:p>
      <w:r>
        <w:br w:type="page"/>
      </w:r>
    </w:p>
    <w:p>
      <w:pPr>
        <w:pStyle w:val="Heading1"/>
      </w:pPr>
      <w:r>
        <w:t xml:space="preserve">6. Implementation Guidelines</w:t>
      </w:r>
    </w:p>
    <w:p>
      <w:pPr>
        <w:pStyle w:val="Heading2"/>
      </w:pPr>
      <w:r>
        <w:t xml:space="preserve">Mobile-First Approach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Design for 375px width first (iPhone SE), then scale up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All touch targets: 44×44px minimum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Screen padding: 16px horizontal minimum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Bottom navigation: 64px height with safe area support</w:t>
      </w:r>
    </w:p>
    <w:p>
      <w:pPr>
        <w:spacing w:before="360"/>
      </w:pPr>
    </w:p>
    <w:p>
      <w:pPr>
        <w:pStyle w:val="Heading2"/>
      </w:pPr>
      <w:r>
        <w:t xml:space="preserve">Responsive Breakpoints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Mobile: 0-767px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Tablet: 768-1023px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Desktop: 1024px+</w:t>
      </w:r>
    </w:p>
    <w:p>
      <w:pPr>
        <w:spacing w:before="360"/>
      </w:pPr>
    </w:p>
    <w:p>
      <w:pPr>
        <w:pStyle w:val="Heading2"/>
      </w:pPr>
      <w:r>
        <w:t xml:space="preserve">Accessibility Requirements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WCAG AA compliance: 4.5:1 contrast for body text, 3:1 for large text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Focus indicators: 2px solid #00D26A outline with 2px offset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Screen reader support: Proper ARIA labels on all interactive elements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Keyboard navigation: Full support with logical tab order</w:t>
      </w:r>
    </w:p>
    <w:p>
      <w:pPr>
        <w:spacing w:before="360"/>
      </w:pPr>
    </w:p>
    <w:p>
      <w:pPr>
        <w:pStyle w:val="Heading2"/>
      </w:pPr>
      <w:r>
        <w:t xml:space="preserve">Animation &amp; Transitions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Fast (150ms): Hover states, icon changes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Normal (250ms): Default transitions, fades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Slow (350ms): Modals, page transitions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Easing: cubic-bezier(0.25, 0.46, 0.45, 0.94) for most transitions</w:t>
      </w:r>
    </w:p>
    <w:p>
      <w:r>
        <w:br w:type="page"/>
      </w:r>
    </w:p>
    <w:p>
      <w:pPr>
        <w:pStyle w:val="Heading1"/>
      </w:pPr>
      <w:r>
        <w:t xml:space="preserve">7. Common Use Cases</w:t>
      </w:r>
    </w:p>
    <w:p>
      <w:pPr>
        <w:pStyle w:val="Heading2"/>
      </w:pPr>
      <w:r>
        <w:t xml:space="preserve">Event Management Screen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Screen title (28px bold) at top with 16px padding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Event cards in vertical list with 12px spacing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Each card shows: event name (18px semibold), date, participant avatars, budget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Primary green CTA button fixed at bottom</w:t>
      </w:r>
    </w:p>
    <w:p>
      <w:pPr>
        <w:spacing w:before="360"/>
      </w:pPr>
    </w:p>
    <w:p>
      <w:pPr>
        <w:pStyle w:val="Heading2"/>
      </w:pPr>
      <w:r>
        <w:t xml:space="preserve">Create Event Modal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Centered modal, max-width 400px, 24px padding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Modal title (22px semibold) with 16px margin below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Form fields stacked vertically with 16px spacing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Primary button for submit, secondary for cancel</w:t>
      </w:r>
    </w:p>
    <w:p>
      <w:pPr>
        <w:spacing w:before="360"/>
      </w:pPr>
    </w:p>
    <w:p>
      <w:pPr>
        <w:pStyle w:val="Heading2"/>
      </w:pPr>
      <w:r>
        <w:t xml:space="preserve">Participant List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Each participant: 40px circular avatar, name (14px), role/status badge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List items: 56px min height, 12px vertical spacing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Hover state: light gray background (#F5F5F5)</w:t>
      </w:r>
    </w:p>
    <w:p>
      <w:r>
        <w:br w:type="page"/>
      </w:r>
    </w:p>
    <w:p>
      <w:pPr>
        <w:pStyle w:val="Heading1"/>
      </w:pPr>
      <w:r>
        <w:t xml:space="preserve">Quick Reference Summary</w:t>
      </w:r>
    </w:p>
    <w:p>
      <w:pPr>
        <w:pStyle w:val="Heading2"/>
      </w:pPr>
      <w:r>
        <w:t xml:space="preserve">Essential Design Elements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Primary Color: </w:t>
      </w:r>
      <w:r>
        <w:rPr>
          <w:sz w:val="24"/>
          <w:szCs w:val="24"/>
        </w:rPr>
        <w:t xml:space="preserve">#00D26A (vibrant green) for all CTAs and success states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Typography: </w:t>
      </w:r>
      <w:r>
        <w:rPr>
          <w:sz w:val="24"/>
          <w:szCs w:val="24"/>
        </w:rPr>
        <w:t xml:space="preserve">System fonts, 14px minimum, 1.5× line height for body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Spacing: </w:t>
      </w:r>
      <w:r>
        <w:rPr>
          <w:sz w:val="24"/>
          <w:szCs w:val="24"/>
        </w:rPr>
        <w:t xml:space="preserve">4px base unit, 16px container padding, 8px increments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Borders: </w:t>
      </w:r>
      <w:r>
        <w:rPr>
          <w:sz w:val="24"/>
          <w:szCs w:val="24"/>
        </w:rPr>
        <w:t xml:space="preserve">8px radius for cards/buttons, 50% for avatars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Shadows: </w:t>
      </w:r>
      <w:r>
        <w:rPr>
          <w:sz w:val="24"/>
          <w:szCs w:val="24"/>
        </w:rPr>
        <w:t xml:space="preserve">Subtle (Level 1) for cards, higher for modals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Touch Targets: </w:t>
      </w:r>
      <w:r>
        <w:rPr>
          <w:sz w:val="24"/>
          <w:szCs w:val="24"/>
        </w:rPr>
        <w:t xml:space="preserve">44×44px minimum for all interactive elements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Contrast: </w:t>
      </w:r>
      <w:r>
        <w:rPr>
          <w:sz w:val="24"/>
          <w:szCs w:val="24"/>
        </w:rPr>
        <w:t xml:space="preserve">4.5:1 minimum for body text (WCAG AA)</w:t>
      </w:r>
    </w:p>
    <w:p>
      <w:pPr>
        <w:spacing w:before="480"/>
      </w:pPr>
    </w:p>
    <w:p>
      <w:pPr>
        <w:pStyle w:val="Heading2"/>
      </w:pPr>
      <w:r>
        <w:t xml:space="preserve">Design Checklist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✓ All buttons use Primary Green (#00D26A) for primary actions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✓ Body text is 14px minimum with 1.5× line height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✓ Cards have 12px border radius and subtle shadows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✓ All touch targets are 44×44px or larger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✓ Spacing uses 4px increments (4, 8, 12, 16, 24, 32)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✓ Text contrast meets WCAG AA standards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✓ Participant avatars are circular (50% border radius)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✓ Whitespace dominates (60-70% of screen)</w:t>
      </w:r>
    </w:p>
    <w:p>
      <w:pPr>
        <w:spacing w:before="480"/>
      </w:pPr>
    </w:p>
    <w:p>
      <w:pPr>
        <w:spacing w:before="720"/>
        <w:jc w:val="center"/>
      </w:pPr>
      <w:r>
        <w:rPr>
          <w:i/>
          <w:iCs/>
          <w:color w:val="666666"/>
          <w:sz w:val="20"/>
          <w:szCs w:val="20"/>
        </w:rPr>
        <w:t xml:space="preserve">— End of Style Guide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00D26A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2026-02-01T13:19:10.473Z</dcterms:created>
  <dcterms:modified xsi:type="dcterms:W3CDTF">2026-02-01T13:19:10.474Z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