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Mechanics, Numbers, and Punctuation</w:t>
      </w:r>
    </w:p>
    <w:p>
      <w:r>
        <w:t>15 participants completed the survey. The analysis revealed 3 themes and nearly thirty percent reported fatigue. The interviews occurred over five weeks, and participants completed 2 5-point scales.</w:t>
      </w:r>
    </w:p>
    <w:p>
      <w:r>
        <w:t>The 1990's data file listed 12000 responses from consultants across regions. Identity — not skill — emerged as the barrier. The barrier - not the technology - shaped adoption.</w:t>
      </w:r>
    </w:p>
    <w:p>
      <w:r>
        <w:t>Participants were assigned to the 1st cohort. The result was p = 0.031, p &lt; .05, and r = 0.45.</w:t>
      </w:r>
    </w:p>
    <w:p>
      <w:r>
        <w:t>One participant stated, "...I felt new again," and later wrote that "professional identity is provisional...it changes."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