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Citation Formatting and Matching</w:t>
      </w:r>
    </w:p>
    <w:p>
      <w:r>
        <w:t>Prior studies support the pattern (Nguyen, 2022; Brown, 2019; Adams, 2021). The same stream is reversed elsewhere (Kim, 2021; Kim, 2019). The team cited (Smith and Jones, 2020), while Taylor &amp; Green (2021) described a different pattern.</w:t>
      </w:r>
    </w:p>
    <w:p>
      <w:r>
        <w:t>Several teams cited (Smith, Jones, Brown, 2020), (Miller et al, 2022), and (Davis, nd). One participant said, "I felt unprepared" (Ibarra, 2019). The method was confirmed by the sponsor (K. Patel, personal communication).</w:t>
      </w:r>
    </w:p>
    <w:p>
      <w:r>
        <w:t>The model was discussed repeatedly (Adams, 2021). Adoption was slower than expected (Adams, 2021). Training improved confidence (Adams, 2021).</w:t>
      </w:r>
    </w:p>
    <w:p>
      <w:pPr>
        <w:pStyle w:val="Heading1"/>
      </w:pPr>
      <w:r>
        <w:t>References</w:t>
      </w:r>
    </w:p>
    <w:p>
      <w:r>
        <w:t>Adams, R. (2021). Capability frameworks. Journal of Workplace Learning, 33(4), 245-261.</w:t>
      </w:r>
    </w:p>
    <w:p>
      <w:r>
        <w:t>Brown, L. (2019). Technology acceptance. Organization Studies, 40(7), 989-1010.</w:t>
      </w:r>
    </w:p>
    <w:p>
      <w:r>
        <w:t>Ibarra, H. (2018). Working identity. Harvard Business Review Press.</w:t>
      </w:r>
    </w:p>
    <w:p>
      <w:r>
        <w:t>Kim, S. (2019). Identity threat. Academy of Management Review, 44(2), 301-320.</w:t>
      </w:r>
    </w:p>
    <w:p>
      <w:r>
        <w:t>Kim, S. (2021). Expertise renegotiation. Human Relations, 74(9), 1401-1425.</w:t>
      </w:r>
    </w:p>
    <w:p>
      <w:r>
        <w:t>Nguyen, T. (2022). Psychological readiness. Journal of Change Management, 22(3), 178-196.</w:t>
      </w:r>
    </w:p>
    <w:p>
      <w:r>
        <w:t>Zhou, M. (2020). Adult development and technological change. Management Learning, 51(5), 511-529.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