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Style and Bias-Free Language</w:t>
      </w:r>
    </w:p>
    <w:p>
      <w:r>
        <w:t>The survey was completed by participants and the interviews were conducted by the team. The reason is because the rollout was new, and in order to support staff, the researcher conducted interviews.</w:t>
      </w:r>
    </w:p>
    <w:p>
      <w:r>
        <w:t>Participants that completed the pilot described a workflow which improved over time. Based on the results, the study concludes adoption increased. This shows a lot of progress.</w:t>
      </w:r>
    </w:p>
    <w:p>
      <w:r>
        <w:t>It would appear that change was likely. While adoption improved, fatigue remained. Ibid. was used incorrectly, and participants didn't always agree.</w:t>
      </w:r>
    </w:p>
    <w:p>
      <w:r>
        <w:t>Before a consultant adopts the tool, his professional identity may shift. A practitioner noted that he or she must renegotiate expertise. Several firms underestimated the manpower required.</w:t>
      </w:r>
    </w:p>
    <w:p>
      <w:r>
        <w:t>The sample included elderly participants, wheelchair-bound clients, the disabled, chairman roles, mankind references, Caucasian labels, seniors, African-American category names, and Asian-American category names.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