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Formatting</w:t>
      </w:r>
    </w:p>
    <w:p>
      <w:r>
        <w:t>This body paragraph cites Smith (2020). It also cites Patel (2025).</w:t>
      </w:r>
    </w:p>
    <w:p>
      <w:pPr>
        <w:pStyle w:val="Heading1"/>
      </w:pPr>
      <w:r>
        <w:t>References</w:t>
      </w:r>
    </w:p>
    <w:p>
      <w:r>
        <w:t>Smith, J. (2020). Technology Acceptance In Knowledge-Intensive Firms. Organization Studies, 40 (7), 989-1010. DOI: 10.1234/abc</w:t>
      </w:r>
    </w:p>
    <w:p>
      <w:r>
        <w:t>Taylor, A. and Green, B. (no date). Training outcomes. Journal of Change, 10(2), 11-20. Retrieved from https://example.com.</w:t>
      </w:r>
    </w:p>
    <w:p>
      <w:r>
        <w:t>Miller, C., et al. (2021). Edited volume title (2nd edition). Academic Press Inc. New York.</w:t>
      </w:r>
    </w:p>
    <w:p>
      <w:r>
        <w:t>Morgan, A. (2021). Legacy DOI format. Journal Name, 3(2), 9-15. http://doi.org/10.1234/legacy</w:t>
      </w:r>
    </w:p>
    <w:p>
      <w:r>
        <w:t>Brown, L. (2022) Missing date period. Journal Name, 5(1), 1-4.</w:t>
      </w:r>
    </w:p>
    <w:p>
      <w:r>
        <w:t>Davis, R. (In Press). Future research. Journal Name, 5(1), 1-4.</w:t>
      </w:r>
    </w:p>
    <w:p>
      <w:r>
        <w:t>Evans, P. (2021). A translated title (Trans.).</w:t>
      </w:r>
    </w:p>
    <w:p>
      <w:r>
        <w:t>Garcia, M. (2021). Original note. (originally published 1998).</w:t>
      </w:r>
    </w:p>
    <w:p>
      <w:r>
        <w:t>Kim, S. (2021). When the tool knows more than you: Expertise renegotiation in consulting. Human Relations, 74(9), 1401-1425.</w:t>
      </w:r>
    </w:p>
    <w:p>
      <w:r>
        <w:t>Patel, K. (2025, March 4). Personal communication.</w:t>
      </w:r>
    </w:p>
    <w:p>
      <w:r>
        <w:t>Zhou, M. (2020). Adult development. Management Learning, 51(5), 511-529. ISBN 1234567890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