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False Positive Traps</w:t>
      </w:r>
    </w:p>
    <w:p>
      <w:pPr>
        <w:ind w:firstLine="720"/>
      </w:pPr>
      <w:r>
        <w:t>Twenty-three percent of participants completed the task over a period of 5 weeks. The president made remarks, and President Biden signed the order. Brown (2019) places the results in Table 3.</w:t>
      </w:r>
    </w:p>
    <w:p>
      <w:r>
        <w:t>Table 1</w:t>
      </w:r>
    </w:p>
    <w:p>
      <w:r>
        <w:t>Demographic Characteristics of Participants by Program Type</w:t>
      </w:r>
    </w:p>
    <w:p>
      <w:pPr>
        <w:pStyle w:val="Heading1"/>
      </w:pPr>
      <w:r>
        <w:t>References</w:t>
      </w:r>
    </w:p>
    <w:p>
      <w:r>
        <w:t xml:space="preserve">Brown, L. (2019). Technology acceptance in knowledge-intensive firms. </w:t>
      </w:r>
      <w:r>
        <w:rPr>
          <w:i/>
        </w:rPr>
        <w:t>Organization Studies, 40</w:t>
      </w:r>
      <w:r>
        <w:t>(7), 989-1010.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