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Theme 2: TD Measurement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Participant 1 (Angella):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T2Q1: Automated Testing and Code Reviews (ATCR)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T2Q2: Using Static Analysis Tools (USAT)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T2Q3: Prioritizing TD based on Impact (PTI)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Participant 2 (Mooli):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T2Q1: Combining Code Reviews and Testing (CCRT)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T2Q2: Using Static Analysis Tools (USAT)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T2Q3: Prioritizing TD based on Workflow Impact (PTI-WI)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Participant 3 (Mubarak):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T2Q1: Regular Code Reviews and Testing (RCRT)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T2Q2: Using Linters and Static Code Analysis (ULSCA)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T2Q3: Prioritizing TD Resolution with Impact on Users (PTD-IU)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Participant 4 (Roland Kizza):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T2Q1: Code Reviews and Testing Practices (CRT-TP)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T2Q3: Prioritizing TD based on Project Goals (PTI-PG)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Participant 5 (Richard):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T2Q1: Incorporating Code Reviews and Testing (ICRT)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T2Q2: Using Static Analysis Tools (USAT)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T2Q3: Prioritizing TD Resolution with User Impact (PTD-UI)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Participant 6 (Arnold Rukutatana):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T2Q1: Regular Code Reviews and Testing (RCRT)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T2Q2: Utilizing Static Analysis Tools (USAT)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T2Q3: Prioritizing TD Resolution based on Business Impact (PTD-BI)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Participant 7 (Tugume Hastings):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T2Q1: Automated Testing and Code Reviews (ATCR)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T2Q3: Prioritizing TD Resolution with Project Objectives (PTD-PO)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Participant 8 (Ahimbisibwe Job):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T2Q1: Regular Code Reviews and Automated Testing (RCRAT)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T2Q2: Using Static Analysis Tools (USAT)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T2Q3: Prioritizing TD based on Workflow Impact (PTI-WI)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Participant 9 (Ben Okello Mwaka):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T2Q1: Combining Code Reviews and Testing (CCRT)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T2Q3: Prioritizing TD Resolution with User Impact (PTD-UI)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Participant 10 (Agaba):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T2Q1: Regular Code Reviews and Testing (RCRT)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T2Q2: Utilizing Static Analysis Tools (USAT)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T2Q3: Prioritizing TD Resolution based on Business Impact (PTD-BI)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Participant 11 (Kizza):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T2Q1: Incorporating Code Reviews and Testing (ICRT)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T2Q2: Using Static Analysis Tools (USAT)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T2Q3: Prioritizing TD Resolution with Project Objectives (PTD-PO)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Participant 12 (Apollo Malomo):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T2Q1: Automated Testing and Code Reviews (ATCR)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T2Q3: Prioritizing TD based on Workflow Impact (PTI-WI)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Participant 13 (Patrick):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T2Q1: Combining Code Reviews and Testing (CCRT)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T2Q2: Utilizing Static Analysis Tools (USAT)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T2Q3: Prioritizing TD Resolution with User Impact (PTD-UI)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Participant 14 (Kyeyune Habib):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T2Q1: Regular Code Reviews and Automated Testing (RCRAT)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T2Q2: Using Static Analysis Tools (USAT)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T2Q3: Prioritizing TD Resolution based on Business Impact (PTD-BI)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Participant 15 (Opolot):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T2Q1: Incorporating Code Reviews and Testing (ICRT)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T2Q3: Prioritizing TD Resolution with Project Objectives (PTD-PO)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Participant 16 (Wanzala):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T2Q1: Automated Testing and Code Reviews (ATCR)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T2Q2: Utilizing Static Analysis Tools (USAT)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T2Q3: Prioritizing TD based on Workflow Impact (PTI-WI)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Participant 17 (Martin):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T2Q1: Combining Code Reviews and Testing (CCRT)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T2Q3: Prioritizing TD Resolution with User Impact (PTD-UI)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Participant 18 (Ssekamanya):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T2Q1: Regular Code Reviews and Automated Testing (RCRAT)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T2Q2: Using Static Analysis Tools (USAT)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T2Q3: Prioritizing TD Resolution based on Business Impact (PTD-BI)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Participant 19 (Solomon):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T2Q1: Incorporating Code Reviews and Testing (ICRT)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T2Q3: Prioritizing TD Resolution with Project Objectives (PTD-PO)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Participant 20 (Hassan):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T2Q1: Automated Testing and Code Reviews (ATCR)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T2Q2: Utilizing Static Analysis Tools (USAT)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T2Q3: Prioritizing TD based on Workflow Impact (PTI-WI)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Participant 21 (Peter):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T2Q1: Combining Code Reviews and Testing (CCRT)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T2Q2: Leveraging Static Analysis Tools (LSAT)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T2Q3: Prioritizing TD Resolution with User Impact (PTD-UI)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Participant 22 (Isaiah):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T2Q1: Automated Testing and Code Reviews (ATCR)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T2Q2: Considering SonarQube and Code Climate (CSQCC)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T2Q3: Feature-by-Feature Approach for TD Resolution (FFATR)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Participant 23 (Job):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T2Q1: Prioritizing based on Time and Impact (PTI-TI)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T2Q2: Git, VSCode with Prettier and ESLint Usage (GVSP-E)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T2Q3: High-Impact Changes Get Priority (HICP)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Participant 24 (Saidi):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T2Q1: Measurement Preference: Impact on Workflow (MPIW)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T2Q2: Limited Use of Specialized Tools (LUST)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T2Q3: Prioritizing Gaps that Harm User Experience (PGH-UE)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Participant 25 (Mabira Conrad):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T2Q1: Measure based on Project Requirements and Feature Dependencies (MPRFD)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T2Q2: Manual Debugging and Limited Use of Automated Tools (MDLAT)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T2Q3: Address on a "First Come, First Served" Basis (FCFS)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Participant 26 (Okure Peter):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T2Q1: They Would Like to Use Testing (TWLUT)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T2Q2: Limited Use of Automated Tools (LUST)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T2Q3: Prioritizing Gaps that Harm User Experience (PGH-UE)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Participant 27 (Muganga Charles):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T2Q1: Component-Based Measurement of TD (CBMTD)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- T2Q2: Using Tools, Especially Extensions in VS Code (TU-EVS)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T2Q3: Solving the Functionality of the Application at the Implementation Level (SFAI-IL)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Participant 28 (Sarah Nsereko):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 T2Q1: Use Tools Like Git Version Control and Code Linters (UT-GC)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T2Q2: No Tool to Measure Errors, Use Git Regularly (NUTME-UGR)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T2Q3: Sequential Bug Fixing Based on Component Importance (SBF-BCI)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