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 4: TD Early Repayment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Participant 1 (Angella):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T4Q1: Regular Code Reviews and Mentorship (RCRM)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T4Q2: Encouraging Code Documentation and Improvement (ECDI)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Participant 2 (Mooli):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T4Q1: Regular Code Reviews and Collaboration (RCRC)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T4Q2: Providing Incentives and Recognition (PIR)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Participant 3 (Mubarak):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T4Q1: Continuous Integration and Code Reviews (CICR)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T4Q2: Encouraging Code Documentation and Career Advancement (ECDCA)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Participant 4 (Roland Kizza):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T4Q1: Frequent Code Reviews and Repayment Goals (FCRRG)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T4Q2: Providing Incentives for Debt Reduction (PIDR)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Participant 5 (Richard):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T4Q1: Regular Code Reviews and Continuous Improvement (RCRCI)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T4Q2: Recognizing Fixing Critical Bugs and Education Programs (RFCBEP)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Participant 6 (Arnold Rukutatana):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T4Q1: Regular Code Reviews and Documentation (RCRD)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T4Q2: Career Advancement Opportunities and Technical Debt Decision-Making (CATD-DM)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Participant 7 (Tugume Hastings):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T4Q1: Continuous Integration and Project Planning (CIPP)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T4Q2: Financial Incentives for Debt Management (FIDM)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Part 2: Theme 4 - TD Management Strategies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Participant 8 (Ahimbisibwe Job):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T4Q1: Regular Code Reviews and Repayment Planning (RCRRP)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T4Q2: Encouraging Code Documentation and Recognition (ECDR)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Participant 9 (Ben Okello Mwaka):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T4Q1: Frequent Code Reviews and Education Programs (FCREP)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T4Q2: Providing Incentives and Career Advancement (PICA)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Participant 10 (Agaba):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T4Q1: Regular Code Reviews and Structured Development (RCRSD)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T4Q2: Recognizing Fixing Critical Bugs and Code Improvement (RFCBCI)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Participant 11 (Kizza):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T4Q1: Continuous Integration and Code Documentation (CICD)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T4Q2: Encouraging Code Quality and Providing Recognition (ECQPR)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Participant 12 (Apollo Malomo):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T4Q1: Frequent Code Reviews and Collaboration (FCRC)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T4Q2: Career Advancement Opportunities and Education Programs (CAOEP)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Participant 13 (Patrick):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T4Q1: Regular Code Reviews and Documentation (RCRD)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T4Q2: Providing Incentives for Debt Reduction (PIDR)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Participant 14 (Kyeyune Habib):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T4Q1: Continuous Integration and Repayment Planning (CIRP)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T4Q2: Financial Incentives for Debt Management (FIDM)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Participant 15 (Opolot):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T4Q1: Frequent Code Reviews and Code Improvement (FCCI)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T4Q2: Encouraging Code Documentation and Recognition (ECDR)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Participant 16 (Wanzala):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T4Q1: Regular Code Reviews and Career Advancement (RCRCA)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T4Q2: Providing Incentives for Debt Reduction (PIDR)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Participant 17 (Martin):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T4Q1: Continuous Integration and Collaboration (CIC)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T4Q2: Recognizing Fixing Critical Bugs and Education Programs (RFCBEP)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Participant 18 (Ssekamanya):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T4Q1: Frequent Code Reviews and Structured Development (FCRSD)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T4Q2: Encouraging Code Quality and Providing Recognition (ECQPR)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Participant 19 (Solomon):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T4Q1: Regular Code Reviews and Repayment Planning (RCRRP)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T4Q2: Career Advancement Opportunities and Technical Debt Decision-Making (CATD-DM)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Participant 20 (Hassan):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T4Q1: Continuous Integration and Code Documentation (CICD)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T4Q2: Providing Incentives and Recognition (PIR)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Participant 21 (Peter):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T4Q1: Frequent Code Reviews and Collaboration (FCRC)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T4Q2: Financial Incentives for Debt Management (FIDM)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Participant 22 (Isaiah):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T4Q1: Documentation, Continuous Improvement, and Mentorship (DCIM)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T4Q2: Organizational Structure and Mentorship for Debt Management (OSMDM)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Participant 23 (Job):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T4Q1: Practices: Collaboration and Feedback Collection (PCFC)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T4Q2: Incentives: Speed and Efficiency in Using Applications (ISEA)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Participant 24 (Saidi):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T4Q1: Practices: Structured Searching and Code Reviews (PSSCR)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T4Q2: Incentives: Meeting Deadlines and Ensuring Functionality (IMDEF)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Participant 25 (Mabira Conrad):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T4Q1: Suggestions: Providing Advice and Structured Development Practices (PSADP)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T4Q2: Emphasizing Clear Project Structure and Problem-Solving (ECPS-PS)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Participant 26 (Okure Peter):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T4Q1: Requests: Framework for Identifying Resource-Heavy Code Segments and Tools (RFIRCT)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T4Q2: Suggested Incentives: Career Advancement and Professional Development (SICAPD)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Participant 27 (Muganga Charles):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T4Q1: Balance Feature Delivery and Debt Management (BFDDM)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T4Q2: Continuous Vigilance and Adaptation (CVA)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Participant 28 (Sarah Nsereko):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T4Q1: Step-by-Step Guide, Learning Tools, and Proper Documentation (SLT-DPD)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T4Q2: Team  Building, Realistic Planning, and Providing Guidelines (TBRP-GG)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