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VI · CASOS ESPECIALES</w:t>
      </w:r>
    </w:p>
    <w:p>
      <w:pPr>
        <w:jc w:val="center"/>
      </w:pPr>
      <w:r>
        <w:rPr>
          <w:b/>
          <w:sz w:val="28"/>
        </w:rPr>
        <w:t>EXPEDIENTE AM-ESP-003</w:t>
      </w:r>
    </w:p>
    <w:p>
      <w:pPr>
        <w:jc w:val="center"/>
      </w:pPr>
      <w:r>
        <w:rPr>
          <w:b/>
          <w:sz w:val="60"/>
        </w:rPr>
        <w:t>FLATWOODS MONSTER</w:t>
      </w:r>
    </w:p>
    <w:p>
      <w:pPr>
        <w:jc w:val="center"/>
      </w:pPr>
      <w:r>
        <w:rPr>
          <w:b/>
          <w:sz w:val="28"/>
        </w:rPr>
        <w:t>BRAXTON COUNTY MONSTER</w:t>
      </w:r>
    </w:p>
    <w:p>
      <w:pPr>
        <w:jc w:val="center"/>
      </w:pPr>
      <w:r>
        <w:rPr>
          <w:b/>
          <w:sz w:val="24"/>
        </w:rPr>
        <w:t>v2.3 · EXPEDIENTE DOCUMENTAL</w:t>
      </w:r>
    </w:p>
    <w:p>
      <w:pPr>
        <w:jc w:val="center"/>
      </w:pPr>
      <w:r>
        <w:rPr>
          <w:b/>
          <w:sz w:val="22"/>
        </w:rPr>
        <w:t>Evaluación IIIC propuesta: NIVEL III</w:t>
      </w:r>
    </w:p>
    <w:p>
      <w:pPr>
        <w:jc w:val="center"/>
      </w:pPr>
      <w:r>
        <w:rPr>
          <w:b/>
          <w:sz w:val="18"/>
        </w:rPr>
        <w:t>[ ESPACIO VISUAL RESERVADO — ILUSTRACIÓN PRINCIPAL — RECONSTRUCCIÓN TESTIMONIAL, NO FOTOGRAFÍA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Nota editorial: separar el encuentro de la interpretación</w:t>
      </w:r>
    </w:p>
    <w:p>
      <w:r>
        <w:t>El manuscrito base establece a Flatwoods Monster como el expediente Nº 17 y tercero de la sección “Casos especiales”. La estructura fija exige separar descripción, historia, evidencias, hipótesis y evaluación IIIC. fileciteturn36file0</w:t>
      </w:r>
    </w:p>
    <w:p>
      <w:r>
        <w:t>El núcleo documental se sitúa en Flatwoods, Braxton County, West Virginia, la noche del 12 de septiembre de 1952. Fuentes locales describen un grupo de residentes que, después de observar una luz brillante en el cielo, acudió a una colina de la granja Fisher y afirmó haber visto una figura alta con cabeza en forma de pala y un cuerpo oscuro. citeturn0search0turn0search5</w:t>
      </w:r>
    </w:p>
    <w:p>
      <w:r>
        <w:t>El expediente debe distinguir entre lo que los testigos dijeron observar, la interpretación posterior como criatura extraterrestre y las explicaciones alternativas. No se presenta ninguna de estas interpretaciones como hecho establecido.</w:t>
      </w:r>
    </w:p>
    <w:p>
      <w:pPr>
        <w:jc w:val="center"/>
      </w:pPr>
      <w:r>
        <w:rPr>
          <w:b/>
          <w:sz w:val="18"/>
        </w:rPr>
        <w:t>[ ESPACIO VISUAL RESERVADO — SELLO EDITORIAL — TESTIMONIO / INTERPRETACIÓN / EVIDENCIA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 Resumen ejecutivo</w:t>
      </w:r>
    </w:p>
    <w:p>
      <w:r>
        <w:t>El Flatwoods Monster es una entidad asociada a un encuentro ocurrido el 12 de septiembre de 1952 en Flatwoods, West Virginia. El episodio comenzó cuando varios jóvenes observaron un objeto luminoso atravesar el cielo y aparentemente descender cerca de la granja Fisher. Posteriormente, un grupo que acudió al lugar afirmó haber encontrado una figura humanoide alta. citeturn0search0turn0search1</w:t>
      </w:r>
    </w:p>
    <w:p>
      <w:r>
        <w:t>Las descripciones recogidas en las horas y días posteriores incluyen una cabeza o cara rojiza, una forma puntiaguda o semejante a una pala alrededor de la cabeza, un cuerpo oscuro y una apariencia que algunos testigos interpretaron como una figura metálica o vestida con una especie de traje. citeturn0search0turn0search1</w:t>
      </w:r>
    </w:p>
    <w:p>
      <w:r>
        <w:t>El caso adquirió difusión nacional y quedó incorporado tanto a la literatura sobre ovnis como a la criptozoología y al folclore de West Virginia. El registro físico más importante no es un espécimen, sino el conjunto de testimonios, entrevistas, recortes periodísticos y dibujos.</w:t>
      </w:r>
    </w:p>
    <w:p>
      <w:pPr>
        <w:jc w:val="center"/>
      </w:pPr>
      <w:r>
        <w:rPr>
          <w:b/>
          <w:sz w:val="18"/>
        </w:rPr>
        <w:t>[ ESPACIO VISUAL RESERVADO — RESUMEN GRÁFICO — LUZ / ASCENSO A LA COLINA / ENCUENTRO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2. Ficha técnica</w:t>
      </w:r>
    </w:p>
    <w:p>
      <w:r>
        <w:t>Nombre: Flatwoods Monster</w:t>
      </w:r>
    </w:p>
    <w:p>
      <w:r>
        <w:t>Otros nombres: Braxton County Monster; Flatwoods Monster; Green Monster (denominación posterior/cultural)</w:t>
      </w:r>
    </w:p>
    <w:p>
      <w:r>
        <w:t>Código: AM-ESP-003</w:t>
      </w:r>
    </w:p>
    <w:p>
      <w:r>
        <w:t>Tipo: Entidad humanoide no identificada / caso asociado a fenómeno aéreo</w:t>
      </w:r>
    </w:p>
    <w:p>
      <w:r>
        <w:t>Continente: América</w:t>
      </w:r>
    </w:p>
    <w:p>
      <w:r>
        <w:t>País: Estados Unidos</w:t>
      </w:r>
    </w:p>
    <w:p>
      <w:r>
        <w:t>Región: Flatwoods, Braxton County, West Virginia</w:t>
      </w:r>
    </w:p>
    <w:p>
      <w:r>
        <w:t>Hábitat atribuido: Bosques, laderas y terrenos rurales alrededor de la granja Fisher</w:t>
      </w:r>
    </w:p>
    <w:p>
      <w:r>
        <w:t>Tamaño: Aproximadamente 10 pies (≈3 m) en la versión local más difundida; otras versiones varían</w:t>
      </w:r>
    </w:p>
    <w:p>
      <w:r>
        <w:t>Peso estimado: Desconocido</w:t>
      </w:r>
    </w:p>
    <w:p>
      <w:r>
        <w:t>Dieta: No documentada</w:t>
      </w:r>
    </w:p>
    <w:p>
      <w:r>
        <w:t>Actividad: No establecida; el encuentro ocurrió de noche</w:t>
      </w:r>
    </w:p>
    <w:p>
      <w:r>
        <w:t>Estado: No confirmado como organismo o especie</w:t>
      </w:r>
    </w:p>
    <w:p>
      <w:r>
        <w:t>Nivel IIIC propuesto: III — Múltiples testimonios consistentes</w:t>
      </w:r>
    </w:p>
    <w:p>
      <w:r>
        <w:t>La altura es una descripción testimonial, no una medición del organismo.</w:t>
      </w:r>
    </w:p>
    <w:p>
      <w:pPr>
        <w:jc w:val="center"/>
      </w:pPr>
      <w:r>
        <w:rPr>
          <w:b/>
          <w:sz w:val="18"/>
        </w:rPr>
        <w:t>[ ESPACIO VISUAL RESERVADO — FICHA TÉCNICA / ICONOGRAFÍA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3. Distribución geográfica</w:t>
      </w:r>
    </w:p>
    <w:p>
      <w:r>
        <w:t>El punto central del caso es Flatwoods, en Braxton County, West Virginia. El sitio se encuentra en una zona rural de colinas y bosques. El propio municipio identifica el episodio del 12 de septiembre de 1952 como parte importante de su historia y folklore local. citeturn0search5</w:t>
      </w:r>
    </w:p>
    <w:p>
      <w:pPr>
        <w:pStyle w:val="ListBullet"/>
      </w:pPr>
      <w:r>
        <w:t>Flatwoods — comunidad donde se originó el reporte.</w:t>
      </w:r>
    </w:p>
    <w:p>
      <w:pPr>
        <w:pStyle w:val="ListBullet"/>
      </w:pPr>
      <w:r>
        <w:t>Granja Fisher / Bailey Fisher farm — área asociada al descenso de la luz y al encuentro.</w:t>
      </w:r>
    </w:p>
    <w:p>
      <w:pPr>
        <w:pStyle w:val="ListBullet"/>
      </w:pPr>
      <w:r>
        <w:t>Colina y zona boscosa — escenario principal del relato.</w:t>
      </w:r>
    </w:p>
    <w:p>
      <w:pPr>
        <w:pStyle w:val="ListBullet"/>
      </w:pPr>
      <w:r>
        <w:t>Braxton County — región de referencia histórica.</w:t>
      </w:r>
    </w:p>
    <w:p>
      <w:r>
        <w:t>Las afirmaciones de una distribución más amplia durante la misma noche pertenecen a investigaciones ufológicas posteriores y deben mantenerse separadas del expediente central hasta ser documentadas individualmente.</w:t>
      </w:r>
    </w:p>
    <w:p>
      <w:pPr>
        <w:jc w:val="center"/>
      </w:pPr>
      <w:r>
        <w:rPr>
          <w:b/>
          <w:sz w:val="18"/>
        </w:rPr>
        <w:t>[ ESPACIO VISUAL RESERVADO — MAPA — FLATWOODS / BRAXTON COUNTY / FISHER FARM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4. Descripción física</w:t>
      </w:r>
    </w:p>
    <w:p>
      <w:r>
        <w:t>La descripción se construye exclusivamente a partir de testimonios históricos y del dibujo realizado a partir de la descripción de Kathleen May. La página oficial de turismo de Braxton señala que el dibujo original fue redescubierto en el condado. citeturn0search3</w:t>
      </w:r>
    </w:p>
    <w:p>
      <w:pPr>
        <w:pStyle w:val="ListBullet"/>
      </w:pPr>
      <w:r>
        <w:t>Figura muy alta, descrita en la tradición local como de aproximadamente 10 pies.</w:t>
      </w:r>
    </w:p>
    <w:p>
      <w:pPr>
        <w:pStyle w:val="ListBullet"/>
      </w:pPr>
      <w:r>
        <w:t>Cabeza o cara descrita como roja o luminosa.</w:t>
      </w:r>
    </w:p>
    <w:p>
      <w:pPr>
        <w:pStyle w:val="ListBullet"/>
      </w:pPr>
      <w:r>
        <w:t>Contorno de la cabeza descrito como semejante a una pala o a una forma puntiaguda.</w:t>
      </w:r>
    </w:p>
    <w:p>
      <w:pPr>
        <w:pStyle w:val="ListBullet"/>
      </w:pPr>
      <w:r>
        <w:t>Grandes ojos brillantes en los relatos.</w:t>
      </w:r>
    </w:p>
    <w:p>
      <w:pPr>
        <w:pStyle w:val="ListBullet"/>
      </w:pPr>
      <w:r>
        <w:t>Cuerpo oscuro o metálico.</w:t>
      </w:r>
    </w:p>
    <w:p>
      <w:pPr>
        <w:pStyle w:val="ListBullet"/>
      </w:pPr>
      <w:r>
        <w:t>Forma semejante a una prenda, túnica o estructura alrededor del cuerpo.</w:t>
      </w:r>
    </w:p>
    <w:p>
      <w:pPr>
        <w:pStyle w:val="ListBullet"/>
      </w:pPr>
      <w:r>
        <w:t>Extremidades inferiores poco claras en las descripciones.</w:t>
      </w:r>
    </w:p>
    <w:p>
      <w:pPr>
        <w:pStyle w:val="ListBullet"/>
      </w:pPr>
      <w:r>
        <w:t>Movimiento descrito por algunos testigos como deslizamiento o flotación; este detalle debe tratarse como testimonio, no como capacidad demostrada.</w:t>
      </w:r>
    </w:p>
    <w:p>
      <w:r>
        <w:t>No se asignan anatomía interna, especie, sexo, peso, órganos o fisiología porque no existe evidencia para establecerlos.</w:t>
      </w:r>
    </w:p>
    <w:p>
      <w:pPr>
        <w:jc w:val="center"/>
      </w:pPr>
      <w:r>
        <w:rPr>
          <w:b/>
          <w:sz w:val="18"/>
        </w:rPr>
        <w:t>[ ESPACIO VISUAL RESERVADO — LÁMINA ANATÓMICA — RASGOS TESTIMONIALES Y VARIANTES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5. Comportamiento</w:t>
      </w:r>
    </w:p>
    <w:p>
      <w:r>
        <w:t>Los relatos describen una aparición breve y aterradora. El grupo se aproximó al área después de observar una luz y posteriormente abandonó el lugar tras la aparición de la figura. citeturn0search0turn0search1</w:t>
      </w:r>
    </w:p>
    <w:p>
      <w:pPr>
        <w:pStyle w:val="ListBullet"/>
      </w:pPr>
      <w:r>
        <w:t>Presencia nocturna.</w:t>
      </w:r>
    </w:p>
    <w:p>
      <w:pPr>
        <w:pStyle w:val="ListBullet"/>
      </w:pPr>
      <w:r>
        <w:t>Respuesta aparentemente pasiva o intimidatoria frente al grupo.</w:t>
      </w:r>
    </w:p>
    <w:p>
      <w:pPr>
        <w:pStyle w:val="ListBullet"/>
      </w:pPr>
      <w:r>
        <w:t>Movimiento descrito como deslizamiento o aproximación.</w:t>
      </w:r>
    </w:p>
    <w:p>
      <w:pPr>
        <w:pStyle w:val="ListBullet"/>
      </w:pPr>
      <w:r>
        <w:t>Ausencia de ataque físico documentado.</w:t>
      </w:r>
    </w:p>
    <w:p>
      <w:pPr>
        <w:pStyle w:val="ListBullet"/>
      </w:pPr>
      <w:r>
        <w:t>Retirada del grupo ante el encuentro.</w:t>
      </w:r>
    </w:p>
    <w:p>
      <w:pPr>
        <w:pStyle w:val="Heading2"/>
      </w:pPr>
      <w:r>
        <w:t>Alimentación y reproducción</w:t>
      </w:r>
    </w:p>
    <w:p>
      <w:r>
        <w:t>No existe información documental suficiente. Ambas variables quedan sin determinar.</w:t>
      </w:r>
    </w:p>
    <w:p>
      <w:pPr>
        <w:jc w:val="center"/>
      </w:pPr>
      <w:r>
        <w:rPr>
          <w:b/>
          <w:sz w:val="18"/>
        </w:rPr>
        <w:t>[ ESPACIO VISUAL RESERVADO — SECUENCIA VISUAL — APROXIMACIÓN / APARICIÓN / RETIRADA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6. Hábitat</w:t>
      </w:r>
    </w:p>
    <w:p>
      <w:r>
        <w:t>El escenario fue una zona rural de West Virginia con laderas, vegetación y áreas boscosas. La historia local vincula el episodio a la granja Fisher y a la colina donde los testigos afirmaron observar la figura. citeturn0search0turn0search5</w:t>
      </w:r>
    </w:p>
    <w:p>
      <w:pPr>
        <w:pStyle w:val="ListBullet"/>
      </w:pPr>
      <w:r>
        <w:t>Bosques de la región de los Apalaches.</w:t>
      </w:r>
    </w:p>
    <w:p>
      <w:pPr>
        <w:pStyle w:val="ListBullet"/>
      </w:pPr>
      <w:r>
        <w:t>Laderas y pastizales rurales.</w:t>
      </w:r>
    </w:p>
    <w:p>
      <w:pPr>
        <w:pStyle w:val="ListBullet"/>
      </w:pPr>
      <w:r>
        <w:t>Granjas y caminos locales.</w:t>
      </w:r>
    </w:p>
    <w:p>
      <w:pPr>
        <w:pStyle w:val="ListBullet"/>
      </w:pPr>
      <w:r>
        <w:t>Zonas de vegetación densa.</w:t>
      </w:r>
    </w:p>
    <w:p>
      <w:r>
        <w:t>No puede afirmarse que este entorno fuera un hábitat permanente de la entidad.</w:t>
      </w:r>
    </w:p>
    <w:p>
      <w:pPr>
        <w:jc w:val="center"/>
      </w:pPr>
      <w:r>
        <w:rPr>
          <w:b/>
          <w:sz w:val="18"/>
        </w:rPr>
        <w:t>[ ESPACIO VISUAL RESERVADO — PAISAJE — COLINA / BOSQUE / GRANJA FISHER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7. Historia del caso</w:t>
      </w:r>
    </w:p>
    <w:p>
      <w:pPr>
        <w:pStyle w:val="Heading2"/>
      </w:pPr>
      <w:r>
        <w:t>12 de septiembre de 1952 — la observación inicial</w:t>
      </w:r>
    </w:p>
    <w:p>
      <w:r>
        <w:t>Según la historia local, varios jóvenes se encontraban cerca de Flatwoods Elementary School cuando observaron una luz brillante que cruzó el cielo y pareció descender en dirección a la granja Fisher. citeturn0search0turn0search1</w:t>
      </w:r>
    </w:p>
    <w:p>
      <w:pPr>
        <w:pStyle w:val="Heading2"/>
      </w:pPr>
      <w:r>
        <w:t>La expedición a la colina</w:t>
      </w:r>
    </w:p>
    <w:p>
      <w:r>
        <w:t>Kathleen May acompañó a los jóvenes junto con Eugene Lemon y el perro de la familia. Las fuentes locales enumeran entre los participantes a Eddie y Freddie May, Neil Nunley, Tommy Hyer, Ronnie Shaver y otros miembros del grupo. Las versiones difieren en algunos detalles, por lo que la lista exacta de participantes debe contrastarse con las entrevistas originales antes de una edición histórica definitiva. citeturn0search1</w:t>
      </w:r>
    </w:p>
    <w:p>
      <w:pPr>
        <w:pStyle w:val="Heading2"/>
      </w:pPr>
      <w:r>
        <w:t>El encuentro</w:t>
      </w:r>
    </w:p>
    <w:p>
      <w:r>
        <w:t>El grupo afirmó haber visto una luz roja pulsante y posteriormente una figura que fue interpretada como una criatura. Gray Barker registró entrevistas y difundió una versión temprana del caso; las versiones posteriores no siempre coinciden en detalles. citeturn0search1</w:t>
      </w:r>
    </w:p>
    <w:p>
      <w:pPr>
        <w:pStyle w:val="Heading2"/>
      </w:pPr>
      <w:r>
        <w:t>Difusión nacional</w:t>
      </w:r>
    </w:p>
    <w:p>
      <w:r>
        <w:t>El episodio recibió amplia atención de la prensa y pasó a formar parte de la literatura sobre ovnis y fenómenos inexplicados. HISTORY señala que el caso provocó interés de la Fuerza Aérea estadounidense dentro del contexto de sus investigaciones sobre ovnis. citeturn0search6</w:t>
      </w:r>
    </w:p>
    <w:p>
      <w:pPr>
        <w:jc w:val="center"/>
      </w:pPr>
      <w:r>
        <w:rPr>
          <w:b/>
          <w:sz w:val="18"/>
        </w:rPr>
        <w:t>[ ESPACIO VISUAL RESERVADO — ARCHIVO HISTÓRICO — RECORTES DE 1952 / TESTIMONIOS / DIBUJO ORIGINAL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8. Cronología documental</w:t>
      </w:r>
    </w:p>
    <w:p>
      <w:pPr>
        <w:pStyle w:val="ListBullet"/>
      </w:pPr>
      <w:r>
        <w:t>12 septiembre 1952 — observación de una luz brillante sobre Flatwoods. citeturn0search0turn0search1</w:t>
      </w:r>
    </w:p>
    <w:p>
      <w:pPr>
        <w:pStyle w:val="ListBullet"/>
      </w:pPr>
      <w:r>
        <w:t>12 septiembre 1952 — grupo de residentes asciende hacia la granja Fisher.</w:t>
      </w:r>
    </w:p>
    <w:p>
      <w:pPr>
        <w:pStyle w:val="ListBullet"/>
      </w:pPr>
      <w:r>
        <w:t>12 septiembre 1952 — los testigos reportan una figura humanoide y una luz roja pulsante.</w:t>
      </w:r>
    </w:p>
    <w:p>
      <w:pPr>
        <w:pStyle w:val="ListBullet"/>
      </w:pPr>
      <w:r>
        <w:t>Días posteriores — entrevistas y cobertura periodística nacional.</w:t>
      </w:r>
    </w:p>
    <w:p>
      <w:pPr>
        <w:pStyle w:val="ListBullet"/>
      </w:pPr>
      <w:r>
        <w:t>1952–1953 — el caso entra en la literatura sobre platillos voladores y fenómenos aéreos no identificados.</w:t>
      </w:r>
    </w:p>
    <w:p>
      <w:pPr>
        <w:pStyle w:val="ListBullet"/>
      </w:pPr>
      <w:r>
        <w:t>Décadas posteriores — la figura se convierte en un icono del folclore de West Virginia.</w:t>
      </w:r>
    </w:p>
    <w:p>
      <w:pPr>
        <w:pStyle w:val="ListBullet"/>
      </w:pPr>
      <w:r>
        <w:t>Siglo XXI — recuperación y conservación del dibujo original asociado al caso; el sitio oficial de Braxton informa que fue redescubierto en el condado. citeturn0search3</w:t>
      </w:r>
    </w:p>
    <w:p>
      <w:r>
        <w:t>La cronología deberá ampliarse con los recortes primarios archivados por Braxton County antes de la maquetación definitiva.</w:t>
      </w:r>
    </w:p>
    <w:p>
      <w:pPr>
        <w:jc w:val="center"/>
      </w:pPr>
      <w:r>
        <w:rPr>
          <w:b/>
          <w:sz w:val="18"/>
        </w:rPr>
        <w:t>[ ESPACIO VISUAL RESERVADO — LÍNEA DE TIEMPO — 1952 → DIFUSIÓN → REINTERPRETACIONES → ACTUALIDAD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9. Evidencias</w:t>
      </w:r>
    </w:p>
    <w:p>
      <w:pPr>
        <w:pStyle w:val="Heading2"/>
      </w:pPr>
      <w:r>
        <w:t>A. Testimonios</w:t>
      </w:r>
    </w:p>
    <w:p>
      <w:r>
        <w:t>Son la principal fuente de información. La importancia del caso deriva del número de personas presentes y de la coincidencia general en la descripción de una figura extraña. Las versiones, sin embargo, presentan diferencias.</w:t>
      </w:r>
    </w:p>
    <w:p>
      <w:pPr>
        <w:pStyle w:val="Heading2"/>
      </w:pPr>
      <w:r>
        <w:t>B. Dibujo histórico</w:t>
      </w:r>
    </w:p>
    <w:p>
      <w:r>
        <w:t>El dibujo asociado a Kathleen May es uno de los documentos visuales más importantes. Visit Braxton informa que el original fue recientemente redescubierto en Braxton County. citeturn0search3</w:t>
      </w:r>
    </w:p>
    <w:p>
      <w:pPr>
        <w:pStyle w:val="Heading2"/>
      </w:pPr>
      <w:r>
        <w:t>C. Fotografías y videos</w:t>
      </w:r>
    </w:p>
    <w:p>
      <w:r>
        <w:t>No existe una fotografía contemporánea verificable del supuesto monstruo. Las imágenes posteriores son ilustraciones, recreaciones o fotografías de objetos culturales relacionados con el caso.</w:t>
      </w:r>
    </w:p>
    <w:p>
      <w:pPr>
        <w:pStyle w:val="Heading2"/>
      </w:pPr>
      <w:r>
        <w:t>D. Huellas y restos</w:t>
      </w:r>
    </w:p>
    <w:p>
      <w:r>
        <w:t>No se ha establecido una cadena de evidencia física que confirme un organismo desconocido.</w:t>
      </w:r>
    </w:p>
    <w:p>
      <w:pPr>
        <w:pStyle w:val="Heading2"/>
      </w:pPr>
      <w:r>
        <w:t>E. ADN</w:t>
      </w:r>
    </w:p>
    <w:p>
      <w:r>
        <w:t>No existe ADN atribuido al Flatwoods Monster y verificado científicamente.</w:t>
      </w:r>
    </w:p>
    <w:p>
      <w:pPr>
        <w:pStyle w:val="Heading2"/>
      </w:pPr>
      <w:r>
        <w:t>F. Fenómeno aéreo</w:t>
      </w:r>
    </w:p>
    <w:p>
      <w:r>
        <w:t>La luz observada constituye un componente independiente del relato. No debe asumirse automáticamente que la luz y la figura fueran el mismo fenómeno sin evidencia adicional.</w:t>
      </w:r>
    </w:p>
    <w:p>
      <w:pPr>
        <w:jc w:val="center"/>
      </w:pPr>
      <w:r>
        <w:rPr>
          <w:b/>
          <w:sz w:val="18"/>
        </w:rPr>
        <w:t>[ ESPACIO VISUAL RESERVADO — DOSSIER DE EVIDENCIAS — DIBUJO / TESTIMONIOS / PRENSA / AUSENCIA DE RESTOS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10. Casos y elementos famosos</w:t>
      </w:r>
    </w:p>
    <w:p>
      <w:pPr>
        <w:pStyle w:val="Heading2"/>
      </w:pPr>
      <w:r>
        <w:t>La luz sobre Flatwoods</w:t>
      </w:r>
    </w:p>
    <w:p>
      <w:r>
        <w:t>El objeto luminoso observado antes del encuentro es parte esencial de la narrativa original y explica por qué el caso quedó asociado a la ufología.</w:t>
      </w:r>
    </w:p>
    <w:p>
      <w:pPr>
        <w:pStyle w:val="Heading2"/>
      </w:pPr>
      <w:r>
        <w:t>La figura de la granja Fisher</w:t>
      </w:r>
    </w:p>
    <w:p>
      <w:r>
        <w:t>Es el núcleo criptozoológico del expediente: una entidad humanoide descrita como alta, oscura y de cabeza peculiar.</w:t>
      </w:r>
    </w:p>
    <w:p>
      <w:pPr>
        <w:pStyle w:val="Heading2"/>
      </w:pPr>
      <w:r>
        <w:t>El dibujo de 1952</w:t>
      </w:r>
    </w:p>
    <w:p>
      <w:r>
        <w:t>La imagen se convirtió en la representación visual dominante del fenómeno. La recuperación del original aporta valor histórico al expediente, aunque el dibujo sigue siendo una representación basada en un testimonio. citeturn0search3</w:t>
      </w:r>
    </w:p>
    <w:p>
      <w:pPr>
        <w:jc w:val="center"/>
      </w:pPr>
      <w:r>
        <w:rPr>
          <w:b/>
          <w:sz w:val="18"/>
        </w:rPr>
        <w:t>[ ESPACIO VISUAL RESERVADO — FICHAS — LUZ / CRIATURA / DIBUJO ORIGINAL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11. Hipótesis</w:t>
      </w:r>
    </w:p>
    <w:p>
      <w:pPr>
        <w:pStyle w:val="Heading2"/>
      </w:pPr>
      <w:r>
        <w:t>Fenómeno meteorológico + error de identificación</w:t>
      </w:r>
    </w:p>
    <w:p>
      <w:r>
        <w:t>Una explicación escéptica sostiene que el objeto luminoso pudo ser un meteoro y que la figura pudo corresponder a un animal conocido observado bajo condiciones de oscuridad y miedo. La literatura crítica ha propuesto especialmente la posibilidad de un búho, aunque esta interpretación debe presentarse como hipótesis y no como resolución definitiva. citeturn0search1</w:t>
      </w:r>
    </w:p>
    <w:p>
      <w:pPr>
        <w:pStyle w:val="Heading2"/>
      </w:pPr>
      <w:r>
        <w:t>Animal conocido</w:t>
      </w:r>
    </w:p>
    <w:p>
      <w:r>
        <w:t>Un animal en un árbol o en terreno inclinado podría producir una percepción distorsionada de tamaño y forma. La hipótesis no explica necesariamente todos los detalles narrados.</w:t>
      </w:r>
    </w:p>
    <w:p>
      <w:pPr>
        <w:pStyle w:val="Heading2"/>
      </w:pPr>
      <w:r>
        <w:t>Traje o tecnología humana</w:t>
      </w:r>
    </w:p>
    <w:p>
      <w:r>
        <w:t>La apariencia de una estructura metálica o túnica ha llevado a interpretaciones de un ocupante o dispositivo artificial. No existe evidencia física que confirme esta explicación.</w:t>
      </w:r>
    </w:p>
    <w:p>
      <w:pPr>
        <w:pStyle w:val="Heading2"/>
      </w:pPr>
      <w:r>
        <w:t>Entidad extraterrestre</w:t>
      </w:r>
    </w:p>
    <w:p>
      <w:r>
        <w:t>Es una interpretación popular dentro de la ufología, pero requiere asumir una conexión entre la luz y la criatura que no está demostrada.</w:t>
      </w:r>
    </w:p>
    <w:p>
      <w:pPr>
        <w:pStyle w:val="Heading2"/>
      </w:pPr>
      <w:r>
        <w:t>Construcción folclórica</w:t>
      </w:r>
    </w:p>
    <w:p>
      <w:r>
        <w:t>La evolución posterior del caso, sus representaciones artísticas y su transformación en símbolo regional muestran una fuerte dimensión cultural.</w:t>
      </w:r>
    </w:p>
    <w:p>
      <w:pPr>
        <w:pStyle w:val="Heading2"/>
      </w:pPr>
      <w:r>
        <w:t>Fraude o exageración</w:t>
      </w:r>
    </w:p>
    <w:p>
      <w:r>
        <w:t>La posibilidad de exageración o reconstrucción periodística debe considerarse para determinados detalles, pero no existe base suficiente para declarar fraudulentos a todos los testigos.</w:t>
      </w:r>
    </w:p>
    <w:p>
      <w:pPr>
        <w:jc w:val="center"/>
      </w:pPr>
      <w:r>
        <w:rPr>
          <w:b/>
          <w:sz w:val="18"/>
        </w:rPr>
        <w:t>[ ESPACIO VISUAL RESERVADO — MATRIZ DE HIPÓTESIS — EVIDENCIA / PROBLEMAS / ESTADO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12. Cultura popular</w:t>
      </w:r>
    </w:p>
    <w:p>
      <w:r>
        <w:t>El Flatwoods Monster se convirtió en un símbolo del folclore de West Virginia. El propio municipio de Flatwoods lo incorpora a su historia local y señala que la criatura forma parte importante del folklore de la comunidad. citeturn0search5</w:t>
      </w:r>
    </w:p>
    <w:p>
      <w:pPr>
        <w:pStyle w:val="ListBullet"/>
      </w:pPr>
      <w:r>
        <w:t>Literatura ufológica.</w:t>
      </w:r>
    </w:p>
    <w:p>
      <w:pPr>
        <w:pStyle w:val="ListBullet"/>
      </w:pPr>
      <w:r>
        <w:t>Libros y revistas de misterio.</w:t>
      </w:r>
    </w:p>
    <w:p>
      <w:pPr>
        <w:pStyle w:val="ListBullet"/>
      </w:pPr>
      <w:r>
        <w:t>Documentales y programas televisivos.</w:t>
      </w:r>
    </w:p>
    <w:p>
      <w:pPr>
        <w:pStyle w:val="ListBullet"/>
      </w:pPr>
      <w:r>
        <w:t>Videojuegos y cultura popular contemporánea.</w:t>
      </w:r>
    </w:p>
    <w:p>
      <w:pPr>
        <w:pStyle w:val="ListBullet"/>
      </w:pPr>
      <w:r>
        <w:t>Turismo local y objetos conmemorativos.</w:t>
      </w:r>
    </w:p>
    <w:p>
      <w:pPr>
        <w:pStyle w:val="ListBullet"/>
      </w:pPr>
      <w:r>
        <w:t>El museo y las colecciones locales dedicadas al caso.</w:t>
      </w:r>
    </w:p>
    <w:p>
      <w:pPr>
        <w:jc w:val="center"/>
      </w:pPr>
      <w:r>
        <w:rPr>
          <w:b/>
          <w:sz w:val="18"/>
        </w:rPr>
        <w:t>[ ESPACIO VISUAL RESERVADO — LÁMINA CULTURAL — EVOLUCIÓN DE LA IMAGEN DEL FLATWOODS MONSTER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13. Comparativas</w:t>
      </w:r>
    </w:p>
    <w:p>
      <w:r>
        <w:t>La comparación física debe basarse únicamente en la escala descrita por los testigos.</w:t>
      </w:r>
    </w:p>
    <w:p>
      <w:pPr>
        <w:pStyle w:val="ListBullet"/>
      </w:pPr>
      <w:r>
        <w:t>Humano adulto — referencia de escala.</w:t>
      </w:r>
    </w:p>
    <w:p>
      <w:pPr>
        <w:pStyle w:val="ListBullet"/>
      </w:pPr>
      <w:r>
        <w:t>Altura testimonial aproximada: 3 m en la versión más difundida.</w:t>
      </w:r>
    </w:p>
    <w:p>
      <w:pPr>
        <w:pStyle w:val="ListBullet"/>
      </w:pPr>
      <w:r>
        <w:t>Proporción de cabeza — descrita como desproporcionadamente grande o rodeada por una forma puntiaguda.</w:t>
      </w:r>
    </w:p>
    <w:p>
      <w:pPr>
        <w:pStyle w:val="ListBullet"/>
      </w:pPr>
      <w:r>
        <w:t>Anchura corporal — no existe medición.</w:t>
      </w:r>
    </w:p>
    <w:p>
      <w:pPr>
        <w:pStyle w:val="ListBullet"/>
      </w:pPr>
      <w:r>
        <w:t>Velocidad y fuerza — no documentadas.</w:t>
      </w:r>
    </w:p>
    <w:p>
      <w:r>
        <w:t>No se incluyen cifras de peso, velocidad o fuerza porque no existen mediciones verificables.</w:t>
      </w:r>
    </w:p>
    <w:p>
      <w:pPr>
        <w:jc w:val="center"/>
      </w:pPr>
      <w:r>
        <w:rPr>
          <w:b/>
          <w:sz w:val="18"/>
        </w:rPr>
        <w:t>[ ESPACIO VISUAL RESERVADO — LÁMINA COMPARATIVA — HUMANO / ALTURA TESTIMONIAL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14. Evaluación IIIC</w:t>
      </w:r>
    </w:p>
    <w:p>
      <w:r>
        <w:t>Distribución: Muy localizada en Flatwoods y Braxton County.</w:t>
      </w:r>
    </w:p>
    <w:p>
      <w:r>
        <w:t>Número de testimonios: Varios participantes en el encuentro central, con versiones parcialmente coincidentes.</w:t>
      </w:r>
    </w:p>
    <w:p>
      <w:r>
        <w:t>Consistencia descriptiva: Moderada; existen coincidencias generales y diferencias de detalle.</w:t>
      </w:r>
    </w:p>
    <w:p>
      <w:r>
        <w:t>Evidencia física: No establecida.</w:t>
      </w:r>
    </w:p>
    <w:p>
      <w:r>
        <w:t>Evidencia biológica: Ninguna.</w:t>
      </w:r>
    </w:p>
    <w:p>
      <w:r>
        <w:t>Documentación histórica: Importante: entrevistas, prensa y dibujo histórico.</w:t>
      </w:r>
    </w:p>
    <w:p>
      <w:r>
        <w:t>Componente cultural: Muy fuerte y documentado localmente.</w:t>
      </w:r>
    </w:p>
    <w:p>
      <w:r>
        <w:t>Investigación crítica: Existe literatura que propone explicaciones alternativas y cuestiona interpretaciones extraordinarias. citeturn0search1</w:t>
      </w:r>
    </w:p>
    <w:p>
      <w:r>
        <w:t>Nivel propuesto: III — Múltiples testimonios consistentes.</w:t>
      </w:r>
    </w:p>
    <w:p>
      <w:r>
        <w:t>La clasificación Nivel III reconoce la concentración de testimonios del episodio, pero no equivale a confirmación de una criatura o especie.</w:t>
      </w:r>
    </w:p>
    <w:p>
      <w:pPr>
        <w:jc w:val="center"/>
      </w:pPr>
      <w:r>
        <w:rPr>
          <w:b/>
          <w:sz w:val="48"/>
        </w:rPr>
        <w:t>NIVEL III</w:t>
      </w:r>
    </w:p>
    <w:p>
      <w:pPr>
        <w:jc w:val="center"/>
      </w:pPr>
      <w:r>
        <w:rPr>
          <w:b/>
          <w:sz w:val="22"/>
        </w:rPr>
        <w:t>MÚLTIPLES TESTIMONIOS CONSISTENTES</w:t>
      </w:r>
    </w:p>
    <w:p>
      <w:pPr>
        <w:jc w:val="center"/>
      </w:pPr>
      <w:r>
        <w:rPr>
          <w:b/>
          <w:sz w:val="18"/>
        </w:rPr>
        <w:t>[ ESPACIO VISUAL RESERVADO — SELLO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15. Dictamen oficial del IIIC</w:t>
      </w:r>
    </w:p>
    <w:p>
      <w:pPr>
        <w:jc w:val="center"/>
      </w:pPr>
      <w:r>
        <w:rPr>
          <w:b/>
          <w:sz w:val="24"/>
        </w:rPr>
        <w:t>EXPEDIENTE AM-ESP-003</w:t>
      </w:r>
    </w:p>
    <w:p>
      <w:pPr>
        <w:jc w:val="center"/>
      </w:pPr>
      <w:r>
        <w:rPr>
          <w:b/>
          <w:sz w:val="44"/>
        </w:rPr>
        <w:t>FLATWOODS MONSTER</w:t>
      </w:r>
    </w:p>
    <w:p>
      <w:r>
        <w:t>El Instituto Internacional de Investigación Criptozoológica considera el caso Flatwoods Monster como un expediente histórico de alta relevancia dentro de la criptozoología y el folclore estadounidense.</w:t>
      </w:r>
    </w:p>
    <w:p>
      <w:r>
        <w:t>La existencia de varios testigos y la conservación de entrevistas, recortes y un dibujo histórico justifican mantener el expediente abierto como objeto de investigación documental. Sin embargo, no existe espécimen, tejido, ADN o registro fotográfico verificable que permita confirmar una especie desconocida.</w:t>
      </w:r>
    </w:p>
    <w:p>
      <w:r>
        <w:t>La conexión entre el objeto luminoso y la figura debe mantenerse como parte de la narrativa testimonial, no como una relación demostrada. Las hipótesis meteorológicas, de identificación errónea, culturales y ufológicas deben presentarse por separado.</w:t>
      </w:r>
    </w:p>
    <w:p>
      <w:r>
        <w:t>DICTAMEN: CASO HISTÓRICO ABIERTO DE EVIDENCIA TESTIMONIAL; ENTIDAD NO CONFIRMADA.</w:t>
      </w:r>
    </w:p>
    <w:p>
      <w:r>
        <w:t>CLASIFICACIÓN IIIC: NIVEL III.</w:t>
      </w:r>
    </w:p>
    <w:p>
      <w:pPr>
        <w:jc w:val="center"/>
      </w:pPr>
      <w:r>
        <w:rPr>
          <w:b/>
          <w:sz w:val="18"/>
        </w:rPr>
        <w:t>[ ESPACIO VISUAL RESERVADO — PÁGINA DE CIERRE — SELLO / CÓDIGO / FLATWOODS, WEST VIRGINIA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16. Fuentes de investigación</w:t>
      </w:r>
    </w:p>
    <w:p>
      <w:pPr>
        <w:pStyle w:val="ListBullet"/>
      </w:pPr>
      <w:r>
        <w:t>Manuscrito base del Atlas Criptozoológico — Flatwoods Monster figura como expediente Nº 17 y tercero de Casos especiales. fileciteturn36file0</w:t>
      </w:r>
    </w:p>
    <w:p>
      <w:pPr>
        <w:pStyle w:val="ListBullet"/>
      </w:pPr>
      <w:r>
        <w:t>Visit Braxton, WV — The Flatwoods Monster. citeturn0search0</w:t>
      </w:r>
    </w:p>
    <w:p>
      <w:pPr>
        <w:pStyle w:val="ListBullet"/>
      </w:pPr>
      <w:r>
        <w:t>Visit Braxton, WV — Folklore / archivo de testimonios y prensa histórica. citeturn0search1</w:t>
      </w:r>
    </w:p>
    <w:p>
      <w:pPr>
        <w:pStyle w:val="ListBullet"/>
      </w:pPr>
      <w:r>
        <w:t>Visit Braxton, WV — The Original 1952 Flatwoods Monster Drawing, FOUND! citeturn0search3</w:t>
      </w:r>
    </w:p>
    <w:p>
      <w:pPr>
        <w:pStyle w:val="ListBullet"/>
      </w:pPr>
      <w:r>
        <w:t>Town of Flatwoods, WV — History. citeturn0search5</w:t>
      </w:r>
    </w:p>
    <w:p>
      <w:pPr>
        <w:pStyle w:val="ListBullet"/>
      </w:pPr>
      <w:r>
        <w:t>HISTORY — In 1952, the Flatwoods Monster Terrified 6 Kids, a Mom, a Dog—and the Nation. citeturn0search6</w:t>
      </w:r>
    </w:p>
    <w:p>
      <w:pPr>
        <w:pStyle w:val="Heading1"/>
      </w:pPr>
      <w:r>
        <w:t>17. Control editorial</w:t>
      </w:r>
    </w:p>
    <w:p>
      <w:pPr>
        <w:pStyle w:val="ListBullet"/>
      </w:pPr>
      <w:r>
        <w:t>Se mantiene AM-ESP-003 como tercer expediente de Casos especiales.</w:t>
      </w:r>
    </w:p>
    <w:p>
      <w:pPr>
        <w:pStyle w:val="ListBullet"/>
      </w:pPr>
      <w:r>
        <w:t>Se distingue el manuscrito base de la investigación externa.</w:t>
      </w:r>
    </w:p>
    <w:p>
      <w:pPr>
        <w:pStyle w:val="ListBullet"/>
      </w:pPr>
      <w:r>
        <w:t>Se presenta el 12 de septiembre de 1952 como fecha documentada del episodio.</w:t>
      </w:r>
    </w:p>
    <w:p>
      <w:pPr>
        <w:pStyle w:val="ListBullet"/>
      </w:pPr>
      <w:r>
        <w:t>Se separan los testimonios de las interpretaciones extraterrestres.</w:t>
      </w:r>
    </w:p>
    <w:p>
      <w:pPr>
        <w:pStyle w:val="ListBullet"/>
      </w:pPr>
      <w:r>
        <w:t>El dibujo histórico se considera evidencia documental de la representación, no evidencia biológica.</w:t>
      </w:r>
    </w:p>
    <w:p>
      <w:pPr>
        <w:pStyle w:val="ListBullet"/>
      </w:pPr>
      <w:r>
        <w:t>No se inventan dieta, reproducción, peso, fisiología o ADN.</w:t>
      </w:r>
    </w:p>
    <w:p>
      <w:pPr>
        <w:pStyle w:val="ListBullet"/>
      </w:pPr>
      <w:r>
        <w:t>No se afirma que el objeto luminoso y la criatura fueran necesariamente el mismo fenómeno.</w:t>
      </w:r>
    </w:p>
    <w:p>
      <w:pPr>
        <w:pStyle w:val="ListBullet"/>
      </w:pPr>
      <w:r>
        <w:t>Las explicaciones alternativas permanecen como hipótesis.</w:t>
      </w:r>
    </w:p>
    <w:p>
      <w:pPr>
        <w:pStyle w:val="ListBullet"/>
      </w:pPr>
      <w:r>
        <w:t>Estado: entregable documental v2.3; Canva continúa bloqueado.</w:t>
      </w:r>
    </w:p>
    <w:p>
      <w:pPr>
        <w:jc w:val="center"/>
      </w:pPr>
      <w:r>
        <w:rPr>
          <w:b/>
          <w:sz w:val="18"/>
        </w:rPr>
        <w:t>[ ESPACIO VISUAL RESERVADO — INVENTARIO VISUAL — MAPA / DIBUJO ORIGINAL / CRONOLOGÍA / HIPÓTESIS / ESCALA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AM-ESP-003 • v2.3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